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F402" w14:textId="77777777" w:rsidR="007E5133" w:rsidRPr="007E5133" w:rsidRDefault="007E5133" w:rsidP="007E5133">
      <w:pPr>
        <w:jc w:val="center"/>
        <w:rPr>
          <w:rFonts w:ascii="Orkney" w:hAnsi="Orkney"/>
          <w:b/>
          <w:color w:val="1F497D" w:themeColor="text2"/>
          <w:sz w:val="38"/>
        </w:rPr>
      </w:pPr>
      <w:r w:rsidRPr="007E5133">
        <w:rPr>
          <w:rFonts w:ascii="Orkney" w:hAnsi="Orkney"/>
          <w:b/>
          <w:color w:val="1F497D" w:themeColor="text2"/>
          <w:sz w:val="38"/>
        </w:rPr>
        <w:t>BILAN ENERGETIQUE 2018</w:t>
      </w:r>
    </w:p>
    <w:p w14:paraId="35C7D009" w14:textId="77777777" w:rsidR="007E5133" w:rsidRPr="007E5133" w:rsidRDefault="007E5133" w:rsidP="007E5133">
      <w:pPr>
        <w:jc w:val="center"/>
        <w:rPr>
          <w:rFonts w:ascii="Orkney" w:hAnsi="Orkney"/>
          <w:b/>
          <w:color w:val="1F497D" w:themeColor="text2"/>
          <w:sz w:val="38"/>
        </w:rPr>
      </w:pPr>
      <w:r w:rsidRPr="007E5133">
        <w:rPr>
          <w:rFonts w:ascii="Orkney" w:hAnsi="Orkney"/>
          <w:b/>
          <w:color w:val="1F497D" w:themeColor="text2"/>
          <w:sz w:val="38"/>
        </w:rPr>
        <w:t>Conférence de presse du 06 février 2020</w:t>
      </w:r>
    </w:p>
    <w:p w14:paraId="7B10D651" w14:textId="17FDB200" w:rsidR="00390CCE" w:rsidRPr="007E5133" w:rsidRDefault="007E5133" w:rsidP="007E5133">
      <w:pPr>
        <w:jc w:val="center"/>
        <w:rPr>
          <w:rFonts w:ascii="Orkney" w:hAnsi="Orkney"/>
          <w:b/>
          <w:sz w:val="36"/>
        </w:rPr>
      </w:pPr>
      <w:r w:rsidRPr="007E5133">
        <w:rPr>
          <w:rFonts w:ascii="Orkney" w:hAnsi="Orkney"/>
          <w:b/>
          <w:color w:val="1F497D" w:themeColor="text2"/>
          <w:sz w:val="38"/>
        </w:rPr>
        <w:t>Dossier de presse</w:t>
      </w:r>
      <w:r w:rsidR="002B7A33">
        <w:rPr>
          <w:rFonts w:ascii="Orkney" w:hAnsi="Orkney"/>
          <w:noProof/>
        </w:rPr>
        <w:drawing>
          <wp:anchor distT="0" distB="0" distL="114300" distR="114300" simplePos="0" relativeHeight="251657728" behindDoc="1" locked="0" layoutInCell="1" allowOverlap="1" wp14:anchorId="47D642D6" wp14:editId="0FA52C30">
            <wp:simplePos x="0" y="0"/>
            <wp:positionH relativeFrom="column">
              <wp:posOffset>-971550</wp:posOffset>
            </wp:positionH>
            <wp:positionV relativeFrom="paragraph">
              <wp:posOffset>-1971321</wp:posOffset>
            </wp:positionV>
            <wp:extent cx="7695210" cy="11742731"/>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5210" cy="11742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5FAE4" w14:textId="130B1316" w:rsidR="00390CCE" w:rsidRDefault="00390CCE" w:rsidP="00390CCE">
      <w:pPr>
        <w:pStyle w:val="Titre1"/>
        <w:numPr>
          <w:ilvl w:val="0"/>
          <w:numId w:val="3"/>
        </w:numPr>
        <w:spacing w:before="120" w:after="120"/>
        <w:ind w:left="714" w:hanging="357"/>
        <w:rPr>
          <w:rFonts w:ascii="Orkney" w:hAnsi="Orkney" w:cs="Times New Roman"/>
          <w:color w:val="244061" w:themeColor="accent1" w:themeShade="80"/>
          <w:sz w:val="28"/>
        </w:rPr>
      </w:pPr>
      <w:r w:rsidRPr="00390CCE">
        <w:rPr>
          <w:rFonts w:ascii="Orkney" w:hAnsi="Orkney" w:cs="Times New Roman"/>
          <w:color w:val="244061" w:themeColor="accent1" w:themeShade="80"/>
          <w:sz w:val="28"/>
        </w:rPr>
        <w:t>Situation énergétique en général en Polynésie française</w:t>
      </w:r>
    </w:p>
    <w:p w14:paraId="2BD6EBE0" w14:textId="46E17B51" w:rsidR="00390CCE" w:rsidRPr="003F628D" w:rsidRDefault="00390CCE" w:rsidP="000E5D05">
      <w:pPr>
        <w:pStyle w:val="Paragraphedeliste"/>
        <w:numPr>
          <w:ilvl w:val="1"/>
          <w:numId w:val="3"/>
        </w:numPr>
        <w:spacing w:before="120" w:after="120"/>
        <w:rPr>
          <w:rFonts w:ascii="Orkney" w:hAnsi="Orkney"/>
          <w:color w:val="244061" w:themeColor="accent1" w:themeShade="80"/>
          <w:sz w:val="28"/>
          <w:u w:val="single"/>
        </w:rPr>
      </w:pPr>
      <w:r w:rsidRPr="003F628D">
        <w:rPr>
          <w:rFonts w:ascii="Orkney" w:hAnsi="Orkney"/>
          <w:color w:val="244061" w:themeColor="accent1" w:themeShade="80"/>
          <w:sz w:val="28"/>
          <w:u w:val="single"/>
        </w:rPr>
        <w:t xml:space="preserve">Quelques éléments de contexte </w:t>
      </w:r>
    </w:p>
    <w:p w14:paraId="6F23AB31" w14:textId="5505A18D" w:rsidR="00390CCE" w:rsidRPr="00390CCE" w:rsidRDefault="00390CCE" w:rsidP="00625592">
      <w:pPr>
        <w:spacing w:before="60"/>
        <w:jc w:val="both"/>
        <w:rPr>
          <w:rFonts w:ascii="Orkney" w:hAnsi="Orkney"/>
          <w:sz w:val="22"/>
          <w:szCs w:val="22"/>
        </w:rPr>
      </w:pPr>
      <w:r w:rsidRPr="00390CCE">
        <w:rPr>
          <w:rFonts w:ascii="Orkney" w:hAnsi="Orkney"/>
          <w:sz w:val="22"/>
          <w:szCs w:val="22"/>
        </w:rPr>
        <w:t xml:space="preserve">La Polynésie française se caractérise par sa double insularité, du fait de son isolement et son éclatement géographique qui génèrent de forts enjeux en matière de politique énergétique. L’éclatement géographique des 118 îles et atolls qui la constituent impose de penser la politique énergétique, les transports principalement et la production électrique dans une moindre mesure, non pas seulement à l’échelle du territoire, mais aussi à l’échelle des îles, tant en matière l’approvisionnement, que de moyens de production et de consommation énergétique. </w:t>
      </w:r>
    </w:p>
    <w:p w14:paraId="466B6731" w14:textId="10A5DC20" w:rsidR="00390CCE" w:rsidRPr="00390CCE" w:rsidRDefault="00390CCE" w:rsidP="00625592">
      <w:pPr>
        <w:spacing w:before="60"/>
        <w:jc w:val="both"/>
        <w:rPr>
          <w:rFonts w:ascii="Orkney" w:hAnsi="Orkney"/>
          <w:sz w:val="22"/>
          <w:szCs w:val="22"/>
        </w:rPr>
      </w:pPr>
      <w:r w:rsidRPr="00390CCE">
        <w:rPr>
          <w:rFonts w:ascii="Orkney" w:hAnsi="Orkney"/>
          <w:sz w:val="22"/>
          <w:szCs w:val="22"/>
        </w:rPr>
        <w:t>Une contrainte supplémentaire émerge au regard de la distribution géographique de la population. En 2017, le recensement général de la population dénombrait un total de 275 918 habitants, dont 189</w:t>
      </w:r>
      <w:r w:rsidRPr="00390CCE">
        <w:rPr>
          <w:rFonts w:ascii="Calibri" w:hAnsi="Calibri" w:cs="Calibri"/>
          <w:sz w:val="22"/>
          <w:szCs w:val="22"/>
        </w:rPr>
        <w:t> </w:t>
      </w:r>
      <w:r w:rsidRPr="00390CCE">
        <w:rPr>
          <w:rFonts w:ascii="Orkney" w:hAnsi="Orkney"/>
          <w:sz w:val="22"/>
          <w:szCs w:val="22"/>
        </w:rPr>
        <w:t>515 r</w:t>
      </w:r>
      <w:r w:rsidRPr="00390CCE">
        <w:rPr>
          <w:rFonts w:ascii="Orkney" w:hAnsi="Orkney" w:cs="Orkney"/>
          <w:sz w:val="22"/>
          <w:szCs w:val="22"/>
        </w:rPr>
        <w:t>é</w:t>
      </w:r>
      <w:r w:rsidRPr="00390CCE">
        <w:rPr>
          <w:rFonts w:ascii="Orkney" w:hAnsi="Orkney"/>
          <w:sz w:val="22"/>
          <w:szCs w:val="22"/>
        </w:rPr>
        <w:t>sidaient sur Tahiti. Cette hétérogénéité dans la distribution spatiale de la population fait de Tahiti (80%) le principal centre de consommation énergétique, de production électrique, mais aussi le principal point d’approvisionnement énergétique de la Polynésie française. Bora Bora et Moorea, dont la fréquentation touristique est croissante depuis plusieurs années, font également figure d’île « énergivores » avec une consommation et production croissantes.</w:t>
      </w:r>
    </w:p>
    <w:p w14:paraId="2162AE53" w14:textId="1F7584C4" w:rsidR="00390CCE" w:rsidRDefault="00390CCE" w:rsidP="00625592">
      <w:pPr>
        <w:spacing w:before="60"/>
        <w:jc w:val="both"/>
        <w:rPr>
          <w:rFonts w:ascii="Orkney" w:hAnsi="Orkney"/>
          <w:noProof/>
        </w:rPr>
      </w:pPr>
      <w:r w:rsidRPr="00390CCE">
        <w:rPr>
          <w:rFonts w:ascii="Orkney" w:hAnsi="Orkney"/>
          <w:sz w:val="22"/>
          <w:szCs w:val="22"/>
        </w:rPr>
        <w:t>La Polynésie française, comme la plupart des pays insulaires, présente une forte dépendance aux importations d’hydrocarbures (94 %). L’évolution démographique de la Polynésie suit une croissance relativement constante avec un taux de croissance annuel de 0.59% en moyenne depuis 2010. Cette croissance démographique associée à un phénomène de décohabitation des foyers tendent à accroitre la demande en énergie. Par ailleurs l’évolution du prix des hydrocarbures se répercute directement dans la structure de prix des carburants et a fortiori de l’électricité. Ces éléments conjoncturels additionnés au contexte polynésien exposent donc la facture énergétique de la Polynésie française et des Polynésiens à la volatilité des prix du marché mondial des hydrocarbures.</w:t>
      </w:r>
      <w:r w:rsidRPr="00390CCE">
        <w:rPr>
          <w:rFonts w:ascii="Orkney" w:hAnsi="Orkney"/>
          <w:noProof/>
        </w:rPr>
        <w:t xml:space="preserve"> </w:t>
      </w:r>
    </w:p>
    <w:p w14:paraId="61C672BA" w14:textId="4A65B22F" w:rsidR="00390CCE" w:rsidRPr="003F628D" w:rsidRDefault="00390CCE" w:rsidP="00390CCE">
      <w:pPr>
        <w:pStyle w:val="Paragraphedeliste"/>
        <w:numPr>
          <w:ilvl w:val="1"/>
          <w:numId w:val="3"/>
        </w:numPr>
        <w:spacing w:before="120" w:after="120"/>
        <w:ind w:left="1775" w:hanging="357"/>
        <w:jc w:val="both"/>
        <w:rPr>
          <w:rFonts w:ascii="Orkney" w:hAnsi="Orkney"/>
          <w:color w:val="244061" w:themeColor="accent1" w:themeShade="80"/>
          <w:sz w:val="28"/>
          <w:u w:val="single"/>
        </w:rPr>
      </w:pPr>
      <w:r w:rsidRPr="003F628D">
        <w:rPr>
          <w:rFonts w:ascii="Orkney" w:hAnsi="Orkney"/>
          <w:color w:val="244061" w:themeColor="accent1" w:themeShade="80"/>
          <w:sz w:val="28"/>
          <w:u w:val="single"/>
        </w:rPr>
        <w:t>Objectifs fixés par le Pays</w:t>
      </w:r>
      <w:r w:rsidRPr="003F628D">
        <w:rPr>
          <w:rFonts w:ascii="Calibri" w:hAnsi="Calibri" w:cs="Calibri"/>
          <w:color w:val="244061" w:themeColor="accent1" w:themeShade="80"/>
          <w:sz w:val="32"/>
          <w:u w:val="single"/>
        </w:rPr>
        <w:t> </w:t>
      </w:r>
      <w:r w:rsidRPr="003F628D">
        <w:rPr>
          <w:rFonts w:ascii="Orkney" w:hAnsi="Orkney"/>
          <w:color w:val="244061" w:themeColor="accent1" w:themeShade="80"/>
          <w:sz w:val="28"/>
          <w:u w:val="single"/>
        </w:rPr>
        <w:t>:</w:t>
      </w:r>
    </w:p>
    <w:p w14:paraId="152C3BD7" w14:textId="25882D92" w:rsidR="00390CCE" w:rsidRPr="00390CCE" w:rsidRDefault="00390CCE" w:rsidP="00625592">
      <w:pPr>
        <w:spacing w:before="60"/>
        <w:jc w:val="both"/>
        <w:rPr>
          <w:rFonts w:ascii="Orkney" w:hAnsi="Orkney"/>
          <w:sz w:val="22"/>
          <w:szCs w:val="22"/>
        </w:rPr>
      </w:pPr>
      <w:r w:rsidRPr="00390CCE">
        <w:rPr>
          <w:rFonts w:ascii="Orkney" w:hAnsi="Orkney"/>
          <w:sz w:val="22"/>
          <w:szCs w:val="22"/>
        </w:rPr>
        <w:t xml:space="preserve">La Polynésie française dispose de deux documents stratégiques qui fixent des objectifs en matière de transition énergétique, à savoir le Plan Climat Energie (PCE) et le Plan de Transition Énergétique (PTE). </w:t>
      </w:r>
    </w:p>
    <w:p w14:paraId="5D005AA8" w14:textId="77777777" w:rsidR="00390CCE" w:rsidRPr="00390CCE" w:rsidRDefault="00390CCE" w:rsidP="00625592">
      <w:pPr>
        <w:spacing w:before="60"/>
        <w:jc w:val="both"/>
        <w:rPr>
          <w:rFonts w:ascii="Orkney" w:hAnsi="Orkney"/>
          <w:sz w:val="22"/>
          <w:szCs w:val="22"/>
        </w:rPr>
      </w:pPr>
      <w:r w:rsidRPr="00390CCE">
        <w:rPr>
          <w:rFonts w:ascii="Orkney" w:hAnsi="Orkney"/>
          <w:sz w:val="22"/>
          <w:szCs w:val="22"/>
        </w:rPr>
        <w:t xml:space="preserve">Les principaux objectifs concernent la réduction des émissions de GES (-6,5%), la production d’électricité d’origines renouvelables (40% en 2020 (acté en COPIL semaine prochaine) et 75 % en 2030) et la réduction de la consommation d’énergie primaire (-5% en 2020). </w:t>
      </w:r>
    </w:p>
    <w:p w14:paraId="71A2B7AB" w14:textId="77777777" w:rsidR="00390CCE" w:rsidRPr="00390CCE" w:rsidRDefault="00390CCE" w:rsidP="00625592">
      <w:pPr>
        <w:spacing w:before="60"/>
        <w:jc w:val="both"/>
        <w:rPr>
          <w:rFonts w:ascii="Orkney" w:hAnsi="Orkney"/>
          <w:sz w:val="22"/>
          <w:szCs w:val="22"/>
        </w:rPr>
      </w:pPr>
      <w:r w:rsidRPr="00390CCE">
        <w:rPr>
          <w:rFonts w:ascii="Orkney" w:hAnsi="Orkney"/>
          <w:sz w:val="22"/>
          <w:szCs w:val="22"/>
        </w:rPr>
        <w:t xml:space="preserve">Ces objectifs nécessitent de disposer d’indicateurs fiables et consolidés afin d’évaluer la politique et la stratégie énergétique du Pays. </w:t>
      </w:r>
    </w:p>
    <w:p w14:paraId="7DDEF5C0" w14:textId="510EC2C5" w:rsidR="00390CCE" w:rsidRDefault="00390CCE">
      <w:pPr>
        <w:spacing w:after="200" w:line="276" w:lineRule="auto"/>
        <w:rPr>
          <w:rFonts w:ascii="Orkney" w:hAnsi="Orkney"/>
          <w:color w:val="244061" w:themeColor="accent1" w:themeShade="80"/>
          <w:u w:val="single"/>
        </w:rPr>
      </w:pPr>
      <w:r>
        <w:rPr>
          <w:rFonts w:ascii="Orkney" w:hAnsi="Orkney"/>
          <w:color w:val="244061" w:themeColor="accent1" w:themeShade="80"/>
          <w:u w:val="single"/>
        </w:rPr>
        <w:br w:type="page"/>
      </w:r>
    </w:p>
    <w:p w14:paraId="0A6D16C2" w14:textId="2B88FF3A" w:rsidR="00390CCE" w:rsidRDefault="002B7A33" w:rsidP="00390CCE">
      <w:pPr>
        <w:pStyle w:val="Paragraphedeliste"/>
        <w:numPr>
          <w:ilvl w:val="1"/>
          <w:numId w:val="3"/>
        </w:numPr>
        <w:spacing w:before="120" w:after="120"/>
        <w:ind w:left="1775" w:hanging="357"/>
        <w:jc w:val="both"/>
        <w:rPr>
          <w:rFonts w:ascii="Orkney" w:hAnsi="Orkney"/>
          <w:color w:val="244061" w:themeColor="accent1" w:themeShade="80"/>
          <w:u w:val="single"/>
        </w:rPr>
      </w:pPr>
      <w:r w:rsidRPr="003F628D">
        <w:rPr>
          <w:rFonts w:ascii="Orkney" w:hAnsi="Orkney"/>
          <w:noProof/>
          <w:sz w:val="28"/>
        </w:rPr>
        <w:lastRenderedPageBreak/>
        <w:drawing>
          <wp:anchor distT="0" distB="0" distL="114300" distR="114300" simplePos="0" relativeHeight="251659776" behindDoc="1" locked="0" layoutInCell="1" allowOverlap="1" wp14:anchorId="4BF8E056" wp14:editId="2C525DB2">
            <wp:simplePos x="0" y="0"/>
            <wp:positionH relativeFrom="column">
              <wp:posOffset>-1044765</wp:posOffset>
            </wp:positionH>
            <wp:positionV relativeFrom="paragraph">
              <wp:posOffset>-1963890</wp:posOffset>
            </wp:positionV>
            <wp:extent cx="7695210" cy="11742731"/>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5210" cy="11742731"/>
                    </a:xfrm>
                    <a:prstGeom prst="rect">
                      <a:avLst/>
                    </a:prstGeom>
                    <a:noFill/>
                    <a:ln>
                      <a:noFill/>
                    </a:ln>
                  </pic:spPr>
                </pic:pic>
              </a:graphicData>
            </a:graphic>
            <wp14:sizeRelH relativeFrom="page">
              <wp14:pctWidth>0</wp14:pctWidth>
            </wp14:sizeRelH>
            <wp14:sizeRelV relativeFrom="page">
              <wp14:pctHeight>0</wp14:pctHeight>
            </wp14:sizeRelV>
          </wp:anchor>
        </w:drawing>
      </w:r>
      <w:r w:rsidR="00390CCE" w:rsidRPr="003F628D">
        <w:rPr>
          <w:rFonts w:ascii="Orkney" w:hAnsi="Orkney"/>
          <w:color w:val="244061" w:themeColor="accent1" w:themeShade="80"/>
          <w:sz w:val="28"/>
          <w:u w:val="single"/>
        </w:rPr>
        <w:t>Partenariat entre la Polynésie française et l’ADEME</w:t>
      </w:r>
      <w:r w:rsidR="00390CCE" w:rsidRPr="003F628D">
        <w:rPr>
          <w:rFonts w:ascii="Calibri" w:hAnsi="Calibri" w:cs="Calibri"/>
          <w:color w:val="244061" w:themeColor="accent1" w:themeShade="80"/>
          <w:sz w:val="32"/>
          <w:u w:val="single"/>
        </w:rPr>
        <w:t> </w:t>
      </w:r>
      <w:r w:rsidR="00390CCE" w:rsidRPr="003F628D">
        <w:rPr>
          <w:rFonts w:ascii="Orkney" w:hAnsi="Orkney"/>
          <w:color w:val="244061" w:themeColor="accent1" w:themeShade="80"/>
          <w:sz w:val="28"/>
          <w:u w:val="single"/>
        </w:rPr>
        <w:t>:</w:t>
      </w:r>
    </w:p>
    <w:p w14:paraId="160EB8DE" w14:textId="77777777" w:rsidR="00390CCE" w:rsidRPr="00390CCE" w:rsidRDefault="00390CCE" w:rsidP="00625592">
      <w:pPr>
        <w:pStyle w:val="En-tte"/>
        <w:tabs>
          <w:tab w:val="left" w:pos="6237"/>
        </w:tabs>
        <w:spacing w:before="60"/>
        <w:ind w:right="284"/>
        <w:jc w:val="both"/>
        <w:rPr>
          <w:rFonts w:ascii="Orkney" w:hAnsi="Orkney"/>
          <w:sz w:val="22"/>
          <w:szCs w:val="22"/>
        </w:rPr>
      </w:pPr>
      <w:r w:rsidRPr="00390CCE">
        <w:rPr>
          <w:rFonts w:ascii="Orkney" w:hAnsi="Orkney"/>
          <w:sz w:val="22"/>
          <w:szCs w:val="22"/>
        </w:rPr>
        <w:t>L’ADEME intervient financièrement et techniquement en Polynésie française dans la lutte contre le changement climatique, principalement au travers d’un a</w:t>
      </w:r>
      <w:r w:rsidRPr="00390CCE">
        <w:rPr>
          <w:rFonts w:ascii="Orkney" w:hAnsi="Orkney"/>
          <w:b/>
          <w:sz w:val="22"/>
          <w:szCs w:val="22"/>
        </w:rPr>
        <w:t>ccord-cadre sur l’accompagnement de la transition énergétique.</w:t>
      </w:r>
    </w:p>
    <w:p w14:paraId="4DD6CC74" w14:textId="164ED0A4" w:rsidR="00390CCE" w:rsidRPr="00390CCE" w:rsidRDefault="00390CCE" w:rsidP="003F628D">
      <w:pPr>
        <w:pStyle w:val="En-tte"/>
        <w:tabs>
          <w:tab w:val="left" w:pos="6237"/>
        </w:tabs>
        <w:spacing w:before="60"/>
        <w:ind w:right="284"/>
        <w:jc w:val="both"/>
        <w:rPr>
          <w:rFonts w:ascii="Orkney" w:hAnsi="Orkney"/>
          <w:sz w:val="22"/>
          <w:szCs w:val="22"/>
        </w:rPr>
      </w:pPr>
      <w:r w:rsidRPr="00390CCE">
        <w:rPr>
          <w:rFonts w:ascii="Orkney" w:hAnsi="Orkney"/>
          <w:sz w:val="22"/>
          <w:szCs w:val="22"/>
        </w:rPr>
        <w:t xml:space="preserve">Doté d’un montant de </w:t>
      </w:r>
      <w:r w:rsidR="002232AA">
        <w:rPr>
          <w:rFonts w:ascii="Orkney" w:hAnsi="Orkney"/>
          <w:b/>
          <w:sz w:val="22"/>
          <w:szCs w:val="22"/>
        </w:rPr>
        <w:t>1 157</w:t>
      </w:r>
      <w:r w:rsidRPr="00390CCE">
        <w:rPr>
          <w:rFonts w:ascii="Orkney" w:hAnsi="Orkney"/>
          <w:b/>
          <w:sz w:val="22"/>
          <w:szCs w:val="22"/>
        </w:rPr>
        <w:t>,7M</w:t>
      </w:r>
      <w:r w:rsidR="002232AA">
        <w:rPr>
          <w:rFonts w:ascii="Orkney" w:hAnsi="Orkney"/>
          <w:b/>
          <w:sz w:val="22"/>
          <w:szCs w:val="22"/>
        </w:rPr>
        <w:t xml:space="preserve"> FCP</w:t>
      </w:r>
      <w:r w:rsidRPr="00390CCE">
        <w:rPr>
          <w:rFonts w:ascii="Orkney" w:hAnsi="Orkney"/>
          <w:sz w:val="22"/>
          <w:szCs w:val="22"/>
        </w:rPr>
        <w:t xml:space="preserve"> </w:t>
      </w:r>
      <w:r w:rsidR="002232AA">
        <w:rPr>
          <w:rFonts w:ascii="Orkney" w:hAnsi="Orkney"/>
          <w:sz w:val="22"/>
          <w:szCs w:val="22"/>
        </w:rPr>
        <w:t>de 2015 à 2020</w:t>
      </w:r>
      <w:r w:rsidRPr="00390CCE">
        <w:rPr>
          <w:rFonts w:ascii="Orkney" w:hAnsi="Orkney"/>
          <w:sz w:val="22"/>
          <w:szCs w:val="22"/>
        </w:rPr>
        <w:t xml:space="preserve"> (</w:t>
      </w:r>
      <w:r w:rsidR="002232AA">
        <w:rPr>
          <w:rFonts w:ascii="Orkney" w:hAnsi="Orkney"/>
          <w:sz w:val="22"/>
          <w:szCs w:val="22"/>
        </w:rPr>
        <w:t xml:space="preserve">578 </w:t>
      </w:r>
      <w:r w:rsidRPr="00390CCE">
        <w:rPr>
          <w:rFonts w:ascii="Orkney" w:hAnsi="Orkney"/>
          <w:sz w:val="22"/>
          <w:szCs w:val="22"/>
        </w:rPr>
        <w:t>M</w:t>
      </w:r>
      <w:r w:rsidR="002232AA">
        <w:rPr>
          <w:rFonts w:ascii="Orkney" w:hAnsi="Orkney"/>
          <w:sz w:val="22"/>
          <w:szCs w:val="22"/>
        </w:rPr>
        <w:t xml:space="preserve"> FCP</w:t>
      </w:r>
      <w:r w:rsidRPr="00390CCE">
        <w:rPr>
          <w:rFonts w:ascii="Orkney" w:hAnsi="Orkney"/>
          <w:sz w:val="22"/>
          <w:szCs w:val="22"/>
        </w:rPr>
        <w:t xml:space="preserve"> de l’ADEME, et </w:t>
      </w:r>
      <w:r w:rsidR="002232AA">
        <w:rPr>
          <w:rFonts w:ascii="Orkney" w:hAnsi="Orkney"/>
          <w:sz w:val="22"/>
          <w:szCs w:val="22"/>
        </w:rPr>
        <w:t xml:space="preserve">578 </w:t>
      </w:r>
      <w:r w:rsidRPr="00390CCE">
        <w:rPr>
          <w:rFonts w:ascii="Orkney" w:hAnsi="Orkney"/>
          <w:sz w:val="22"/>
          <w:szCs w:val="22"/>
        </w:rPr>
        <w:t>M</w:t>
      </w:r>
      <w:r w:rsidR="002232AA">
        <w:rPr>
          <w:rFonts w:ascii="Orkney" w:hAnsi="Orkney"/>
          <w:sz w:val="22"/>
          <w:szCs w:val="22"/>
        </w:rPr>
        <w:t xml:space="preserve"> FCP</w:t>
      </w:r>
      <w:r w:rsidRPr="00390CCE">
        <w:rPr>
          <w:rFonts w:ascii="Orkney" w:hAnsi="Orkney"/>
          <w:sz w:val="22"/>
          <w:szCs w:val="22"/>
        </w:rPr>
        <w:t xml:space="preserve"> de la PF), cet accord cadre a pour objectif d’accompagner les projets sur le territoire qui répondent aux enjeux suivants</w:t>
      </w:r>
      <w:r w:rsidRPr="00390CCE">
        <w:rPr>
          <w:rFonts w:ascii="Calibri" w:hAnsi="Calibri" w:cs="Calibri"/>
          <w:sz w:val="22"/>
          <w:szCs w:val="22"/>
        </w:rPr>
        <w:t> </w:t>
      </w:r>
      <w:r w:rsidRPr="00390CCE">
        <w:rPr>
          <w:rFonts w:ascii="Orkney" w:hAnsi="Orkney"/>
          <w:sz w:val="22"/>
          <w:szCs w:val="22"/>
        </w:rPr>
        <w:t xml:space="preserve">: </w:t>
      </w:r>
    </w:p>
    <w:p w14:paraId="446E53A2" w14:textId="613B8FCC" w:rsidR="00390CCE" w:rsidRPr="00390CCE" w:rsidRDefault="00390CCE" w:rsidP="00390CCE">
      <w:pPr>
        <w:pStyle w:val="En-tte"/>
        <w:numPr>
          <w:ilvl w:val="0"/>
          <w:numId w:val="5"/>
        </w:numPr>
        <w:tabs>
          <w:tab w:val="left" w:pos="6237"/>
        </w:tabs>
        <w:ind w:left="720" w:right="283" w:hanging="360"/>
        <w:jc w:val="both"/>
        <w:rPr>
          <w:rFonts w:ascii="Orkney" w:hAnsi="Orkney"/>
          <w:sz w:val="22"/>
          <w:szCs w:val="22"/>
        </w:rPr>
      </w:pPr>
      <w:r w:rsidRPr="00390CCE">
        <w:rPr>
          <w:rFonts w:ascii="Orkney" w:hAnsi="Orkney"/>
          <w:sz w:val="22"/>
          <w:szCs w:val="22"/>
        </w:rPr>
        <w:t>Favoriser les économies d’énergie (éco-construction, déplacements durables, maîtrise de l’énergie, etc.)</w:t>
      </w:r>
    </w:p>
    <w:p w14:paraId="578B515B" w14:textId="20AA7702" w:rsidR="00390CCE" w:rsidRPr="00390CCE" w:rsidRDefault="00390CCE" w:rsidP="00390CCE">
      <w:pPr>
        <w:pStyle w:val="En-tte"/>
        <w:numPr>
          <w:ilvl w:val="0"/>
          <w:numId w:val="5"/>
        </w:numPr>
        <w:tabs>
          <w:tab w:val="left" w:pos="6237"/>
        </w:tabs>
        <w:ind w:left="720" w:right="283" w:hanging="360"/>
        <w:jc w:val="both"/>
        <w:rPr>
          <w:rFonts w:ascii="Orkney" w:hAnsi="Orkney"/>
          <w:sz w:val="22"/>
          <w:szCs w:val="22"/>
        </w:rPr>
      </w:pPr>
      <w:r w:rsidRPr="00390CCE">
        <w:rPr>
          <w:rFonts w:ascii="Orkney" w:hAnsi="Orkney"/>
          <w:sz w:val="22"/>
          <w:szCs w:val="22"/>
        </w:rPr>
        <w:t>Contribuer à la diversification du mix énergétique (connaissance des potentiels d’énergies renouvelables, etc.)</w:t>
      </w:r>
    </w:p>
    <w:p w14:paraId="16BCF24B" w14:textId="77777777" w:rsidR="00390CCE" w:rsidRPr="00390CCE" w:rsidRDefault="00390CCE" w:rsidP="00390CCE">
      <w:pPr>
        <w:pStyle w:val="En-tte"/>
        <w:numPr>
          <w:ilvl w:val="0"/>
          <w:numId w:val="5"/>
        </w:numPr>
        <w:tabs>
          <w:tab w:val="left" w:pos="6237"/>
        </w:tabs>
        <w:ind w:left="720" w:right="283" w:hanging="360"/>
        <w:jc w:val="both"/>
        <w:rPr>
          <w:rFonts w:ascii="Orkney" w:hAnsi="Orkney"/>
          <w:sz w:val="22"/>
          <w:szCs w:val="22"/>
        </w:rPr>
      </w:pPr>
      <w:r w:rsidRPr="00390CCE">
        <w:rPr>
          <w:rFonts w:ascii="Orkney" w:hAnsi="Orkney"/>
          <w:sz w:val="22"/>
          <w:szCs w:val="22"/>
        </w:rPr>
        <w:t>Développer les projets territoriaux de développement durable et de lutte contre le changement climatique (schémas directeurs, bilan gaz à effet de serre, etc)</w:t>
      </w:r>
    </w:p>
    <w:p w14:paraId="69A7DFBD" w14:textId="77777777" w:rsidR="00390CCE" w:rsidRPr="00390CCE" w:rsidRDefault="00390CCE" w:rsidP="00390CCE">
      <w:pPr>
        <w:pStyle w:val="En-tte"/>
        <w:tabs>
          <w:tab w:val="left" w:pos="6237"/>
        </w:tabs>
        <w:ind w:right="283"/>
        <w:jc w:val="both"/>
        <w:rPr>
          <w:rFonts w:ascii="Orkney" w:hAnsi="Orkney"/>
          <w:sz w:val="22"/>
          <w:szCs w:val="22"/>
        </w:rPr>
      </w:pPr>
    </w:p>
    <w:p w14:paraId="683F5436" w14:textId="3663AB90" w:rsidR="00390CCE" w:rsidRDefault="00390CCE" w:rsidP="00390CCE">
      <w:pPr>
        <w:pStyle w:val="En-tte"/>
        <w:tabs>
          <w:tab w:val="left" w:pos="6237"/>
        </w:tabs>
        <w:ind w:right="283"/>
        <w:jc w:val="both"/>
        <w:rPr>
          <w:rFonts w:ascii="Orkney" w:hAnsi="Orkney"/>
          <w:sz w:val="22"/>
          <w:szCs w:val="22"/>
        </w:rPr>
      </w:pPr>
      <w:r w:rsidRPr="00390CCE">
        <w:rPr>
          <w:rFonts w:ascii="Orkney" w:hAnsi="Orkney"/>
          <w:sz w:val="22"/>
          <w:szCs w:val="22"/>
        </w:rPr>
        <w:t xml:space="preserve">Dans le cadre de ce partenariat, le Pays et l’ADEME ont contribué chacun à hauteur de 18 millions F CFP à la création de l’Observatoire Polynésien de l’Energie (OPE), s’inscrivant ainsi dans une démarche exemplaire pour </w:t>
      </w:r>
      <w:r w:rsidRPr="00390CCE">
        <w:rPr>
          <w:rFonts w:ascii="Orkney" w:hAnsi="Orkney"/>
          <w:b/>
          <w:bCs/>
          <w:sz w:val="22"/>
          <w:szCs w:val="22"/>
        </w:rPr>
        <w:t>améliorer la connaissance des enjeux liés à l’énergie</w:t>
      </w:r>
      <w:r w:rsidRPr="00390CCE">
        <w:rPr>
          <w:rFonts w:ascii="Orkney" w:hAnsi="Orkney"/>
          <w:sz w:val="22"/>
          <w:szCs w:val="22"/>
        </w:rPr>
        <w:t xml:space="preserve"> en Polynésie française. Au travers de la publication du second Bilan annuel de l’Energie en Polynésie française, l’OPE garantit un accès libre à l’information et </w:t>
      </w:r>
      <w:r w:rsidRPr="00390CCE">
        <w:rPr>
          <w:rFonts w:ascii="Orkney" w:hAnsi="Orkney"/>
          <w:b/>
          <w:bCs/>
          <w:sz w:val="22"/>
          <w:szCs w:val="22"/>
        </w:rPr>
        <w:t>pérennise un levier au service de la transition énergétique</w:t>
      </w:r>
      <w:r w:rsidRPr="00390CCE">
        <w:rPr>
          <w:rFonts w:ascii="Orkney" w:hAnsi="Orkney"/>
          <w:sz w:val="22"/>
          <w:szCs w:val="22"/>
        </w:rPr>
        <w:t xml:space="preserve">. </w:t>
      </w:r>
    </w:p>
    <w:p w14:paraId="608E93CD" w14:textId="4387975C" w:rsidR="00390CCE" w:rsidRPr="00390CCE" w:rsidRDefault="00390CCE" w:rsidP="00390CCE">
      <w:pPr>
        <w:pStyle w:val="Paragraphedeliste"/>
        <w:numPr>
          <w:ilvl w:val="0"/>
          <w:numId w:val="3"/>
        </w:numPr>
        <w:spacing w:before="120" w:after="120" w:line="360" w:lineRule="auto"/>
        <w:ind w:left="714" w:hanging="357"/>
        <w:rPr>
          <w:rFonts w:ascii="Orkney" w:hAnsi="Orkney"/>
          <w:color w:val="244061" w:themeColor="accent1" w:themeShade="80"/>
          <w:sz w:val="28"/>
        </w:rPr>
      </w:pPr>
      <w:r w:rsidRPr="00390CCE">
        <w:rPr>
          <w:rFonts w:ascii="Orkney" w:hAnsi="Orkney"/>
          <w:color w:val="244061" w:themeColor="accent1" w:themeShade="80"/>
          <w:sz w:val="28"/>
        </w:rPr>
        <w:t>L’Observatoire Polynésien de l’Energie</w:t>
      </w:r>
    </w:p>
    <w:p w14:paraId="58C906CC" w14:textId="6E554646" w:rsidR="00390CCE" w:rsidRPr="003F628D" w:rsidRDefault="00390CCE" w:rsidP="00390CCE">
      <w:pPr>
        <w:pStyle w:val="Paragraphedeliste"/>
        <w:numPr>
          <w:ilvl w:val="1"/>
          <w:numId w:val="3"/>
        </w:numPr>
        <w:spacing w:before="120" w:after="120"/>
        <w:ind w:left="1775" w:hanging="357"/>
        <w:rPr>
          <w:rFonts w:ascii="Orkney" w:hAnsi="Orkney"/>
          <w:color w:val="244061" w:themeColor="accent1" w:themeShade="80"/>
          <w:sz w:val="28"/>
          <w:u w:val="single"/>
        </w:rPr>
      </w:pPr>
      <w:r w:rsidRPr="003F628D">
        <w:rPr>
          <w:rFonts w:ascii="Orkney" w:hAnsi="Orkney"/>
          <w:color w:val="244061" w:themeColor="accent1" w:themeShade="80"/>
          <w:sz w:val="28"/>
          <w:u w:val="single"/>
        </w:rPr>
        <w:t>L’histoire et les missions de l’OPE</w:t>
      </w:r>
    </w:p>
    <w:p w14:paraId="3316AC75" w14:textId="21F76F28" w:rsidR="00390CCE" w:rsidRPr="00390CCE" w:rsidRDefault="00390CCE" w:rsidP="00390CCE">
      <w:pPr>
        <w:spacing w:beforeLines="60" w:before="144"/>
        <w:ind w:right="11"/>
        <w:jc w:val="both"/>
        <w:rPr>
          <w:rFonts w:ascii="Orkney" w:hAnsi="Orkney"/>
          <w:sz w:val="22"/>
          <w:szCs w:val="22"/>
        </w:rPr>
      </w:pPr>
      <w:r w:rsidRPr="00390CCE">
        <w:rPr>
          <w:rFonts w:ascii="Orkney" w:hAnsi="Orkney"/>
          <w:sz w:val="22"/>
          <w:szCs w:val="22"/>
        </w:rPr>
        <w:t>La création de l'Observatoire Energie &amp; GES de la Polynésie française traduit la volonté de ses fondateurs de se doter d'un instrument spécifique de suivi et d'évaluation des actions menées en Polynésie française :</w:t>
      </w:r>
    </w:p>
    <w:p w14:paraId="07E2D102" w14:textId="01856E43" w:rsidR="00390CCE" w:rsidRPr="00390CCE" w:rsidRDefault="00390CCE" w:rsidP="00390CCE">
      <w:pPr>
        <w:pStyle w:val="Paragraphedeliste"/>
        <w:numPr>
          <w:ilvl w:val="0"/>
          <w:numId w:val="6"/>
        </w:numPr>
        <w:spacing w:beforeLines="60" w:before="144"/>
        <w:ind w:right="11"/>
        <w:jc w:val="both"/>
        <w:rPr>
          <w:rFonts w:ascii="Orkney" w:hAnsi="Orkney"/>
          <w:sz w:val="22"/>
          <w:szCs w:val="22"/>
        </w:rPr>
      </w:pPr>
      <w:r w:rsidRPr="00390CCE">
        <w:rPr>
          <w:rFonts w:ascii="Orkney" w:hAnsi="Orkney"/>
          <w:sz w:val="22"/>
          <w:szCs w:val="22"/>
        </w:rPr>
        <w:t>En matière de maîtrise de l'énergie et de développement des énergies renouvelables</w:t>
      </w:r>
      <w:r w:rsidRPr="00390CCE">
        <w:rPr>
          <w:rFonts w:ascii="Calibri" w:hAnsi="Calibri" w:cs="Calibri"/>
          <w:sz w:val="22"/>
          <w:szCs w:val="22"/>
        </w:rPr>
        <w:t> </w:t>
      </w:r>
      <w:r w:rsidRPr="00390CCE">
        <w:rPr>
          <w:rFonts w:ascii="Orkney" w:hAnsi="Orkney"/>
          <w:sz w:val="22"/>
          <w:szCs w:val="22"/>
        </w:rPr>
        <w:t>;</w:t>
      </w:r>
    </w:p>
    <w:p w14:paraId="2378FEAA" w14:textId="2C140A90" w:rsidR="00390CCE" w:rsidRPr="00390CCE" w:rsidRDefault="00390CCE" w:rsidP="00390CCE">
      <w:pPr>
        <w:pStyle w:val="Paragraphedeliste"/>
        <w:numPr>
          <w:ilvl w:val="0"/>
          <w:numId w:val="6"/>
        </w:numPr>
        <w:spacing w:beforeLines="60" w:before="144"/>
        <w:ind w:right="11"/>
        <w:jc w:val="both"/>
        <w:rPr>
          <w:rFonts w:ascii="Orkney" w:hAnsi="Orkney"/>
          <w:sz w:val="22"/>
          <w:szCs w:val="22"/>
        </w:rPr>
      </w:pPr>
      <w:r w:rsidRPr="00390CCE">
        <w:rPr>
          <w:rFonts w:ascii="Orkney" w:hAnsi="Orkney"/>
          <w:sz w:val="22"/>
          <w:szCs w:val="22"/>
        </w:rPr>
        <w:t>En faveur de l'atténuation des changements climatiques</w:t>
      </w:r>
      <w:r w:rsidRPr="00390CCE">
        <w:rPr>
          <w:rFonts w:ascii="Calibri" w:hAnsi="Calibri" w:cs="Calibri"/>
          <w:sz w:val="22"/>
          <w:szCs w:val="22"/>
        </w:rPr>
        <w:t> </w:t>
      </w:r>
      <w:r w:rsidRPr="00390CCE">
        <w:rPr>
          <w:rFonts w:ascii="Orkney" w:hAnsi="Orkney"/>
          <w:sz w:val="22"/>
          <w:szCs w:val="22"/>
        </w:rPr>
        <w:t>;</w:t>
      </w:r>
    </w:p>
    <w:p w14:paraId="73CE776D" w14:textId="77777777" w:rsidR="00390CCE" w:rsidRPr="00390CCE" w:rsidRDefault="00390CCE" w:rsidP="00390CCE">
      <w:pPr>
        <w:pStyle w:val="Paragraphedeliste"/>
        <w:numPr>
          <w:ilvl w:val="0"/>
          <w:numId w:val="6"/>
        </w:numPr>
        <w:spacing w:beforeLines="60" w:before="144"/>
        <w:ind w:right="11"/>
        <w:jc w:val="both"/>
        <w:rPr>
          <w:rFonts w:ascii="Orkney" w:hAnsi="Orkney"/>
          <w:sz w:val="22"/>
          <w:szCs w:val="22"/>
        </w:rPr>
      </w:pPr>
      <w:r w:rsidRPr="00390CCE">
        <w:rPr>
          <w:rFonts w:ascii="Orkney" w:hAnsi="Orkney"/>
          <w:sz w:val="22"/>
          <w:szCs w:val="22"/>
        </w:rPr>
        <w:t>En matière d'adaptation aux changements climatiques.</w:t>
      </w:r>
    </w:p>
    <w:p w14:paraId="52C88F3A" w14:textId="0B0F0E2F" w:rsidR="00390CCE" w:rsidRPr="00390CCE" w:rsidRDefault="00390CCE" w:rsidP="00390CCE">
      <w:pPr>
        <w:spacing w:beforeLines="60" w:before="144"/>
        <w:ind w:left="6" w:right="11"/>
        <w:jc w:val="both"/>
        <w:rPr>
          <w:rFonts w:ascii="Orkney" w:hAnsi="Orkney"/>
          <w:sz w:val="22"/>
          <w:szCs w:val="22"/>
        </w:rPr>
      </w:pPr>
      <w:r w:rsidRPr="00390CCE">
        <w:rPr>
          <w:rFonts w:ascii="Orkney" w:hAnsi="Orkney"/>
          <w:sz w:val="22"/>
          <w:szCs w:val="22"/>
        </w:rPr>
        <w:t>Cet Observatoire a pour ambition d’être un outil au service des politiques publiques, notamment lors de l'élaboration et la révision des contractualisations territoriales (accord cadre ADEME-Pays pour l'accompagnement de la politique de transition énergétique).</w:t>
      </w:r>
    </w:p>
    <w:p w14:paraId="732B7D02" w14:textId="1DFAA020" w:rsidR="00390CCE" w:rsidRPr="00390CCE" w:rsidRDefault="00390CCE" w:rsidP="00390CCE">
      <w:pPr>
        <w:spacing w:beforeLines="60" w:before="144"/>
        <w:ind w:left="6" w:right="11"/>
        <w:jc w:val="both"/>
        <w:rPr>
          <w:rFonts w:ascii="Orkney" w:hAnsi="Orkney"/>
          <w:sz w:val="22"/>
          <w:szCs w:val="22"/>
        </w:rPr>
      </w:pPr>
      <w:r w:rsidRPr="00390CCE">
        <w:rPr>
          <w:rFonts w:ascii="Orkney" w:hAnsi="Orkney"/>
          <w:sz w:val="22"/>
          <w:szCs w:val="22"/>
        </w:rPr>
        <w:t>L'Observatoire a également pour mission d'informer le grand public sur ces trois domaines au moyen de publications appropriées.</w:t>
      </w:r>
    </w:p>
    <w:p w14:paraId="6667A6DE" w14:textId="77777777" w:rsidR="00390CCE" w:rsidRDefault="00390CCE" w:rsidP="003F628D">
      <w:pPr>
        <w:spacing w:beforeLines="60" w:before="144" w:after="120"/>
        <w:ind w:left="6" w:right="11"/>
        <w:jc w:val="both"/>
        <w:rPr>
          <w:rFonts w:ascii="Orkney" w:hAnsi="Orkney"/>
          <w:sz w:val="22"/>
          <w:szCs w:val="22"/>
        </w:rPr>
      </w:pPr>
      <w:r w:rsidRPr="00390CCE">
        <w:rPr>
          <w:rFonts w:ascii="Orkney" w:hAnsi="Orkney"/>
          <w:noProof/>
          <w:sz w:val="22"/>
          <w:szCs w:val="22"/>
        </w:rPr>
        <w:drawing>
          <wp:anchor distT="0" distB="0" distL="114300" distR="114300" simplePos="0" relativeHeight="251651584" behindDoc="0" locked="0" layoutInCell="1" allowOverlap="0" wp14:anchorId="0416DE6A" wp14:editId="7C5F47D2">
            <wp:simplePos x="0" y="0"/>
            <wp:positionH relativeFrom="page">
              <wp:posOffset>539687</wp:posOffset>
            </wp:positionH>
            <wp:positionV relativeFrom="page">
              <wp:posOffset>1657895</wp:posOffset>
            </wp:positionV>
            <wp:extent cx="9695" cy="9695"/>
            <wp:effectExtent l="0" t="0" r="0" b="0"/>
            <wp:wrapSquare wrapText="bothSides"/>
            <wp:docPr id="15776" name="Picture 15776"/>
            <wp:cNvGraphicFramePr/>
            <a:graphic xmlns:a="http://schemas.openxmlformats.org/drawingml/2006/main">
              <a:graphicData uri="http://schemas.openxmlformats.org/drawingml/2006/picture">
                <pic:pic xmlns:pic="http://schemas.openxmlformats.org/drawingml/2006/picture">
                  <pic:nvPicPr>
                    <pic:cNvPr id="15776" name="Picture 15776"/>
                    <pic:cNvPicPr/>
                  </pic:nvPicPr>
                  <pic:blipFill>
                    <a:blip r:embed="rId9"/>
                    <a:stretch>
                      <a:fillRect/>
                    </a:stretch>
                  </pic:blipFill>
                  <pic:spPr>
                    <a:xfrm>
                      <a:off x="0" y="0"/>
                      <a:ext cx="9695" cy="9695"/>
                    </a:xfrm>
                    <a:prstGeom prst="rect">
                      <a:avLst/>
                    </a:prstGeom>
                  </pic:spPr>
                </pic:pic>
              </a:graphicData>
            </a:graphic>
          </wp:anchor>
        </w:drawing>
      </w:r>
      <w:r w:rsidRPr="00390CCE">
        <w:rPr>
          <w:rFonts w:ascii="Orkney" w:hAnsi="Orkney"/>
          <w:noProof/>
          <w:sz w:val="22"/>
          <w:szCs w:val="22"/>
        </w:rPr>
        <w:drawing>
          <wp:anchor distT="0" distB="0" distL="114300" distR="114300" simplePos="0" relativeHeight="251652608" behindDoc="0" locked="0" layoutInCell="1" allowOverlap="0" wp14:anchorId="6E532FC8" wp14:editId="085D0C76">
            <wp:simplePos x="0" y="0"/>
            <wp:positionH relativeFrom="page">
              <wp:posOffset>513834</wp:posOffset>
            </wp:positionH>
            <wp:positionV relativeFrom="page">
              <wp:posOffset>1670822</wp:posOffset>
            </wp:positionV>
            <wp:extent cx="25853" cy="19391"/>
            <wp:effectExtent l="0" t="0" r="0" b="0"/>
            <wp:wrapSquare wrapText="bothSides"/>
            <wp:docPr id="15777" name="Picture 15777"/>
            <wp:cNvGraphicFramePr/>
            <a:graphic xmlns:a="http://schemas.openxmlformats.org/drawingml/2006/main">
              <a:graphicData uri="http://schemas.openxmlformats.org/drawingml/2006/picture">
                <pic:pic xmlns:pic="http://schemas.openxmlformats.org/drawingml/2006/picture">
                  <pic:nvPicPr>
                    <pic:cNvPr id="15777" name="Picture 15777"/>
                    <pic:cNvPicPr/>
                  </pic:nvPicPr>
                  <pic:blipFill>
                    <a:blip r:embed="rId10"/>
                    <a:stretch>
                      <a:fillRect/>
                    </a:stretch>
                  </pic:blipFill>
                  <pic:spPr>
                    <a:xfrm>
                      <a:off x="0" y="0"/>
                      <a:ext cx="25853" cy="19391"/>
                    </a:xfrm>
                    <a:prstGeom prst="rect">
                      <a:avLst/>
                    </a:prstGeom>
                  </pic:spPr>
                </pic:pic>
              </a:graphicData>
            </a:graphic>
          </wp:anchor>
        </w:drawing>
      </w:r>
      <w:r w:rsidRPr="00390CCE">
        <w:rPr>
          <w:rFonts w:ascii="Orkney" w:hAnsi="Orkney"/>
          <w:sz w:val="22"/>
          <w:szCs w:val="22"/>
        </w:rPr>
        <w:t>L'Observatoire est donc une fonction support, où le Service des énergies, l'ADEME et leurs partenaires viennent puiser la matière dont ils auront besoin pour construire et évaluer leurs politiques publiques et mettre en œuvre leurs projets.</w:t>
      </w:r>
    </w:p>
    <w:p w14:paraId="4348813D" w14:textId="50D6F5F0" w:rsidR="003F628D" w:rsidRDefault="003F628D" w:rsidP="003F628D">
      <w:pPr>
        <w:spacing w:beforeLines="60" w:before="144" w:after="120"/>
        <w:ind w:left="6" w:right="11"/>
        <w:jc w:val="both"/>
        <w:rPr>
          <w:rFonts w:ascii="Orkney" w:hAnsi="Orkney"/>
          <w:sz w:val="22"/>
          <w:szCs w:val="22"/>
        </w:rPr>
      </w:pPr>
      <w:r>
        <w:rPr>
          <w:rFonts w:ascii="Orkney" w:hAnsi="Orkney"/>
          <w:sz w:val="22"/>
          <w:szCs w:val="22"/>
        </w:rPr>
        <w:br w:type="page"/>
      </w:r>
    </w:p>
    <w:tbl>
      <w:tblPr>
        <w:tblStyle w:val="TableauGrille5Fonc-Accentuation1"/>
        <w:tblW w:w="5000" w:type="pct"/>
        <w:tblLook w:val="0620" w:firstRow="1" w:lastRow="0" w:firstColumn="0" w:lastColumn="0" w:noHBand="1" w:noVBand="1"/>
      </w:tblPr>
      <w:tblGrid>
        <w:gridCol w:w="2654"/>
        <w:gridCol w:w="6408"/>
      </w:tblGrid>
      <w:tr w:rsidR="00390CCE" w:rsidRPr="00390CCE" w14:paraId="4C421F3D" w14:textId="77777777" w:rsidTr="00904872">
        <w:trPr>
          <w:cnfStyle w:val="100000000000" w:firstRow="1" w:lastRow="0" w:firstColumn="0" w:lastColumn="0" w:oddVBand="0" w:evenVBand="0" w:oddHBand="0" w:evenHBand="0" w:firstRowFirstColumn="0" w:firstRowLastColumn="0" w:lastRowFirstColumn="0" w:lastRowLastColumn="0"/>
          <w:trHeight w:val="202"/>
        </w:trPr>
        <w:tc>
          <w:tcPr>
            <w:tcW w:w="1438" w:type="pct"/>
            <w:noWrap/>
            <w:vAlign w:val="center"/>
          </w:tcPr>
          <w:p w14:paraId="1BE1B676" w14:textId="558ACA87" w:rsidR="00390CCE" w:rsidRPr="00390CCE" w:rsidRDefault="007B30A4" w:rsidP="00904872">
            <w:pPr>
              <w:jc w:val="center"/>
              <w:rPr>
                <w:rFonts w:ascii="Orkney" w:hAnsi="Orkney"/>
                <w:sz w:val="18"/>
                <w:szCs w:val="18"/>
              </w:rPr>
            </w:pPr>
            <w:r>
              <w:rPr>
                <w:rFonts w:ascii="Orkney" w:hAnsi="Orkney"/>
                <w:noProof/>
              </w:rPr>
              <w:lastRenderedPageBreak/>
              <w:drawing>
                <wp:anchor distT="0" distB="0" distL="114300" distR="114300" simplePos="0" relativeHeight="251663872" behindDoc="1" locked="0" layoutInCell="1" allowOverlap="1" wp14:anchorId="02375A8E" wp14:editId="4E6FBAC3">
                  <wp:simplePos x="0" y="0"/>
                  <wp:positionH relativeFrom="column">
                    <wp:posOffset>-1009650</wp:posOffset>
                  </wp:positionH>
                  <wp:positionV relativeFrom="paragraph">
                    <wp:posOffset>2353945</wp:posOffset>
                  </wp:positionV>
                  <wp:extent cx="7695210" cy="1174273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5210" cy="11742731"/>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A">
              <w:rPr>
                <w:rFonts w:ascii="Orkney" w:hAnsi="Orkney"/>
                <w:noProof/>
              </w:rPr>
              <w:drawing>
                <wp:anchor distT="0" distB="0" distL="114300" distR="114300" simplePos="0" relativeHeight="251661824" behindDoc="1" locked="0" layoutInCell="1" allowOverlap="1" wp14:anchorId="19FC03C0" wp14:editId="786B8590">
                  <wp:simplePos x="0" y="0"/>
                  <wp:positionH relativeFrom="column">
                    <wp:posOffset>-952500</wp:posOffset>
                  </wp:positionH>
                  <wp:positionV relativeFrom="paragraph">
                    <wp:posOffset>2372360</wp:posOffset>
                  </wp:positionV>
                  <wp:extent cx="7695210" cy="11742731"/>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5210" cy="11742731"/>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33">
              <w:rPr>
                <w:rFonts w:ascii="Orkney" w:hAnsi="Orkney"/>
                <w:noProof/>
              </w:rPr>
              <w:drawing>
                <wp:anchor distT="0" distB="0" distL="114300" distR="114300" simplePos="0" relativeHeight="251654656" behindDoc="1" locked="0" layoutInCell="1" allowOverlap="1" wp14:anchorId="2DBE7C08" wp14:editId="676A493D">
                  <wp:simplePos x="0" y="0"/>
                  <wp:positionH relativeFrom="column">
                    <wp:posOffset>-1045029</wp:posOffset>
                  </wp:positionH>
                  <wp:positionV relativeFrom="paragraph">
                    <wp:posOffset>-1437624</wp:posOffset>
                  </wp:positionV>
                  <wp:extent cx="7695210" cy="11742731"/>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5210" cy="11742731"/>
                          </a:xfrm>
                          <a:prstGeom prst="rect">
                            <a:avLst/>
                          </a:prstGeom>
                          <a:noFill/>
                          <a:ln>
                            <a:noFill/>
                          </a:ln>
                        </pic:spPr>
                      </pic:pic>
                    </a:graphicData>
                  </a:graphic>
                  <wp14:sizeRelH relativeFrom="page">
                    <wp14:pctWidth>0</wp14:pctWidth>
                  </wp14:sizeRelH>
                  <wp14:sizeRelV relativeFrom="page">
                    <wp14:pctHeight>0</wp14:pctHeight>
                  </wp14:sizeRelV>
                </wp:anchor>
              </w:drawing>
            </w:r>
            <w:r w:rsidR="00390CCE" w:rsidRPr="00390CCE">
              <w:rPr>
                <w:rFonts w:ascii="Orkney" w:hAnsi="Orkney"/>
                <w:sz w:val="18"/>
                <w:szCs w:val="18"/>
              </w:rPr>
              <w:t>Objectifs stratégiques</w:t>
            </w:r>
          </w:p>
        </w:tc>
        <w:tc>
          <w:tcPr>
            <w:tcW w:w="3562" w:type="pct"/>
            <w:vAlign w:val="center"/>
          </w:tcPr>
          <w:p w14:paraId="3D219446" w14:textId="77777777" w:rsidR="00390CCE" w:rsidRPr="00390CCE" w:rsidRDefault="00390CCE" w:rsidP="00904872">
            <w:pPr>
              <w:jc w:val="center"/>
              <w:rPr>
                <w:rFonts w:ascii="Orkney" w:hAnsi="Orkney"/>
                <w:sz w:val="18"/>
                <w:szCs w:val="18"/>
              </w:rPr>
            </w:pPr>
            <w:r w:rsidRPr="00390CCE">
              <w:rPr>
                <w:rFonts w:ascii="Orkney" w:hAnsi="Orkney"/>
                <w:sz w:val="18"/>
                <w:szCs w:val="18"/>
              </w:rPr>
              <w:t>Missions</w:t>
            </w:r>
          </w:p>
        </w:tc>
      </w:tr>
      <w:tr w:rsidR="00390CCE" w:rsidRPr="00390CCE" w14:paraId="5D7146B1" w14:textId="77777777" w:rsidTr="003F628D">
        <w:trPr>
          <w:trHeight w:val="671"/>
        </w:trPr>
        <w:tc>
          <w:tcPr>
            <w:tcW w:w="1438" w:type="pct"/>
            <w:noWrap/>
            <w:vAlign w:val="center"/>
          </w:tcPr>
          <w:p w14:paraId="1FB550E3" w14:textId="77777777" w:rsidR="00390CCE" w:rsidRPr="00390CCE" w:rsidRDefault="00390CCE" w:rsidP="00904872">
            <w:pPr>
              <w:jc w:val="center"/>
              <w:rPr>
                <w:rFonts w:ascii="Orkney" w:hAnsi="Orkney"/>
                <w:sz w:val="18"/>
                <w:szCs w:val="18"/>
              </w:rPr>
            </w:pPr>
            <w:r w:rsidRPr="00390CCE">
              <w:rPr>
                <w:rFonts w:ascii="Orkney" w:hAnsi="Orkney"/>
                <w:sz w:val="18"/>
                <w:szCs w:val="18"/>
              </w:rPr>
              <w:t>Produire de la connaissance</w:t>
            </w:r>
          </w:p>
        </w:tc>
        <w:tc>
          <w:tcPr>
            <w:tcW w:w="3562" w:type="pct"/>
            <w:vAlign w:val="center"/>
          </w:tcPr>
          <w:p w14:paraId="09ECD342" w14:textId="547B0036" w:rsidR="003F628D" w:rsidRPr="00390CCE" w:rsidRDefault="00390CCE" w:rsidP="00904872">
            <w:pPr>
              <w:pStyle w:val="DecimalAligned"/>
              <w:rPr>
                <w:rFonts w:ascii="Orkney" w:hAnsi="Orkney"/>
                <w:sz w:val="18"/>
                <w:szCs w:val="18"/>
              </w:rPr>
            </w:pPr>
            <w:r w:rsidRPr="00390CCE">
              <w:rPr>
                <w:rFonts w:ascii="Orkney" w:hAnsi="Orkney"/>
                <w:sz w:val="18"/>
                <w:szCs w:val="18"/>
              </w:rPr>
              <w:t>Organiser la collecte et centraliser les données, via un dispositif pérenne (suivi)</w:t>
            </w:r>
            <w:r w:rsidRPr="00390CCE">
              <w:rPr>
                <w:rFonts w:ascii="Orkney" w:hAnsi="Orkney"/>
                <w:sz w:val="18"/>
                <w:szCs w:val="18"/>
              </w:rPr>
              <w:br/>
              <w:t>Elaborer des méthodes, traiter les données, produire des indicateurs</w:t>
            </w:r>
            <w:r w:rsidRPr="00390CCE">
              <w:rPr>
                <w:rFonts w:ascii="Orkney" w:hAnsi="Orkney"/>
                <w:sz w:val="18"/>
                <w:szCs w:val="18"/>
              </w:rPr>
              <w:br/>
              <w:t>Etablir des bilans réguliers et réaliser des études spécifiques, prospectives</w:t>
            </w:r>
          </w:p>
        </w:tc>
      </w:tr>
      <w:tr w:rsidR="00390CCE" w:rsidRPr="00390CCE" w14:paraId="76948A2B" w14:textId="77777777" w:rsidTr="003F628D">
        <w:trPr>
          <w:trHeight w:val="558"/>
        </w:trPr>
        <w:tc>
          <w:tcPr>
            <w:tcW w:w="1438" w:type="pct"/>
            <w:noWrap/>
            <w:vAlign w:val="center"/>
          </w:tcPr>
          <w:p w14:paraId="5DB1EB96" w14:textId="77777777" w:rsidR="00390CCE" w:rsidRPr="00390CCE" w:rsidRDefault="00390CCE" w:rsidP="00904872">
            <w:pPr>
              <w:jc w:val="center"/>
              <w:rPr>
                <w:rFonts w:ascii="Orkney" w:hAnsi="Orkney"/>
                <w:sz w:val="18"/>
                <w:szCs w:val="18"/>
              </w:rPr>
            </w:pPr>
            <w:r w:rsidRPr="00390CCE">
              <w:rPr>
                <w:rFonts w:ascii="Orkney" w:hAnsi="Orkney"/>
                <w:sz w:val="18"/>
                <w:szCs w:val="18"/>
              </w:rPr>
              <w:t>Diffuser et valoriser l’information</w:t>
            </w:r>
          </w:p>
        </w:tc>
        <w:tc>
          <w:tcPr>
            <w:tcW w:w="3562" w:type="pct"/>
            <w:vAlign w:val="center"/>
          </w:tcPr>
          <w:p w14:paraId="0DA7B9EE" w14:textId="6D4BFA59" w:rsidR="00390CCE" w:rsidRPr="00390CCE" w:rsidRDefault="00390CCE" w:rsidP="00904872">
            <w:pPr>
              <w:pStyle w:val="DecimalAligned"/>
              <w:rPr>
                <w:rFonts w:ascii="Orkney" w:hAnsi="Orkney"/>
                <w:sz w:val="18"/>
                <w:szCs w:val="18"/>
              </w:rPr>
            </w:pPr>
            <w:r w:rsidRPr="00390CCE">
              <w:rPr>
                <w:rFonts w:ascii="Orkney" w:hAnsi="Orkney"/>
                <w:sz w:val="18"/>
                <w:szCs w:val="18"/>
              </w:rPr>
              <w:t>Elaborer des messages adaptés aux cibles</w:t>
            </w:r>
            <w:r w:rsidRPr="00390CCE">
              <w:rPr>
                <w:rFonts w:ascii="Orkney" w:hAnsi="Orkney"/>
                <w:sz w:val="18"/>
                <w:szCs w:val="18"/>
              </w:rPr>
              <w:br/>
              <w:t>Diffuser et échanger les données</w:t>
            </w:r>
          </w:p>
        </w:tc>
      </w:tr>
      <w:tr w:rsidR="00390CCE" w:rsidRPr="00390CCE" w14:paraId="13D1D270" w14:textId="77777777" w:rsidTr="003F628D">
        <w:trPr>
          <w:trHeight w:val="283"/>
        </w:trPr>
        <w:tc>
          <w:tcPr>
            <w:tcW w:w="1438" w:type="pct"/>
            <w:noWrap/>
            <w:vAlign w:val="center"/>
          </w:tcPr>
          <w:p w14:paraId="3B8581FE" w14:textId="77777777" w:rsidR="00390CCE" w:rsidRPr="00390CCE" w:rsidRDefault="00390CCE" w:rsidP="00904872">
            <w:pPr>
              <w:jc w:val="center"/>
              <w:rPr>
                <w:rFonts w:ascii="Orkney" w:hAnsi="Orkney"/>
                <w:sz w:val="18"/>
                <w:szCs w:val="18"/>
              </w:rPr>
            </w:pPr>
            <w:r w:rsidRPr="00390CCE">
              <w:rPr>
                <w:rFonts w:ascii="Orkney" w:hAnsi="Orkney"/>
                <w:sz w:val="18"/>
                <w:szCs w:val="18"/>
              </w:rPr>
              <w:t>Aide à la décision et au suivi</w:t>
            </w:r>
          </w:p>
        </w:tc>
        <w:tc>
          <w:tcPr>
            <w:tcW w:w="3562" w:type="pct"/>
            <w:vAlign w:val="center"/>
          </w:tcPr>
          <w:p w14:paraId="0BD8B62F" w14:textId="0CD43B63" w:rsidR="00390CCE" w:rsidRPr="00390CCE" w:rsidRDefault="00390CCE" w:rsidP="00904872">
            <w:pPr>
              <w:pStyle w:val="DecimalAligned"/>
              <w:rPr>
                <w:rFonts w:ascii="Orkney" w:hAnsi="Orkney"/>
                <w:sz w:val="18"/>
                <w:szCs w:val="18"/>
              </w:rPr>
            </w:pPr>
            <w:r w:rsidRPr="00390CCE">
              <w:rPr>
                <w:rFonts w:ascii="Orkney" w:hAnsi="Orkney"/>
                <w:sz w:val="18"/>
                <w:szCs w:val="18"/>
              </w:rPr>
              <w:t>Mettre à disposition des outils d’aide à la décision</w:t>
            </w:r>
            <w:r w:rsidRPr="00390CCE">
              <w:rPr>
                <w:rFonts w:ascii="Orkney" w:hAnsi="Orkney"/>
                <w:sz w:val="18"/>
                <w:szCs w:val="18"/>
              </w:rPr>
              <w:br/>
              <w:t>Accompagner, évaluer et suivre l’efficacité des politiques et mesures mises en œuvre sur le territoire</w:t>
            </w:r>
          </w:p>
        </w:tc>
      </w:tr>
    </w:tbl>
    <w:p w14:paraId="62E88D84" w14:textId="764139A1" w:rsidR="002232AA" w:rsidRDefault="002232AA" w:rsidP="00390CCE">
      <w:pPr>
        <w:pStyle w:val="Titre1"/>
        <w:numPr>
          <w:ilvl w:val="1"/>
          <w:numId w:val="3"/>
        </w:numPr>
        <w:spacing w:before="120" w:after="120"/>
        <w:ind w:left="1775" w:hanging="357"/>
        <w:rPr>
          <w:rFonts w:ascii="Orkney" w:hAnsi="Orkney" w:cs="Times New Roman"/>
          <w:color w:val="244061" w:themeColor="accent1" w:themeShade="80"/>
          <w:sz w:val="28"/>
          <w:u w:val="single"/>
        </w:rPr>
      </w:pPr>
      <w:r>
        <w:rPr>
          <w:rFonts w:ascii="Orkney" w:hAnsi="Orkney" w:cs="Times New Roman"/>
          <w:color w:val="244061" w:themeColor="accent1" w:themeShade="80"/>
          <w:sz w:val="28"/>
          <w:u w:val="single"/>
        </w:rPr>
        <w:t>Le bilan énergétique 2018</w:t>
      </w:r>
    </w:p>
    <w:p w14:paraId="2F925AD4" w14:textId="118EFB14" w:rsidR="002232AA" w:rsidRPr="005A4971" w:rsidRDefault="002232AA" w:rsidP="003F628D">
      <w:pPr>
        <w:jc w:val="both"/>
        <w:rPr>
          <w:rFonts w:ascii="Orkney" w:hAnsi="Orkney"/>
          <w:iCs/>
          <w:color w:val="000000" w:themeColor="text1"/>
          <w:sz w:val="22"/>
          <w:szCs w:val="22"/>
        </w:rPr>
      </w:pPr>
      <w:r w:rsidRPr="005A4971">
        <w:rPr>
          <w:rFonts w:ascii="Orkney" w:hAnsi="Orkney"/>
          <w:iCs/>
          <w:color w:val="000000" w:themeColor="text1"/>
          <w:sz w:val="22"/>
          <w:szCs w:val="22"/>
        </w:rPr>
        <w:t>Le bilan énergétique est un recueil d’informations liées au secteur de l’énergie. Il permet de prendre ou d’ajuster des mesures sur des sujets comme la maitrise de l’énergie ou encore la réduction des émissions de gaz à effet de serre.</w:t>
      </w:r>
    </w:p>
    <w:p w14:paraId="3542F24D" w14:textId="64564B1D" w:rsidR="002232AA" w:rsidRDefault="002232AA" w:rsidP="002232AA">
      <w:pPr>
        <w:rPr>
          <w:rFonts w:ascii="Orkney" w:hAnsi="Orkney"/>
          <w:iCs/>
          <w:color w:val="000000" w:themeColor="text1"/>
        </w:rPr>
      </w:pPr>
    </w:p>
    <w:p w14:paraId="5D8C7AE3" w14:textId="7153511F" w:rsidR="002232AA" w:rsidRDefault="002232AA" w:rsidP="002232AA">
      <w:pPr>
        <w:rPr>
          <w:rFonts w:ascii="Orkney" w:hAnsi="Orkney"/>
          <w:iCs/>
          <w:color w:val="000000" w:themeColor="text1"/>
        </w:rPr>
      </w:pPr>
    </w:p>
    <w:p w14:paraId="245BF95D" w14:textId="09B5140B" w:rsidR="002232AA" w:rsidRDefault="002232AA" w:rsidP="002232AA">
      <w:pPr>
        <w:rPr>
          <w:rFonts w:ascii="Orkney" w:hAnsi="Orkney"/>
          <w:iCs/>
          <w:color w:val="000000" w:themeColor="text1"/>
        </w:rPr>
      </w:pPr>
      <w:r>
        <w:rPr>
          <w:noProof/>
        </w:rPr>
        <w:drawing>
          <wp:anchor distT="0" distB="0" distL="114300" distR="114300" simplePos="0" relativeHeight="251661312" behindDoc="1" locked="0" layoutInCell="1" allowOverlap="1" wp14:anchorId="74064EC4" wp14:editId="3150C69F">
            <wp:simplePos x="0" y="0"/>
            <wp:positionH relativeFrom="column">
              <wp:posOffset>2433955</wp:posOffset>
            </wp:positionH>
            <wp:positionV relativeFrom="paragraph">
              <wp:posOffset>81915</wp:posOffset>
            </wp:positionV>
            <wp:extent cx="1423670" cy="1214755"/>
            <wp:effectExtent l="95250" t="114300" r="81280" b="9969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2723" b="46630"/>
                    <a:stretch/>
                  </pic:blipFill>
                  <pic:spPr bwMode="auto">
                    <a:xfrm rot="591042">
                      <a:off x="0" y="0"/>
                      <a:ext cx="1423670" cy="1214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11F593E6" wp14:editId="453F121E">
            <wp:simplePos x="0" y="0"/>
            <wp:positionH relativeFrom="column">
              <wp:posOffset>1462405</wp:posOffset>
            </wp:positionH>
            <wp:positionV relativeFrom="paragraph">
              <wp:posOffset>110490</wp:posOffset>
            </wp:positionV>
            <wp:extent cx="1432534" cy="1998834"/>
            <wp:effectExtent l="152400" t="114300" r="130175" b="781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082329">
                      <a:off x="0" y="0"/>
                      <a:ext cx="1432534" cy="1998834"/>
                    </a:xfrm>
                    <a:prstGeom prst="rect">
                      <a:avLst/>
                    </a:prstGeom>
                    <a:noFill/>
                    <a:ln>
                      <a:noFill/>
                    </a:ln>
                  </pic:spPr>
                </pic:pic>
              </a:graphicData>
            </a:graphic>
          </wp:anchor>
        </w:drawing>
      </w:r>
      <w:r w:rsidRPr="002232AA">
        <w:rPr>
          <w:noProof/>
        </w:rPr>
        <w:t xml:space="preserve"> </w:t>
      </w:r>
      <w:r>
        <w:rPr>
          <w:noProof/>
        </w:rPr>
        <w:drawing>
          <wp:anchor distT="0" distB="0" distL="114300" distR="114300" simplePos="0" relativeHeight="251658240" behindDoc="1" locked="0" layoutInCell="1" allowOverlap="1" wp14:anchorId="325BAF68" wp14:editId="1B9BCBE9">
            <wp:simplePos x="0" y="0"/>
            <wp:positionH relativeFrom="column">
              <wp:posOffset>2138680</wp:posOffset>
            </wp:positionH>
            <wp:positionV relativeFrom="paragraph">
              <wp:posOffset>348615</wp:posOffset>
            </wp:positionV>
            <wp:extent cx="1450975" cy="1208405"/>
            <wp:effectExtent l="171450" t="209550" r="111125" b="1822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r="8511" b="44471"/>
                    <a:stretch/>
                  </pic:blipFill>
                  <pic:spPr bwMode="auto">
                    <a:xfrm rot="20485656">
                      <a:off x="0" y="0"/>
                      <a:ext cx="1450975" cy="1208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39B6C3C1" wp14:editId="4AE3BA7A">
            <wp:simplePos x="0" y="0"/>
            <wp:positionH relativeFrom="column">
              <wp:posOffset>2100580</wp:posOffset>
            </wp:positionH>
            <wp:positionV relativeFrom="paragraph">
              <wp:posOffset>81915</wp:posOffset>
            </wp:positionV>
            <wp:extent cx="1498600" cy="20910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8600" cy="209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555F0" w14:textId="4B4F746D" w:rsidR="002232AA" w:rsidRDefault="002232AA" w:rsidP="002232AA">
      <w:pPr>
        <w:rPr>
          <w:rFonts w:ascii="Orkney" w:hAnsi="Orkney"/>
          <w:iCs/>
          <w:color w:val="000000" w:themeColor="text1"/>
        </w:rPr>
      </w:pPr>
    </w:p>
    <w:p w14:paraId="60D92DFA" w14:textId="74733650" w:rsidR="002232AA" w:rsidRDefault="002232AA" w:rsidP="002232AA">
      <w:pPr>
        <w:rPr>
          <w:rFonts w:ascii="Orkney" w:hAnsi="Orkney"/>
          <w:iCs/>
          <w:color w:val="000000" w:themeColor="text1"/>
        </w:rPr>
      </w:pPr>
    </w:p>
    <w:p w14:paraId="6A1B7245" w14:textId="31CE3D89" w:rsidR="002232AA" w:rsidRDefault="002232AA" w:rsidP="002232AA">
      <w:pPr>
        <w:rPr>
          <w:rFonts w:ascii="Orkney" w:hAnsi="Orkney"/>
          <w:iCs/>
          <w:color w:val="000000" w:themeColor="text1"/>
        </w:rPr>
      </w:pPr>
    </w:p>
    <w:p w14:paraId="709A1536" w14:textId="02CE9982" w:rsidR="002232AA" w:rsidRDefault="002232AA" w:rsidP="002232AA">
      <w:pPr>
        <w:rPr>
          <w:rFonts w:ascii="Orkney" w:hAnsi="Orkney"/>
          <w:iCs/>
          <w:color w:val="000000" w:themeColor="text1"/>
        </w:rPr>
      </w:pPr>
      <w:r>
        <w:rPr>
          <w:noProof/>
        </w:rPr>
        <w:drawing>
          <wp:anchor distT="0" distB="0" distL="114300" distR="114300" simplePos="0" relativeHeight="251664384" behindDoc="1" locked="0" layoutInCell="1" allowOverlap="1" wp14:anchorId="3224ED7F" wp14:editId="0F99B04B">
            <wp:simplePos x="0" y="0"/>
            <wp:positionH relativeFrom="column">
              <wp:posOffset>2205355</wp:posOffset>
            </wp:positionH>
            <wp:positionV relativeFrom="paragraph">
              <wp:posOffset>90805</wp:posOffset>
            </wp:positionV>
            <wp:extent cx="1605280" cy="124333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1751" r="31061"/>
                    <a:stretch/>
                  </pic:blipFill>
                  <pic:spPr bwMode="auto">
                    <a:xfrm>
                      <a:off x="0" y="0"/>
                      <a:ext cx="1605280" cy="1243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290B29" w14:textId="26D48CE5" w:rsidR="002232AA" w:rsidRDefault="002232AA" w:rsidP="002232AA">
      <w:pPr>
        <w:rPr>
          <w:rFonts w:ascii="Orkney" w:hAnsi="Orkney"/>
          <w:iCs/>
          <w:color w:val="000000" w:themeColor="text1"/>
        </w:rPr>
      </w:pPr>
    </w:p>
    <w:p w14:paraId="3401B11D" w14:textId="577A3902" w:rsidR="002232AA" w:rsidRDefault="002232AA" w:rsidP="002232AA">
      <w:pPr>
        <w:rPr>
          <w:rFonts w:ascii="Orkney" w:hAnsi="Orkney"/>
          <w:iCs/>
          <w:color w:val="000000" w:themeColor="text1"/>
        </w:rPr>
      </w:pPr>
    </w:p>
    <w:p w14:paraId="20D5E26A" w14:textId="77777777" w:rsidR="002232AA" w:rsidRDefault="002232AA" w:rsidP="002232AA">
      <w:pPr>
        <w:rPr>
          <w:rFonts w:ascii="Orkney" w:hAnsi="Orkney"/>
          <w:iCs/>
          <w:color w:val="000000" w:themeColor="text1"/>
        </w:rPr>
      </w:pPr>
    </w:p>
    <w:p w14:paraId="7DFB37AC" w14:textId="781B8F12" w:rsidR="002232AA" w:rsidRDefault="002232AA" w:rsidP="002232AA">
      <w:pPr>
        <w:rPr>
          <w:rFonts w:ascii="Orkney" w:hAnsi="Orkney"/>
          <w:iCs/>
          <w:color w:val="000000" w:themeColor="text1"/>
        </w:rPr>
      </w:pPr>
    </w:p>
    <w:p w14:paraId="22246996" w14:textId="01B83AFA" w:rsidR="002232AA" w:rsidRDefault="002232AA" w:rsidP="002232AA">
      <w:pPr>
        <w:rPr>
          <w:rFonts w:ascii="Orkney" w:hAnsi="Orkney"/>
          <w:iCs/>
          <w:color w:val="000000" w:themeColor="text1"/>
        </w:rPr>
      </w:pPr>
    </w:p>
    <w:p w14:paraId="20B52C33" w14:textId="616D5FC4" w:rsidR="002232AA" w:rsidRDefault="002232AA" w:rsidP="002232AA">
      <w:pPr>
        <w:rPr>
          <w:rFonts w:ascii="Orkney" w:hAnsi="Orkney"/>
          <w:iCs/>
          <w:color w:val="000000" w:themeColor="text1"/>
        </w:rPr>
      </w:pPr>
    </w:p>
    <w:p w14:paraId="3BFFC7BB" w14:textId="77777777" w:rsidR="002232AA" w:rsidRPr="002232AA" w:rsidRDefault="002232AA" w:rsidP="002232AA"/>
    <w:p w14:paraId="6803E8DC" w14:textId="79093807" w:rsidR="002232AA" w:rsidRDefault="002232AA" w:rsidP="002232AA"/>
    <w:p w14:paraId="1FE4A75B" w14:textId="77777777" w:rsidR="00BE72DA" w:rsidRPr="005A4971" w:rsidRDefault="002232AA" w:rsidP="002232AA">
      <w:pPr>
        <w:tabs>
          <w:tab w:val="left" w:pos="6285"/>
        </w:tabs>
        <w:spacing w:before="120" w:after="120" w:line="276" w:lineRule="auto"/>
        <w:jc w:val="both"/>
        <w:rPr>
          <w:rFonts w:ascii="Orkney" w:hAnsi="Orkney"/>
          <w:iCs/>
          <w:color w:val="000000" w:themeColor="text1"/>
          <w:sz w:val="22"/>
          <w:szCs w:val="22"/>
        </w:rPr>
      </w:pPr>
      <w:r w:rsidRPr="005A4971">
        <w:rPr>
          <w:rFonts w:ascii="Orkney" w:hAnsi="Orkney"/>
          <w:iCs/>
          <w:color w:val="000000" w:themeColor="text1"/>
          <w:sz w:val="22"/>
          <w:szCs w:val="22"/>
        </w:rPr>
        <w:t xml:space="preserve">En 2018, </w:t>
      </w:r>
      <w:r w:rsidRPr="005A4971">
        <w:rPr>
          <w:rFonts w:ascii="Orkney" w:hAnsi="Orkney"/>
          <w:b/>
          <w:bCs/>
          <w:iCs/>
          <w:color w:val="000000" w:themeColor="text1"/>
          <w:sz w:val="22"/>
          <w:szCs w:val="22"/>
        </w:rPr>
        <w:t>93,7%</w:t>
      </w:r>
      <w:r w:rsidRPr="005A4971">
        <w:rPr>
          <w:rFonts w:ascii="Orkney" w:hAnsi="Orkney"/>
          <w:iCs/>
          <w:color w:val="000000" w:themeColor="text1"/>
          <w:sz w:val="22"/>
          <w:szCs w:val="22"/>
        </w:rPr>
        <w:t xml:space="preserve"> c’est le taux de dépendance du Fenua. Il indique la part d’énergie qu’un Pays doit importer pour sa consommation d’énergie primaire. En Polynésie française, la plupart de l’énergie provient d’énergies fossiles. Plus de </w:t>
      </w:r>
      <w:r w:rsidRPr="005A4971">
        <w:rPr>
          <w:rFonts w:ascii="Orkney" w:hAnsi="Orkney"/>
          <w:b/>
          <w:bCs/>
          <w:iCs/>
          <w:color w:val="000000" w:themeColor="text1"/>
          <w:sz w:val="22"/>
          <w:szCs w:val="22"/>
        </w:rPr>
        <w:t>340 millions de litres de carburants</w:t>
      </w:r>
      <w:r w:rsidRPr="005A4971">
        <w:rPr>
          <w:rFonts w:ascii="Orkney" w:hAnsi="Orkney"/>
          <w:iCs/>
          <w:color w:val="000000" w:themeColor="text1"/>
          <w:sz w:val="22"/>
          <w:szCs w:val="22"/>
        </w:rPr>
        <w:t xml:space="preserve"> sont importés pour les besoins énergétiques du territoire. La gazole, destiné à la production d’électricité et au transports routier/maritime, reste depuis les 8 dernières années, le principal hydrocarbure importé (49%).</w:t>
      </w:r>
    </w:p>
    <w:p w14:paraId="68DB0BB6" w14:textId="76AB1843" w:rsidR="002232AA" w:rsidRPr="005A4971" w:rsidRDefault="00BE72DA" w:rsidP="002232AA">
      <w:pPr>
        <w:tabs>
          <w:tab w:val="left" w:pos="6285"/>
        </w:tabs>
        <w:spacing w:before="120" w:after="120" w:line="276" w:lineRule="auto"/>
        <w:jc w:val="both"/>
        <w:rPr>
          <w:rFonts w:ascii="Orkney" w:hAnsi="Orkney"/>
          <w:iCs/>
          <w:color w:val="000000" w:themeColor="text1"/>
          <w:sz w:val="22"/>
          <w:szCs w:val="22"/>
        </w:rPr>
      </w:pPr>
      <w:r w:rsidRPr="005A4971">
        <w:rPr>
          <w:rFonts w:ascii="Orkney" w:hAnsi="Orkney"/>
          <w:iCs/>
          <w:color w:val="000000" w:themeColor="text1"/>
          <w:sz w:val="22"/>
          <w:szCs w:val="22"/>
        </w:rPr>
        <w:t xml:space="preserve">La production d’électricité </w:t>
      </w:r>
      <w:r w:rsidRPr="005A4971">
        <w:rPr>
          <w:rFonts w:ascii="Orkney" w:hAnsi="Orkney"/>
          <w:b/>
          <w:bCs/>
          <w:iCs/>
          <w:color w:val="000000" w:themeColor="text1"/>
          <w:sz w:val="22"/>
          <w:szCs w:val="22"/>
        </w:rPr>
        <w:t>est de 689 GWh en 2018 sur l’ensemble du territoire, dont 488 GWh sont issues d’une production thermique</w:t>
      </w:r>
      <w:r w:rsidRPr="005A4971">
        <w:rPr>
          <w:rFonts w:ascii="Orkney" w:hAnsi="Orkney"/>
          <w:iCs/>
          <w:color w:val="000000" w:themeColor="text1"/>
          <w:sz w:val="22"/>
          <w:szCs w:val="22"/>
        </w:rPr>
        <w:t>.</w:t>
      </w:r>
      <w:r w:rsidRPr="005A4971">
        <w:rPr>
          <w:rFonts w:ascii="Orkney" w:eastAsiaTheme="minorEastAsia" w:hAnsi="Orkney" w:cstheme="minorBidi"/>
          <w:color w:val="000000" w:themeColor="text1"/>
          <w:kern w:val="24"/>
          <w:sz w:val="22"/>
          <w:szCs w:val="22"/>
        </w:rPr>
        <w:t xml:space="preserve"> Le taux de pénétration des énergies renouvelables </w:t>
      </w:r>
      <w:r w:rsidRPr="005A4971">
        <w:rPr>
          <w:rFonts w:ascii="Orkney" w:hAnsi="Orkney"/>
          <w:b/>
          <w:bCs/>
          <w:iCs/>
          <w:color w:val="000000" w:themeColor="text1"/>
          <w:sz w:val="22"/>
          <w:szCs w:val="22"/>
        </w:rPr>
        <w:t>e</w:t>
      </w:r>
      <w:r w:rsidR="002232AA" w:rsidRPr="005A4971">
        <w:rPr>
          <w:rFonts w:ascii="Orkney" w:hAnsi="Orkney"/>
          <w:b/>
          <w:bCs/>
          <w:iCs/>
          <w:color w:val="000000" w:themeColor="text1"/>
          <w:sz w:val="22"/>
          <w:szCs w:val="22"/>
        </w:rPr>
        <w:t>st de 29.3%</w:t>
      </w:r>
      <w:r w:rsidRPr="005A4971">
        <w:rPr>
          <w:rFonts w:ascii="Orkney" w:hAnsi="Orkney"/>
          <w:b/>
          <w:bCs/>
          <w:iCs/>
          <w:color w:val="000000" w:themeColor="text1"/>
          <w:sz w:val="22"/>
          <w:szCs w:val="22"/>
        </w:rPr>
        <w:t xml:space="preserve"> </w:t>
      </w:r>
      <w:r w:rsidRPr="005A4971">
        <w:rPr>
          <w:rFonts w:ascii="Orkney" w:hAnsi="Orkney"/>
          <w:iCs/>
          <w:color w:val="000000" w:themeColor="text1"/>
          <w:sz w:val="22"/>
          <w:szCs w:val="22"/>
        </w:rPr>
        <w:t>en 2018</w:t>
      </w:r>
      <w:r w:rsidR="002232AA" w:rsidRPr="005A4971">
        <w:rPr>
          <w:rFonts w:ascii="Orkney" w:hAnsi="Orkney"/>
          <w:b/>
          <w:bCs/>
          <w:iCs/>
          <w:color w:val="000000" w:themeColor="text1"/>
          <w:sz w:val="22"/>
          <w:szCs w:val="22"/>
        </w:rPr>
        <w:t>.</w:t>
      </w:r>
      <w:r w:rsidR="002232AA" w:rsidRPr="005A4971">
        <w:rPr>
          <w:rFonts w:ascii="Orkney" w:hAnsi="Orkney"/>
          <w:iCs/>
          <w:color w:val="000000" w:themeColor="text1"/>
          <w:sz w:val="22"/>
          <w:szCs w:val="22"/>
        </w:rPr>
        <w:t xml:space="preserve"> L’hydroélectricité reste la première source d’énergie renouvelable sur le Fenua. Depuis 2010, la production d’hydroélectricité fluctue autour d’une moyenne annuelle de </w:t>
      </w:r>
      <w:r w:rsidR="002232AA" w:rsidRPr="005A4971">
        <w:rPr>
          <w:rFonts w:ascii="Orkney" w:hAnsi="Orkney"/>
          <w:b/>
          <w:bCs/>
          <w:iCs/>
          <w:color w:val="000000" w:themeColor="text1"/>
          <w:sz w:val="22"/>
          <w:szCs w:val="22"/>
        </w:rPr>
        <w:t>172 GWh</w:t>
      </w:r>
      <w:r w:rsidR="002232AA" w:rsidRPr="005A4971">
        <w:rPr>
          <w:rFonts w:ascii="Orkney" w:hAnsi="Orkney"/>
          <w:iCs/>
          <w:color w:val="000000" w:themeColor="text1"/>
          <w:sz w:val="22"/>
          <w:szCs w:val="22"/>
        </w:rPr>
        <w:t>.</w:t>
      </w:r>
      <w:r w:rsidRPr="005A4971">
        <w:rPr>
          <w:rFonts w:ascii="Orkney" w:hAnsi="Orkney"/>
          <w:iCs/>
          <w:color w:val="000000" w:themeColor="text1"/>
          <w:sz w:val="22"/>
          <w:szCs w:val="22"/>
        </w:rPr>
        <w:t xml:space="preserve"> L’installation de panneaux photovoltaïques suit une</w:t>
      </w:r>
      <w:r w:rsidRPr="005A4971">
        <w:rPr>
          <w:rFonts w:ascii="Orkney" w:hAnsi="Orkney"/>
          <w:iCs/>
          <w:color w:val="000000" w:themeColor="text1"/>
        </w:rPr>
        <w:t xml:space="preserve"> </w:t>
      </w:r>
      <w:r w:rsidRPr="005A4971">
        <w:rPr>
          <w:rFonts w:ascii="Orkney" w:hAnsi="Orkney"/>
          <w:iCs/>
          <w:color w:val="000000" w:themeColor="text1"/>
          <w:sz w:val="22"/>
          <w:szCs w:val="22"/>
        </w:rPr>
        <w:t>augmentation en moyenne de 10 % par an depuis 2014. Elle correspond à 18 % de la production d’électricité d’origine renouvelable.</w:t>
      </w:r>
      <w:r w:rsidR="002232AA" w:rsidRPr="005A4971">
        <w:rPr>
          <w:rFonts w:ascii="Orkney" w:hAnsi="Orkney"/>
          <w:iCs/>
          <w:color w:val="000000" w:themeColor="text1"/>
          <w:sz w:val="22"/>
          <w:szCs w:val="22"/>
        </w:rPr>
        <w:t xml:space="preserve"> </w:t>
      </w:r>
    </w:p>
    <w:p w14:paraId="01844FEF" w14:textId="46661009" w:rsidR="002232AA" w:rsidRPr="007B30A4" w:rsidRDefault="002232AA" w:rsidP="005A4971">
      <w:pPr>
        <w:jc w:val="both"/>
        <w:rPr>
          <w:rFonts w:ascii="Orkney" w:hAnsi="Orkney"/>
          <w:iCs/>
          <w:color w:val="000000" w:themeColor="text1"/>
          <w:sz w:val="22"/>
          <w:szCs w:val="22"/>
        </w:rPr>
      </w:pPr>
      <w:r w:rsidRPr="005A4971">
        <w:rPr>
          <w:rFonts w:ascii="Orkney" w:hAnsi="Orkney"/>
          <w:iCs/>
          <w:color w:val="000000" w:themeColor="text1"/>
          <w:sz w:val="22"/>
          <w:szCs w:val="22"/>
        </w:rPr>
        <w:t>En Polynésie française</w:t>
      </w:r>
      <w:r w:rsidRPr="005A4971">
        <w:rPr>
          <w:rFonts w:ascii="Orkney" w:hAnsi="Orkney"/>
          <w:b/>
          <w:bCs/>
          <w:iCs/>
          <w:color w:val="000000" w:themeColor="text1"/>
          <w:sz w:val="22"/>
          <w:szCs w:val="22"/>
        </w:rPr>
        <w:t>, la consommation d’énergie finale représente 235 ktep</w:t>
      </w:r>
      <w:r w:rsidRPr="005A4971">
        <w:rPr>
          <w:rFonts w:ascii="Orkney" w:hAnsi="Orkney"/>
          <w:iCs/>
          <w:color w:val="000000" w:themeColor="text1"/>
          <w:sz w:val="22"/>
          <w:szCs w:val="22"/>
        </w:rPr>
        <w:t xml:space="preserve">, elle correspond à la consommation de l’ensemble des énergies après transformation ou exploitation faite par le </w:t>
      </w:r>
      <w:r w:rsidR="007B30A4">
        <w:rPr>
          <w:rFonts w:ascii="Orkney" w:hAnsi="Orkney"/>
          <w:noProof/>
        </w:rPr>
        <w:drawing>
          <wp:anchor distT="0" distB="0" distL="114300" distR="114300" simplePos="0" relativeHeight="251677696" behindDoc="1" locked="0" layoutInCell="1" allowOverlap="1" wp14:anchorId="7346B1E0" wp14:editId="5A14B6C3">
            <wp:simplePos x="0" y="0"/>
            <wp:positionH relativeFrom="column">
              <wp:posOffset>-895350</wp:posOffset>
            </wp:positionH>
            <wp:positionV relativeFrom="paragraph">
              <wp:posOffset>-882015</wp:posOffset>
            </wp:positionV>
            <wp:extent cx="7695210" cy="1174273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5210" cy="117427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0A4">
        <w:rPr>
          <w:rFonts w:ascii="Orkney" w:hAnsi="Orkney"/>
          <w:iCs/>
          <w:color w:val="000000" w:themeColor="text1"/>
          <w:sz w:val="22"/>
          <w:szCs w:val="22"/>
        </w:rPr>
        <w:t xml:space="preserve">consommateur finale. </w:t>
      </w:r>
      <w:r w:rsidRPr="007B30A4">
        <w:rPr>
          <w:rFonts w:ascii="Orkney" w:hAnsi="Orkney"/>
          <w:b/>
          <w:bCs/>
          <w:iCs/>
          <w:color w:val="000000" w:themeColor="text1"/>
          <w:sz w:val="22"/>
          <w:szCs w:val="22"/>
        </w:rPr>
        <w:t>Le secteur le plus énergivore en 2018 reste celui des transports avec 69%</w:t>
      </w:r>
      <w:r w:rsidRPr="007B30A4">
        <w:rPr>
          <w:rFonts w:ascii="Orkney" w:hAnsi="Orkney"/>
          <w:iCs/>
          <w:color w:val="000000" w:themeColor="text1"/>
          <w:sz w:val="22"/>
          <w:szCs w:val="22"/>
        </w:rPr>
        <w:t xml:space="preserve"> avec un fort besoin de transports routiers</w:t>
      </w:r>
      <w:r w:rsidR="00BE72DA" w:rsidRPr="007B30A4">
        <w:rPr>
          <w:rFonts w:ascii="Orkney" w:hAnsi="Orkney"/>
          <w:iCs/>
          <w:color w:val="000000" w:themeColor="text1"/>
          <w:sz w:val="22"/>
          <w:szCs w:val="22"/>
        </w:rPr>
        <w:t xml:space="preserve"> s</w:t>
      </w:r>
      <w:r w:rsidRPr="007B30A4">
        <w:rPr>
          <w:rFonts w:ascii="Orkney" w:hAnsi="Orkney"/>
          <w:iCs/>
          <w:color w:val="000000" w:themeColor="text1"/>
          <w:sz w:val="22"/>
          <w:szCs w:val="22"/>
        </w:rPr>
        <w:t xml:space="preserve">uivi de la </w:t>
      </w:r>
      <w:r w:rsidR="005A4971" w:rsidRPr="007B30A4">
        <w:rPr>
          <w:rFonts w:ascii="Orkney" w:hAnsi="Orkney"/>
          <w:iCs/>
          <w:color w:val="000000" w:themeColor="text1"/>
          <w:sz w:val="22"/>
          <w:szCs w:val="22"/>
        </w:rPr>
        <w:t>consommation</w:t>
      </w:r>
      <w:r w:rsidRPr="007B30A4">
        <w:rPr>
          <w:rFonts w:ascii="Orkney" w:hAnsi="Orkney"/>
          <w:iCs/>
          <w:color w:val="000000" w:themeColor="text1"/>
          <w:sz w:val="22"/>
          <w:szCs w:val="22"/>
        </w:rPr>
        <w:t xml:space="preserve"> d’électricité avec 22%, la pêche, la perliculture et la production de chaleur en minorité.</w:t>
      </w:r>
      <w:r w:rsidR="005A4971" w:rsidRPr="007B30A4">
        <w:rPr>
          <w:rFonts w:ascii="Orkney" w:hAnsi="Orkney"/>
          <w:iCs/>
          <w:color w:val="000000" w:themeColor="text1"/>
          <w:sz w:val="22"/>
          <w:szCs w:val="22"/>
        </w:rPr>
        <w:t xml:space="preserve"> En moyenne, un</w:t>
      </w:r>
      <w:r w:rsidR="00BE72DA" w:rsidRPr="007B30A4">
        <w:rPr>
          <w:rFonts w:ascii="Orkney" w:hAnsi="Orkney"/>
          <w:iCs/>
          <w:color w:val="000000" w:themeColor="text1"/>
          <w:sz w:val="22"/>
          <w:szCs w:val="22"/>
        </w:rPr>
        <w:t xml:space="preserve"> foyer consomme par mois 228 </w:t>
      </w:r>
      <w:r w:rsidR="00BE72DA" w:rsidRPr="007B30A4">
        <w:rPr>
          <w:rFonts w:ascii="Orkney" w:hAnsi="Orkney"/>
          <w:iCs/>
          <w:color w:val="000000" w:themeColor="text1"/>
          <w:sz w:val="22"/>
          <w:szCs w:val="22"/>
        </w:rPr>
        <w:lastRenderedPageBreak/>
        <w:t>kWh</w:t>
      </w:r>
      <w:r w:rsidR="005A4971" w:rsidRPr="007B30A4">
        <w:rPr>
          <w:rFonts w:ascii="Orkney" w:hAnsi="Orkney"/>
          <w:iCs/>
          <w:color w:val="000000" w:themeColor="text1"/>
          <w:sz w:val="22"/>
          <w:szCs w:val="22"/>
        </w:rPr>
        <w:t xml:space="preserve"> d’électricité</w:t>
      </w:r>
      <w:r w:rsidR="00BE72DA" w:rsidRPr="007B30A4">
        <w:rPr>
          <w:rFonts w:ascii="Orkney" w:hAnsi="Orkney"/>
          <w:iCs/>
          <w:color w:val="000000" w:themeColor="text1"/>
          <w:sz w:val="22"/>
          <w:szCs w:val="22"/>
        </w:rPr>
        <w:t xml:space="preserve">. </w:t>
      </w:r>
      <w:r w:rsidR="005A4971" w:rsidRPr="007B30A4">
        <w:rPr>
          <w:rFonts w:ascii="Orkney" w:hAnsi="Orkney"/>
          <w:iCs/>
          <w:color w:val="000000" w:themeColor="text1"/>
          <w:sz w:val="22"/>
          <w:szCs w:val="22"/>
        </w:rPr>
        <w:t xml:space="preserve">Cela représente </w:t>
      </w:r>
      <w:r w:rsidR="00BE72DA" w:rsidRPr="007B30A4">
        <w:rPr>
          <w:rFonts w:ascii="Orkney" w:hAnsi="Orkney"/>
          <w:iCs/>
          <w:color w:val="000000" w:themeColor="text1"/>
          <w:sz w:val="22"/>
          <w:szCs w:val="22"/>
        </w:rPr>
        <w:t xml:space="preserve">un smartphone allumé pendant 76 années ou encore 10 tours de l’île en voiture électrique.  </w:t>
      </w:r>
    </w:p>
    <w:p w14:paraId="1B819B48" w14:textId="372F93AD" w:rsidR="005A4971" w:rsidRPr="007B30A4" w:rsidRDefault="005A4971" w:rsidP="002232AA">
      <w:pPr>
        <w:jc w:val="both"/>
        <w:rPr>
          <w:rFonts w:ascii="Orkney" w:hAnsi="Orkney"/>
          <w:iCs/>
          <w:color w:val="000000" w:themeColor="text1"/>
          <w:sz w:val="22"/>
          <w:szCs w:val="22"/>
        </w:rPr>
      </w:pPr>
    </w:p>
    <w:p w14:paraId="4BFB3BB8" w14:textId="04696DE8" w:rsidR="002232AA" w:rsidRPr="007B30A4" w:rsidRDefault="002232AA" w:rsidP="005A4971">
      <w:pPr>
        <w:autoSpaceDE w:val="0"/>
        <w:autoSpaceDN w:val="0"/>
        <w:adjustRightInd w:val="0"/>
        <w:jc w:val="both"/>
        <w:rPr>
          <w:rFonts w:ascii="Orkney" w:hAnsi="Orkney"/>
          <w:iCs/>
          <w:color w:val="000000" w:themeColor="text1"/>
          <w:sz w:val="22"/>
          <w:szCs w:val="22"/>
        </w:rPr>
      </w:pPr>
      <w:r w:rsidRPr="007B30A4">
        <w:rPr>
          <w:rFonts w:ascii="Orkney" w:hAnsi="Orkney"/>
          <w:iCs/>
          <w:color w:val="000000" w:themeColor="text1"/>
          <w:sz w:val="22"/>
          <w:szCs w:val="22"/>
        </w:rPr>
        <w:t>Par ailleurs, la combustion d’hydrocarbures génère des émissions de CO2, qui est le principal gaz à effet de serre</w:t>
      </w:r>
      <w:r w:rsidR="005A4971" w:rsidRPr="007B30A4">
        <w:rPr>
          <w:rFonts w:ascii="Orkney" w:hAnsi="Orkney"/>
          <w:iCs/>
          <w:color w:val="000000" w:themeColor="text1"/>
          <w:sz w:val="22"/>
          <w:szCs w:val="22"/>
        </w:rPr>
        <w:t xml:space="preserve"> répandu sur le territoire</w:t>
      </w:r>
      <w:r w:rsidRPr="007B30A4">
        <w:rPr>
          <w:rFonts w:ascii="Orkney" w:hAnsi="Orkney"/>
          <w:iCs/>
          <w:color w:val="000000" w:themeColor="text1"/>
          <w:sz w:val="22"/>
          <w:szCs w:val="22"/>
        </w:rPr>
        <w:t>. En Polynésie française, le secteur qui émet le p</w:t>
      </w:r>
      <w:r w:rsidR="005A4971" w:rsidRPr="007B30A4">
        <w:rPr>
          <w:rFonts w:ascii="Orkney" w:hAnsi="Orkney"/>
          <w:iCs/>
          <w:color w:val="000000" w:themeColor="text1"/>
          <w:sz w:val="22"/>
          <w:szCs w:val="22"/>
        </w:rPr>
        <w:t>l</w:t>
      </w:r>
      <w:r w:rsidRPr="007B30A4">
        <w:rPr>
          <w:rFonts w:ascii="Orkney" w:hAnsi="Orkney"/>
          <w:iCs/>
          <w:color w:val="000000" w:themeColor="text1"/>
          <w:sz w:val="22"/>
          <w:szCs w:val="22"/>
        </w:rPr>
        <w:t xml:space="preserve">us de CO2 est </w:t>
      </w:r>
      <w:r w:rsidR="005A4971" w:rsidRPr="007B30A4">
        <w:rPr>
          <w:rFonts w:ascii="Orkney" w:hAnsi="Orkney"/>
          <w:iCs/>
          <w:color w:val="000000" w:themeColor="text1"/>
          <w:sz w:val="22"/>
          <w:szCs w:val="22"/>
        </w:rPr>
        <w:t xml:space="preserve">le </w:t>
      </w:r>
      <w:r w:rsidRPr="007B30A4">
        <w:rPr>
          <w:rFonts w:ascii="Orkney" w:hAnsi="Orkney"/>
          <w:iCs/>
          <w:color w:val="000000" w:themeColor="text1"/>
          <w:sz w:val="22"/>
          <w:szCs w:val="22"/>
        </w:rPr>
        <w:t xml:space="preserve">transport routier avec 45% des émissions de CO2 </w:t>
      </w:r>
      <w:r w:rsidR="005A4971" w:rsidRPr="007B30A4">
        <w:rPr>
          <w:rFonts w:ascii="Orkney" w:hAnsi="Orkney"/>
          <w:iCs/>
          <w:color w:val="000000" w:themeColor="text1"/>
          <w:sz w:val="22"/>
          <w:szCs w:val="22"/>
        </w:rPr>
        <w:t xml:space="preserve">estimé </w:t>
      </w:r>
      <w:r w:rsidRPr="007B30A4">
        <w:rPr>
          <w:rFonts w:ascii="Orkney" w:hAnsi="Orkney"/>
          <w:iCs/>
          <w:color w:val="000000" w:themeColor="text1"/>
          <w:sz w:val="22"/>
          <w:szCs w:val="22"/>
        </w:rPr>
        <w:t>à 1</w:t>
      </w:r>
      <w:r w:rsidR="005A4971" w:rsidRPr="007B30A4">
        <w:rPr>
          <w:rFonts w:ascii="Orkney" w:hAnsi="Orkney"/>
          <w:iCs/>
          <w:color w:val="000000" w:themeColor="text1"/>
          <w:sz w:val="22"/>
          <w:szCs w:val="22"/>
        </w:rPr>
        <w:t xml:space="preserve"> </w:t>
      </w:r>
      <w:r w:rsidRPr="007B30A4">
        <w:rPr>
          <w:rFonts w:ascii="Orkney" w:hAnsi="Orkney"/>
          <w:iCs/>
          <w:color w:val="000000" w:themeColor="text1"/>
          <w:sz w:val="22"/>
          <w:szCs w:val="22"/>
        </w:rPr>
        <w:t xml:space="preserve">060 kteq CO2. </w:t>
      </w:r>
      <w:r w:rsidR="005A4971" w:rsidRPr="007B30A4">
        <w:rPr>
          <w:rFonts w:ascii="Orkney" w:hAnsi="Orkney"/>
          <w:iCs/>
          <w:color w:val="000000" w:themeColor="text1"/>
          <w:sz w:val="22"/>
          <w:szCs w:val="22"/>
        </w:rPr>
        <w:t xml:space="preserve">Ramené au nombre d’habitant, cela équivaut à </w:t>
      </w:r>
      <w:r w:rsidRPr="007B30A4">
        <w:rPr>
          <w:rFonts w:ascii="Orkney" w:hAnsi="Orkney"/>
          <w:iCs/>
          <w:color w:val="000000" w:themeColor="text1"/>
          <w:sz w:val="22"/>
          <w:szCs w:val="22"/>
        </w:rPr>
        <w:t>3,8 teq CO2.</w:t>
      </w:r>
      <w:r w:rsidR="005A4971" w:rsidRPr="007B30A4">
        <w:rPr>
          <w:rFonts w:ascii="Orkney" w:hAnsi="Orkney"/>
          <w:iCs/>
          <w:color w:val="000000" w:themeColor="text1"/>
          <w:sz w:val="22"/>
          <w:szCs w:val="22"/>
        </w:rPr>
        <w:t xml:space="preserve"> En 2018, comparativement aux autres territoires ultramarins, la Polynésie française est bien classée parmi les territoires qui émettent le moins de CO2/hab avec des émissions de 3.82 TeqCO2 /hab, elle se situe derrière la Guyane qui est à 2.8 TeqCO2 /hab.</w:t>
      </w:r>
    </w:p>
    <w:p w14:paraId="53149413" w14:textId="77777777" w:rsidR="002232AA" w:rsidRPr="002232AA" w:rsidRDefault="002232AA" w:rsidP="002232AA"/>
    <w:p w14:paraId="7382D05A" w14:textId="68A6D28E" w:rsidR="00390CCE" w:rsidRDefault="00390CCE" w:rsidP="00390CCE">
      <w:pPr>
        <w:pStyle w:val="Titre1"/>
        <w:numPr>
          <w:ilvl w:val="1"/>
          <w:numId w:val="3"/>
        </w:numPr>
        <w:spacing w:before="120" w:after="120"/>
        <w:ind w:left="1775" w:hanging="357"/>
        <w:rPr>
          <w:rFonts w:ascii="Orkney" w:hAnsi="Orkney" w:cs="Times New Roman"/>
          <w:color w:val="244061" w:themeColor="accent1" w:themeShade="80"/>
          <w:sz w:val="28"/>
          <w:u w:val="single"/>
        </w:rPr>
      </w:pPr>
      <w:r w:rsidRPr="00390CCE">
        <w:rPr>
          <w:rFonts w:ascii="Orkney" w:hAnsi="Orkney" w:cs="Times New Roman"/>
          <w:color w:val="244061" w:themeColor="accent1" w:themeShade="80"/>
          <w:sz w:val="28"/>
          <w:u w:val="single"/>
        </w:rPr>
        <w:t>Les nouveaux objectifs de l’OPE pour 2020</w:t>
      </w:r>
    </w:p>
    <w:p w14:paraId="7C7FF957" w14:textId="1126C98A" w:rsidR="00390CCE" w:rsidRPr="007B30A4" w:rsidRDefault="00390CCE" w:rsidP="00390CCE">
      <w:pPr>
        <w:spacing w:before="120"/>
        <w:jc w:val="both"/>
        <w:rPr>
          <w:rFonts w:ascii="Orkney" w:hAnsi="Orkney"/>
          <w:sz w:val="22"/>
          <w:szCs w:val="22"/>
        </w:rPr>
      </w:pPr>
      <w:r w:rsidRPr="007B30A4">
        <w:rPr>
          <w:rFonts w:ascii="Orkney" w:hAnsi="Orkney"/>
          <w:sz w:val="22"/>
          <w:szCs w:val="22"/>
        </w:rPr>
        <w:t>Pour l’année 2020, l’Observatoire s’est fixé de nouveaux objectifs</w:t>
      </w:r>
      <w:r w:rsidRPr="007B30A4">
        <w:rPr>
          <w:rFonts w:ascii="Calibri" w:hAnsi="Calibri" w:cs="Calibri"/>
          <w:sz w:val="22"/>
          <w:szCs w:val="22"/>
        </w:rPr>
        <w:t> </w:t>
      </w:r>
      <w:r w:rsidRPr="007B30A4">
        <w:rPr>
          <w:rFonts w:ascii="Orkney" w:hAnsi="Orkney"/>
          <w:sz w:val="22"/>
          <w:szCs w:val="22"/>
        </w:rPr>
        <w:t>en matière de :</w:t>
      </w:r>
    </w:p>
    <w:p w14:paraId="548D6721" w14:textId="2AEF2A1B" w:rsidR="00390CCE" w:rsidRPr="007B30A4" w:rsidRDefault="00390CCE" w:rsidP="00390CCE">
      <w:pPr>
        <w:pStyle w:val="Paragraphedeliste"/>
        <w:numPr>
          <w:ilvl w:val="0"/>
          <w:numId w:val="2"/>
        </w:numPr>
        <w:spacing w:before="120"/>
        <w:jc w:val="both"/>
        <w:rPr>
          <w:rFonts w:ascii="Orkney" w:hAnsi="Orkney"/>
          <w:sz w:val="22"/>
          <w:szCs w:val="22"/>
        </w:rPr>
      </w:pPr>
      <w:r w:rsidRPr="007B30A4">
        <w:rPr>
          <w:rFonts w:ascii="Orkney" w:hAnsi="Orkney"/>
          <w:sz w:val="22"/>
          <w:szCs w:val="22"/>
        </w:rPr>
        <w:t>Émission de Gaz à Effet de Serre (GES)</w:t>
      </w:r>
      <w:r w:rsidRPr="007B30A4">
        <w:rPr>
          <w:rFonts w:ascii="Calibri" w:hAnsi="Calibri" w:cs="Calibri"/>
          <w:sz w:val="22"/>
          <w:szCs w:val="22"/>
        </w:rPr>
        <w:t> </w:t>
      </w:r>
      <w:r w:rsidRPr="007B30A4">
        <w:rPr>
          <w:rFonts w:ascii="Orkney" w:hAnsi="Orkney"/>
          <w:sz w:val="22"/>
          <w:szCs w:val="22"/>
        </w:rPr>
        <w:t xml:space="preserve">: </w:t>
      </w:r>
    </w:p>
    <w:p w14:paraId="4FBA45D0" w14:textId="1F1261DF" w:rsidR="00390CCE" w:rsidRPr="007B30A4" w:rsidRDefault="00390CCE" w:rsidP="00390CCE">
      <w:pPr>
        <w:spacing w:before="240"/>
        <w:jc w:val="both"/>
        <w:rPr>
          <w:rFonts w:ascii="Orkney" w:hAnsi="Orkney"/>
          <w:sz w:val="22"/>
          <w:szCs w:val="22"/>
        </w:rPr>
      </w:pPr>
      <w:r w:rsidRPr="007B30A4">
        <w:rPr>
          <w:rFonts w:ascii="Orkney" w:hAnsi="Orkney"/>
          <w:sz w:val="22"/>
          <w:szCs w:val="22"/>
        </w:rPr>
        <w:t xml:space="preserve">Réaliser dès janvier 2020 un inventaire des émissions de GES sur la série temporelle 2010-2017, avec l'appui technique du CITEPA (Centre Interprofessionnel Technique d'Études de la Pollution Atmosphérique, organisme opérateur d’État pour le MTES). L'inventaire attendu s'attachera à couvrir l'ensemble des GES sur les 4 secteurs que sont l'énergie, les procédés industriels, l'agriculture et les déchets. </w:t>
      </w:r>
    </w:p>
    <w:p w14:paraId="38151AD3" w14:textId="2B5C2131" w:rsidR="00390CCE" w:rsidRPr="007B30A4" w:rsidRDefault="00390CCE" w:rsidP="00390CCE">
      <w:pPr>
        <w:spacing w:before="120"/>
        <w:jc w:val="both"/>
        <w:rPr>
          <w:rFonts w:ascii="Orkney" w:hAnsi="Orkney"/>
          <w:sz w:val="22"/>
          <w:szCs w:val="22"/>
        </w:rPr>
      </w:pPr>
      <w:r w:rsidRPr="007B30A4">
        <w:rPr>
          <w:rFonts w:ascii="Orkney" w:hAnsi="Orkney"/>
          <w:sz w:val="22"/>
          <w:szCs w:val="22"/>
        </w:rPr>
        <w:t>Des échanges méthodologiques avec le CITEPA seront prévus pour une montée en compétence de l’OPE et une réalisation de cet inventaire par l’OPE.</w:t>
      </w:r>
    </w:p>
    <w:p w14:paraId="1400964C" w14:textId="77777777" w:rsidR="00390CCE" w:rsidRPr="007B30A4" w:rsidRDefault="00390CCE" w:rsidP="00390CCE">
      <w:pPr>
        <w:pStyle w:val="Paragraphedeliste"/>
        <w:numPr>
          <w:ilvl w:val="0"/>
          <w:numId w:val="2"/>
        </w:numPr>
        <w:spacing w:before="120"/>
        <w:jc w:val="both"/>
        <w:rPr>
          <w:rFonts w:ascii="Orkney" w:hAnsi="Orkney"/>
          <w:sz w:val="22"/>
          <w:szCs w:val="22"/>
        </w:rPr>
      </w:pPr>
      <w:r w:rsidRPr="007B30A4">
        <w:rPr>
          <w:rFonts w:ascii="Orkney" w:hAnsi="Orkney"/>
          <w:sz w:val="22"/>
          <w:szCs w:val="22"/>
        </w:rPr>
        <w:t>Précarité énergétique</w:t>
      </w:r>
      <w:r w:rsidRPr="007B30A4">
        <w:rPr>
          <w:rFonts w:ascii="Calibri" w:hAnsi="Calibri" w:cs="Calibri"/>
          <w:sz w:val="22"/>
          <w:szCs w:val="22"/>
        </w:rPr>
        <w:t> </w:t>
      </w:r>
      <w:r w:rsidRPr="007B30A4">
        <w:rPr>
          <w:rFonts w:ascii="Orkney" w:hAnsi="Orkney"/>
          <w:sz w:val="22"/>
          <w:szCs w:val="22"/>
        </w:rPr>
        <w:t xml:space="preserve">: </w:t>
      </w:r>
    </w:p>
    <w:p w14:paraId="75929F92" w14:textId="7ED4482B" w:rsidR="00390CCE" w:rsidRPr="007B30A4" w:rsidRDefault="00390CCE" w:rsidP="00390CCE">
      <w:pPr>
        <w:spacing w:before="120"/>
        <w:jc w:val="both"/>
        <w:rPr>
          <w:rFonts w:ascii="Orkney" w:hAnsi="Orkney"/>
          <w:i/>
          <w:sz w:val="22"/>
          <w:szCs w:val="22"/>
        </w:rPr>
      </w:pPr>
      <w:r w:rsidRPr="007B30A4">
        <w:rPr>
          <w:rFonts w:ascii="Orkney" w:hAnsi="Orkney"/>
          <w:sz w:val="22"/>
          <w:szCs w:val="22"/>
        </w:rPr>
        <w:t xml:space="preserve">Définir de manière plus fine la précarité énergétique en Polynésie française. L’objectif est de connaitre avec précision les caractéristiques d’un foyer précaire en matière de besoin énergétique et intensifier l’apport de solutions concrètes. </w:t>
      </w:r>
      <w:r w:rsidR="00600936" w:rsidRPr="007B30A4">
        <w:rPr>
          <w:rFonts w:ascii="Orkney" w:hAnsi="Orkney"/>
          <w:sz w:val="22"/>
          <w:szCs w:val="22"/>
        </w:rPr>
        <w:t>À</w:t>
      </w:r>
      <w:r w:rsidRPr="007B30A4">
        <w:rPr>
          <w:rFonts w:ascii="Orkney" w:hAnsi="Orkney"/>
          <w:sz w:val="22"/>
          <w:szCs w:val="22"/>
        </w:rPr>
        <w:t xml:space="preserve"> titre d’exemple, le renforcement de l’offre de transport en commun permet d’offrir des solutions alternatives à l’utilisation du véhicule personnel et réduit l’impact de la dépense carburant dans le portefeuille du foyer polynésien. </w:t>
      </w:r>
    </w:p>
    <w:p w14:paraId="1500AC90" w14:textId="77777777" w:rsidR="00390CCE" w:rsidRPr="007B30A4" w:rsidRDefault="00390CCE" w:rsidP="00390CCE">
      <w:pPr>
        <w:pStyle w:val="Paragraphedeliste"/>
        <w:numPr>
          <w:ilvl w:val="0"/>
          <w:numId w:val="2"/>
        </w:numPr>
        <w:spacing w:before="120"/>
        <w:jc w:val="both"/>
        <w:rPr>
          <w:rFonts w:ascii="Orkney" w:hAnsi="Orkney"/>
          <w:sz w:val="22"/>
          <w:szCs w:val="22"/>
        </w:rPr>
      </w:pPr>
      <w:r w:rsidRPr="007B30A4">
        <w:rPr>
          <w:rFonts w:ascii="Orkney" w:hAnsi="Orkney"/>
          <w:sz w:val="22"/>
          <w:szCs w:val="22"/>
        </w:rPr>
        <w:t>Sensibilisation accrue à la transition énergétique</w:t>
      </w:r>
    </w:p>
    <w:p w14:paraId="5089F091" w14:textId="77777777" w:rsidR="00F073AB" w:rsidRDefault="00390CCE" w:rsidP="007B30A4">
      <w:pPr>
        <w:spacing w:before="120"/>
        <w:jc w:val="both"/>
        <w:rPr>
          <w:rFonts w:ascii="Orkney" w:hAnsi="Orkney"/>
          <w:sz w:val="22"/>
          <w:szCs w:val="22"/>
        </w:rPr>
      </w:pPr>
      <w:r w:rsidRPr="007B30A4">
        <w:rPr>
          <w:rFonts w:ascii="Orkney" w:hAnsi="Orkney"/>
          <w:sz w:val="22"/>
          <w:szCs w:val="22"/>
        </w:rPr>
        <w:t>Intensifier les actions de sensib</w:t>
      </w:r>
      <w:bookmarkStart w:id="0" w:name="_GoBack"/>
      <w:bookmarkEnd w:id="0"/>
      <w:r w:rsidRPr="007B30A4">
        <w:rPr>
          <w:rFonts w:ascii="Orkney" w:hAnsi="Orkney"/>
          <w:sz w:val="22"/>
          <w:szCs w:val="22"/>
        </w:rPr>
        <w:t>ilisation en faveur de la transition énergétique. Il s’agit de sensibiliser un plus grand nombre sur les questions relatives à la consommation énergétique, aux émissions de gaz à effet de serre à la vulnérabilité du territoire face au changement climatique. Cela passera par la publication de newsletters de l’OPE, d’événements comme la fête de l’énergie en Octobre.</w:t>
      </w:r>
    </w:p>
    <w:p w14:paraId="3D537489" w14:textId="77777777" w:rsidR="00F073AB" w:rsidRDefault="00F073AB" w:rsidP="007B30A4">
      <w:pPr>
        <w:spacing w:before="120"/>
        <w:jc w:val="both"/>
        <w:rPr>
          <w:rFonts w:ascii="Orkney" w:hAnsi="Orkney"/>
          <w:sz w:val="22"/>
          <w:szCs w:val="22"/>
        </w:rPr>
      </w:pPr>
    </w:p>
    <w:p w14:paraId="45AA8B4E" w14:textId="305945E7" w:rsidR="00F073AB" w:rsidRPr="00F073AB" w:rsidRDefault="00F073AB" w:rsidP="007B30A4">
      <w:pPr>
        <w:spacing w:before="120"/>
        <w:jc w:val="both"/>
        <w:rPr>
          <w:rFonts w:ascii="Orkney" w:hAnsi="Orkney"/>
          <w:b/>
          <w:color w:val="244061" w:themeColor="accent1" w:themeShade="80"/>
          <w:szCs w:val="22"/>
        </w:rPr>
      </w:pPr>
      <w:r w:rsidRPr="00F073AB">
        <w:rPr>
          <w:rFonts w:ascii="Orkney" w:hAnsi="Orkney"/>
          <w:b/>
          <w:color w:val="244061" w:themeColor="accent1" w:themeShade="80"/>
          <w:szCs w:val="22"/>
        </w:rPr>
        <w:t>Contact utile :</w:t>
      </w:r>
    </w:p>
    <w:p w14:paraId="6BDB853C" w14:textId="0B0E6DFC" w:rsidR="00F073AB" w:rsidRDefault="00F073AB" w:rsidP="00F073AB">
      <w:pPr>
        <w:jc w:val="both"/>
        <w:rPr>
          <w:rFonts w:ascii="Orkney" w:hAnsi="Orkney"/>
          <w:sz w:val="22"/>
          <w:szCs w:val="22"/>
        </w:rPr>
      </w:pPr>
      <w:r>
        <w:rPr>
          <w:rFonts w:ascii="Orkney" w:hAnsi="Orkney"/>
          <w:sz w:val="22"/>
          <w:szCs w:val="22"/>
        </w:rPr>
        <w:t>Teiki SYLVESTRE-BARON</w:t>
      </w:r>
    </w:p>
    <w:p w14:paraId="439E16EB" w14:textId="67D59D3B" w:rsidR="00F073AB" w:rsidRDefault="00F073AB" w:rsidP="00F073AB">
      <w:pPr>
        <w:jc w:val="both"/>
        <w:rPr>
          <w:rFonts w:ascii="Orkney" w:hAnsi="Orkney"/>
          <w:sz w:val="22"/>
          <w:szCs w:val="22"/>
        </w:rPr>
      </w:pPr>
      <w:r>
        <w:rPr>
          <w:rFonts w:ascii="Orkney" w:hAnsi="Orkney"/>
          <w:sz w:val="22"/>
          <w:szCs w:val="22"/>
        </w:rPr>
        <w:t>Responsable de l’observatoire Polynésien de l’Energie</w:t>
      </w:r>
    </w:p>
    <w:p w14:paraId="5F735D78" w14:textId="5BCBDA6A" w:rsidR="00F073AB" w:rsidRDefault="00F073AB" w:rsidP="00F073AB">
      <w:pPr>
        <w:jc w:val="both"/>
        <w:rPr>
          <w:rFonts w:ascii="Orkney" w:hAnsi="Orkney"/>
          <w:sz w:val="22"/>
          <w:szCs w:val="22"/>
        </w:rPr>
      </w:pPr>
      <w:r>
        <w:rPr>
          <w:rFonts w:ascii="Orkney" w:hAnsi="Orkney"/>
          <w:sz w:val="22"/>
          <w:szCs w:val="22"/>
        </w:rPr>
        <w:t>Téléphone : 689 40 50 50 95</w:t>
      </w:r>
    </w:p>
    <w:p w14:paraId="55D80886" w14:textId="7BBADB94" w:rsidR="00F073AB" w:rsidRDefault="00F073AB" w:rsidP="00F073AB">
      <w:pPr>
        <w:jc w:val="both"/>
        <w:rPr>
          <w:rFonts w:ascii="Orkney" w:hAnsi="Orkney"/>
          <w:sz w:val="22"/>
          <w:szCs w:val="22"/>
        </w:rPr>
      </w:pPr>
      <w:r>
        <w:rPr>
          <w:rFonts w:ascii="Orkney" w:hAnsi="Orkney"/>
          <w:sz w:val="22"/>
          <w:szCs w:val="22"/>
        </w:rPr>
        <w:t xml:space="preserve">Courriel : </w:t>
      </w:r>
      <w:hyperlink r:id="rId16" w:history="1">
        <w:r w:rsidRPr="00FB354A">
          <w:rPr>
            <w:rStyle w:val="Lienhypertexte"/>
            <w:rFonts w:ascii="Orkney" w:hAnsi="Orkney"/>
            <w:sz w:val="22"/>
            <w:szCs w:val="22"/>
          </w:rPr>
          <w:t>teiki.sylvestre-baron@energie.gov.pf</w:t>
        </w:r>
      </w:hyperlink>
      <w:r>
        <w:rPr>
          <w:rFonts w:ascii="Orkney" w:hAnsi="Orkney"/>
          <w:sz w:val="22"/>
          <w:szCs w:val="22"/>
        </w:rPr>
        <w:t xml:space="preserve"> </w:t>
      </w:r>
    </w:p>
    <w:p w14:paraId="5F93323A" w14:textId="77777777" w:rsidR="00F073AB" w:rsidRDefault="00F073AB" w:rsidP="007B30A4">
      <w:pPr>
        <w:spacing w:before="120"/>
        <w:jc w:val="both"/>
        <w:rPr>
          <w:rFonts w:ascii="Orkney" w:hAnsi="Orkney"/>
          <w:sz w:val="22"/>
          <w:szCs w:val="22"/>
        </w:rPr>
      </w:pPr>
    </w:p>
    <w:p w14:paraId="4B791064" w14:textId="56DED30D" w:rsidR="000E5D05" w:rsidRPr="007B30A4" w:rsidRDefault="002B7A33" w:rsidP="007B30A4">
      <w:pPr>
        <w:spacing w:before="120"/>
        <w:jc w:val="both"/>
        <w:rPr>
          <w:rFonts w:ascii="Orkney" w:hAnsi="Orkney"/>
        </w:rPr>
      </w:pPr>
      <w:r>
        <w:rPr>
          <w:rFonts w:ascii="Orkney" w:hAnsi="Orkney"/>
          <w:noProof/>
        </w:rPr>
        <w:drawing>
          <wp:anchor distT="0" distB="0" distL="114300" distR="114300" simplePos="0" relativeHeight="251643904" behindDoc="1" locked="0" layoutInCell="1" allowOverlap="1" wp14:anchorId="72B9A465" wp14:editId="4BF3975B">
            <wp:simplePos x="0" y="0"/>
            <wp:positionH relativeFrom="column">
              <wp:posOffset>-902145</wp:posOffset>
            </wp:positionH>
            <wp:positionV relativeFrom="paragraph">
              <wp:posOffset>-1442159</wp:posOffset>
            </wp:positionV>
            <wp:extent cx="7695210" cy="11742731"/>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5210" cy="11742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72510" w14:textId="557EA307" w:rsidR="00631EE2" w:rsidRDefault="00631EE2" w:rsidP="00631EE2">
      <w:pPr>
        <w:tabs>
          <w:tab w:val="left" w:pos="6285"/>
        </w:tabs>
        <w:spacing w:before="120" w:after="120" w:line="276" w:lineRule="auto"/>
        <w:rPr>
          <w:rFonts w:ascii="Orkney" w:hAnsi="Orkney"/>
          <w:color w:val="365F91" w:themeColor="accent1" w:themeShade="BF"/>
          <w:sz w:val="28"/>
          <w:u w:val="single"/>
        </w:rPr>
      </w:pPr>
    </w:p>
    <w:p w14:paraId="0C53310C" w14:textId="442B2B3E" w:rsidR="00631EE2" w:rsidRPr="00631EE2" w:rsidRDefault="00631EE2" w:rsidP="00631EE2">
      <w:pPr>
        <w:pStyle w:val="-LettreTexteGEDA"/>
        <w:ind w:firstLine="0"/>
        <w:jc w:val="left"/>
        <w:rPr>
          <w:noProof/>
        </w:rPr>
      </w:pPr>
      <w:r>
        <w:rPr>
          <w:noProof/>
        </w:rPr>
        <w:t xml:space="preserve">                                                </w:t>
      </w:r>
    </w:p>
    <w:p w14:paraId="6628273A" w14:textId="30704753" w:rsidR="00D530A8" w:rsidRPr="003D4C6D" w:rsidRDefault="00D530A8" w:rsidP="002232AA">
      <w:pPr>
        <w:tabs>
          <w:tab w:val="left" w:pos="6285"/>
        </w:tabs>
        <w:spacing w:before="120" w:after="120" w:line="276" w:lineRule="auto"/>
        <w:jc w:val="both"/>
        <w:rPr>
          <w:rFonts w:ascii="Orkney" w:hAnsi="Orkney"/>
          <w:iCs/>
          <w:color w:val="000000" w:themeColor="text1"/>
        </w:rPr>
      </w:pPr>
    </w:p>
    <w:sectPr w:rsidR="00D530A8" w:rsidRPr="003D4C6D" w:rsidSect="000E5D05">
      <w:headerReference w:type="default" r:id="rId1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C29B3" w14:textId="77777777" w:rsidR="003F3472" w:rsidRDefault="003F3472" w:rsidP="002B7A33">
      <w:r>
        <w:separator/>
      </w:r>
    </w:p>
  </w:endnote>
  <w:endnote w:type="continuationSeparator" w:id="0">
    <w:p w14:paraId="2A28029A" w14:textId="77777777" w:rsidR="003F3472" w:rsidRDefault="003F3472" w:rsidP="002B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rkney">
    <w:altName w:val="Calibri"/>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7FABA" w14:textId="77777777" w:rsidR="003F3472" w:rsidRDefault="003F3472" w:rsidP="002B7A33">
      <w:r>
        <w:separator/>
      </w:r>
    </w:p>
  </w:footnote>
  <w:footnote w:type="continuationSeparator" w:id="0">
    <w:p w14:paraId="2C53182C" w14:textId="77777777" w:rsidR="003F3472" w:rsidRDefault="003F3472" w:rsidP="002B7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3CF7" w14:textId="5FCEE74F" w:rsidR="002B7A33" w:rsidRDefault="008B7589">
    <w:pPr>
      <w:pStyle w:val="En-tte"/>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F660B"/>
    <w:multiLevelType w:val="hybridMultilevel"/>
    <w:tmpl w:val="02303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868FF"/>
    <w:multiLevelType w:val="multilevel"/>
    <w:tmpl w:val="3ADA2588"/>
    <w:lvl w:ilvl="0">
      <w:start w:val="1"/>
      <w:numFmt w:val="decimal"/>
      <w:lvlText w:val="%1."/>
      <w:lvlJc w:val="left"/>
      <w:pPr>
        <w:ind w:left="928" w:hanging="360"/>
      </w:pPr>
    </w:lvl>
    <w:lvl w:ilvl="1">
      <w:start w:val="1"/>
      <w:numFmt w:val="decimal"/>
      <w:isLgl/>
      <w:lvlText w:val="%1.%2."/>
      <w:lvlJc w:val="left"/>
      <w:pPr>
        <w:ind w:left="1778" w:hanging="360"/>
      </w:pPr>
      <w:rPr>
        <w:rFonts w:hint="default"/>
        <w:sz w:val="28"/>
        <w:szCs w:val="28"/>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2" w15:restartNumberingAfterBreak="0">
    <w:nsid w:val="17CF278B"/>
    <w:multiLevelType w:val="multilevel"/>
    <w:tmpl w:val="6BFAE7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F564BC"/>
    <w:multiLevelType w:val="hybridMultilevel"/>
    <w:tmpl w:val="1142977C"/>
    <w:lvl w:ilvl="0" w:tplc="42681F4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C17D80"/>
    <w:multiLevelType w:val="multilevel"/>
    <w:tmpl w:val="93C2FC9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50BE44DA"/>
    <w:multiLevelType w:val="hybridMultilevel"/>
    <w:tmpl w:val="3F5C2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37"/>
    <w:rsid w:val="000D3C52"/>
    <w:rsid w:val="000E5D05"/>
    <w:rsid w:val="00106493"/>
    <w:rsid w:val="00121D57"/>
    <w:rsid w:val="002232AA"/>
    <w:rsid w:val="002B7A33"/>
    <w:rsid w:val="002F7BA2"/>
    <w:rsid w:val="00301730"/>
    <w:rsid w:val="00390CCE"/>
    <w:rsid w:val="003D4C6D"/>
    <w:rsid w:val="003F3472"/>
    <w:rsid w:val="003F628D"/>
    <w:rsid w:val="00444131"/>
    <w:rsid w:val="004F5B79"/>
    <w:rsid w:val="00585D39"/>
    <w:rsid w:val="005A4971"/>
    <w:rsid w:val="00600936"/>
    <w:rsid w:val="00625592"/>
    <w:rsid w:val="00631EE2"/>
    <w:rsid w:val="00697454"/>
    <w:rsid w:val="00751937"/>
    <w:rsid w:val="007B30A4"/>
    <w:rsid w:val="007E00BB"/>
    <w:rsid w:val="007E5133"/>
    <w:rsid w:val="008B7589"/>
    <w:rsid w:val="008C7C6E"/>
    <w:rsid w:val="009D3E8D"/>
    <w:rsid w:val="009E5261"/>
    <w:rsid w:val="00BC03C5"/>
    <w:rsid w:val="00BE72DA"/>
    <w:rsid w:val="00C40D65"/>
    <w:rsid w:val="00C626E5"/>
    <w:rsid w:val="00C76BDD"/>
    <w:rsid w:val="00D00938"/>
    <w:rsid w:val="00D530A8"/>
    <w:rsid w:val="00DD0069"/>
    <w:rsid w:val="00F073AB"/>
    <w:rsid w:val="00F93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D8EA7"/>
  <w15:chartTrackingRefBased/>
  <w15:docId w15:val="{B52B8BB4-FD8B-460B-AD0A-B688FC82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C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90CCE"/>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90CCE"/>
    <w:pPr>
      <w:keepNext/>
      <w:keepLines/>
      <w:numPr>
        <w:ilvl w:val="1"/>
        <w:numId w:val="1"/>
      </w:numPr>
      <w:spacing w:before="40"/>
      <w:ind w:left="993"/>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Titre2"/>
    <w:next w:val="Normal"/>
    <w:link w:val="Titre3Car"/>
    <w:uiPriority w:val="9"/>
    <w:unhideWhenUsed/>
    <w:qFormat/>
    <w:rsid w:val="00390CCE"/>
    <w:pPr>
      <w:numPr>
        <w:ilvl w:val="2"/>
      </w:numPr>
      <w:ind w:left="993" w:hanging="709"/>
      <w:outlineLvl w:val="2"/>
    </w:pPr>
  </w:style>
  <w:style w:type="paragraph" w:styleId="Titre4">
    <w:name w:val="heading 4"/>
    <w:basedOn w:val="Normal"/>
    <w:next w:val="Normal"/>
    <w:link w:val="Titre4Car"/>
    <w:uiPriority w:val="9"/>
    <w:unhideWhenUsed/>
    <w:qFormat/>
    <w:rsid w:val="00390CCE"/>
    <w:pPr>
      <w:keepNext/>
      <w:keepLines/>
      <w:numPr>
        <w:ilvl w:val="3"/>
        <w:numId w:val="1"/>
      </w:numPr>
      <w:spacing w:before="40"/>
      <w:ind w:left="993"/>
      <w:outlineLvl w:val="3"/>
    </w:pPr>
    <w:rPr>
      <w:rFonts w:asciiTheme="majorHAnsi" w:eastAsiaTheme="majorEastAsia" w:hAnsiTheme="majorHAnsi" w:cstheme="majorBidi"/>
      <w:iCs/>
      <w:color w:val="365F91" w:themeColor="accent1" w:themeShade="BF"/>
    </w:rPr>
  </w:style>
  <w:style w:type="paragraph" w:styleId="Titre5">
    <w:name w:val="heading 5"/>
    <w:basedOn w:val="Normal"/>
    <w:next w:val="Normal"/>
    <w:link w:val="Titre5Car"/>
    <w:uiPriority w:val="9"/>
    <w:semiHidden/>
    <w:unhideWhenUsed/>
    <w:qFormat/>
    <w:rsid w:val="00390CCE"/>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390CCE"/>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390CCE"/>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90CC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90CC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0CCE"/>
    <w:rPr>
      <w:rFonts w:asciiTheme="majorHAnsi" w:eastAsiaTheme="majorEastAsia" w:hAnsiTheme="majorHAnsi" w:cstheme="majorBidi"/>
      <w:color w:val="365F91" w:themeColor="accent1" w:themeShade="BF"/>
      <w:sz w:val="32"/>
      <w:szCs w:val="32"/>
      <w:lang w:eastAsia="fr-FR"/>
    </w:rPr>
  </w:style>
  <w:style w:type="character" w:customStyle="1" w:styleId="Titre2Car">
    <w:name w:val="Titre 2 Car"/>
    <w:basedOn w:val="Policepardfaut"/>
    <w:link w:val="Titre2"/>
    <w:uiPriority w:val="9"/>
    <w:rsid w:val="00390CCE"/>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uiPriority w:val="9"/>
    <w:rsid w:val="00390CCE"/>
    <w:rPr>
      <w:rFonts w:asciiTheme="majorHAnsi" w:eastAsiaTheme="majorEastAsia" w:hAnsiTheme="majorHAnsi" w:cstheme="majorBidi"/>
      <w:color w:val="365F91" w:themeColor="accent1" w:themeShade="BF"/>
      <w:sz w:val="26"/>
      <w:szCs w:val="26"/>
      <w:lang w:eastAsia="fr-FR"/>
    </w:rPr>
  </w:style>
  <w:style w:type="character" w:customStyle="1" w:styleId="Titre4Car">
    <w:name w:val="Titre 4 Car"/>
    <w:basedOn w:val="Policepardfaut"/>
    <w:link w:val="Titre4"/>
    <w:uiPriority w:val="9"/>
    <w:rsid w:val="00390CCE"/>
    <w:rPr>
      <w:rFonts w:asciiTheme="majorHAnsi" w:eastAsiaTheme="majorEastAsia" w:hAnsiTheme="majorHAnsi" w:cstheme="majorBidi"/>
      <w:iCs/>
      <w:color w:val="365F91" w:themeColor="accent1" w:themeShade="BF"/>
      <w:sz w:val="24"/>
      <w:szCs w:val="24"/>
      <w:lang w:eastAsia="fr-FR"/>
    </w:rPr>
  </w:style>
  <w:style w:type="character" w:customStyle="1" w:styleId="Titre5Car">
    <w:name w:val="Titre 5 Car"/>
    <w:basedOn w:val="Policepardfaut"/>
    <w:link w:val="Titre5"/>
    <w:uiPriority w:val="9"/>
    <w:semiHidden/>
    <w:rsid w:val="00390CCE"/>
    <w:rPr>
      <w:rFonts w:asciiTheme="majorHAnsi" w:eastAsiaTheme="majorEastAsia" w:hAnsiTheme="majorHAnsi" w:cstheme="majorBidi"/>
      <w:color w:val="365F91" w:themeColor="accent1" w:themeShade="BF"/>
      <w:sz w:val="24"/>
      <w:szCs w:val="24"/>
      <w:lang w:eastAsia="fr-FR"/>
    </w:rPr>
  </w:style>
  <w:style w:type="character" w:customStyle="1" w:styleId="Titre6Car">
    <w:name w:val="Titre 6 Car"/>
    <w:basedOn w:val="Policepardfaut"/>
    <w:link w:val="Titre6"/>
    <w:uiPriority w:val="9"/>
    <w:semiHidden/>
    <w:rsid w:val="00390CCE"/>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390CCE"/>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uiPriority w:val="9"/>
    <w:semiHidden/>
    <w:rsid w:val="00390CCE"/>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390CCE"/>
    <w:rPr>
      <w:rFonts w:asciiTheme="majorHAnsi" w:eastAsiaTheme="majorEastAsia" w:hAnsiTheme="majorHAnsi" w:cstheme="majorBidi"/>
      <w:i/>
      <w:iCs/>
      <w:color w:val="272727" w:themeColor="text1" w:themeTint="D8"/>
      <w:sz w:val="21"/>
      <w:szCs w:val="21"/>
      <w:lang w:eastAsia="fr-FR"/>
    </w:rPr>
  </w:style>
  <w:style w:type="paragraph" w:styleId="Paragraphedeliste">
    <w:name w:val="List Paragraph"/>
    <w:basedOn w:val="Normal"/>
    <w:qFormat/>
    <w:rsid w:val="00390CCE"/>
    <w:pPr>
      <w:ind w:left="720"/>
      <w:contextualSpacing/>
    </w:pPr>
  </w:style>
  <w:style w:type="paragraph" w:styleId="En-tte">
    <w:name w:val="header"/>
    <w:basedOn w:val="Normal"/>
    <w:link w:val="En-tteCar"/>
    <w:uiPriority w:val="99"/>
    <w:unhideWhenUsed/>
    <w:rsid w:val="00390CCE"/>
    <w:pPr>
      <w:tabs>
        <w:tab w:val="center" w:pos="4536"/>
        <w:tab w:val="right" w:pos="9072"/>
      </w:tabs>
    </w:pPr>
  </w:style>
  <w:style w:type="character" w:customStyle="1" w:styleId="En-tteCar">
    <w:name w:val="En-tête Car"/>
    <w:basedOn w:val="Policepardfaut"/>
    <w:link w:val="En-tte"/>
    <w:uiPriority w:val="99"/>
    <w:rsid w:val="00390CCE"/>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90CCE"/>
    <w:rPr>
      <w:sz w:val="16"/>
      <w:szCs w:val="16"/>
    </w:rPr>
  </w:style>
  <w:style w:type="paragraph" w:styleId="Commentaire">
    <w:name w:val="annotation text"/>
    <w:basedOn w:val="Normal"/>
    <w:link w:val="CommentaireCar"/>
    <w:uiPriority w:val="99"/>
    <w:semiHidden/>
    <w:unhideWhenUsed/>
    <w:rsid w:val="00390CCE"/>
    <w:rPr>
      <w:sz w:val="20"/>
      <w:szCs w:val="20"/>
    </w:rPr>
  </w:style>
  <w:style w:type="character" w:customStyle="1" w:styleId="CommentaireCar">
    <w:name w:val="Commentaire Car"/>
    <w:basedOn w:val="Policepardfaut"/>
    <w:link w:val="Commentaire"/>
    <w:uiPriority w:val="99"/>
    <w:semiHidden/>
    <w:rsid w:val="00390CCE"/>
    <w:rPr>
      <w:rFonts w:ascii="Times New Roman" w:eastAsia="Times New Roman" w:hAnsi="Times New Roman" w:cs="Times New Roman"/>
      <w:sz w:val="20"/>
      <w:szCs w:val="20"/>
      <w:lang w:eastAsia="fr-FR"/>
    </w:rPr>
  </w:style>
  <w:style w:type="paragraph" w:styleId="Titre">
    <w:name w:val="Title"/>
    <w:basedOn w:val="Normal"/>
    <w:next w:val="Normal"/>
    <w:link w:val="TitreCar"/>
    <w:uiPriority w:val="10"/>
    <w:qFormat/>
    <w:rsid w:val="00390CCE"/>
    <w:pPr>
      <w:pBdr>
        <w:top w:val="single" w:sz="4" w:space="1" w:color="auto"/>
        <w:left w:val="single" w:sz="4" w:space="4" w:color="auto"/>
        <w:bottom w:val="single" w:sz="4" w:space="1" w:color="auto"/>
        <w:right w:val="single" w:sz="4" w:space="4" w:color="auto"/>
      </w:pBdr>
      <w:spacing w:before="120"/>
      <w:contextualSpacing/>
      <w:jc w:val="center"/>
    </w:pPr>
    <w:rPr>
      <w:rFonts w:asciiTheme="majorHAnsi" w:eastAsiaTheme="minorEastAsia" w:hAnsiTheme="majorHAnsi" w:cstheme="majorBidi"/>
      <w:b/>
      <w:bCs/>
      <w:spacing w:val="-7"/>
      <w:sz w:val="48"/>
      <w:szCs w:val="48"/>
      <w:lang w:eastAsia="en-US"/>
    </w:rPr>
  </w:style>
  <w:style w:type="character" w:customStyle="1" w:styleId="TitreCar">
    <w:name w:val="Titre Car"/>
    <w:basedOn w:val="Policepardfaut"/>
    <w:link w:val="Titre"/>
    <w:uiPriority w:val="10"/>
    <w:rsid w:val="00390CCE"/>
    <w:rPr>
      <w:rFonts w:asciiTheme="majorHAnsi" w:eastAsiaTheme="minorEastAsia" w:hAnsiTheme="majorHAnsi" w:cstheme="majorBidi"/>
      <w:b/>
      <w:bCs/>
      <w:spacing w:val="-7"/>
      <w:sz w:val="48"/>
      <w:szCs w:val="48"/>
    </w:rPr>
  </w:style>
  <w:style w:type="paragraph" w:customStyle="1" w:styleId="-LettreSuiteORefPJGEDA">
    <w:name w:val="- Lettre:Suite O/Ref/PJ GEDA"/>
    <w:rsid w:val="00390CCE"/>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ecimalAligned">
    <w:name w:val="Decimal Aligned"/>
    <w:basedOn w:val="Normal"/>
    <w:uiPriority w:val="40"/>
    <w:qFormat/>
    <w:rsid w:val="00390CCE"/>
    <w:pPr>
      <w:tabs>
        <w:tab w:val="decimal" w:pos="360"/>
      </w:tabs>
      <w:spacing w:after="200" w:line="276" w:lineRule="auto"/>
    </w:pPr>
    <w:rPr>
      <w:rFonts w:asciiTheme="minorHAnsi" w:eastAsiaTheme="minorEastAsia" w:hAnsiTheme="minorHAnsi"/>
      <w:sz w:val="22"/>
      <w:szCs w:val="22"/>
    </w:rPr>
  </w:style>
  <w:style w:type="table" w:styleId="TableauGrille5Fonc-Accentuation1">
    <w:name w:val="Grid Table 5 Dark Accent 1"/>
    <w:basedOn w:val="TableauNormal"/>
    <w:uiPriority w:val="50"/>
    <w:rsid w:val="00390C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121D57"/>
    <w:pPr>
      <w:spacing w:before="100" w:beforeAutospacing="1" w:after="100" w:afterAutospacing="1"/>
    </w:pPr>
  </w:style>
  <w:style w:type="paragraph" w:customStyle="1" w:styleId="-LettreTexteGEDA">
    <w:name w:val="- Lettre:Texte                GEDA"/>
    <w:rsid w:val="00631EE2"/>
    <w:pPr>
      <w:overflowPunct w:val="0"/>
      <w:autoSpaceDE w:val="0"/>
      <w:autoSpaceDN w:val="0"/>
      <w:adjustRightInd w:val="0"/>
      <w:spacing w:before="120" w:after="0" w:line="240" w:lineRule="auto"/>
      <w:ind w:firstLine="851"/>
      <w:jc w:val="both"/>
      <w:textAlignment w:val="baseline"/>
    </w:pPr>
    <w:rPr>
      <w:rFonts w:asciiTheme="majorHAnsi" w:eastAsia="Times New Roman" w:hAnsiTheme="majorHAnsi" w:cs="Times New Roman"/>
      <w:sz w:val="24"/>
      <w:szCs w:val="20"/>
      <w:lang w:eastAsia="fr-FR"/>
    </w:rPr>
  </w:style>
  <w:style w:type="paragraph" w:styleId="Pieddepage">
    <w:name w:val="footer"/>
    <w:basedOn w:val="Normal"/>
    <w:link w:val="PieddepageCar"/>
    <w:uiPriority w:val="99"/>
    <w:unhideWhenUsed/>
    <w:rsid w:val="002B7A33"/>
    <w:pPr>
      <w:tabs>
        <w:tab w:val="center" w:pos="4536"/>
        <w:tab w:val="right" w:pos="9072"/>
      </w:tabs>
    </w:pPr>
  </w:style>
  <w:style w:type="character" w:customStyle="1" w:styleId="PieddepageCar">
    <w:name w:val="Pied de page Car"/>
    <w:basedOn w:val="Policepardfaut"/>
    <w:link w:val="Pieddepage"/>
    <w:uiPriority w:val="99"/>
    <w:rsid w:val="002B7A33"/>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B7A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A33"/>
    <w:rPr>
      <w:rFonts w:ascii="Segoe UI" w:eastAsia="Times New Roman" w:hAnsi="Segoe UI" w:cs="Segoe UI"/>
      <w:sz w:val="18"/>
      <w:szCs w:val="18"/>
      <w:lang w:eastAsia="fr-FR"/>
    </w:rPr>
  </w:style>
  <w:style w:type="character" w:styleId="Lienhypertexte">
    <w:name w:val="Hyperlink"/>
    <w:basedOn w:val="Policepardfaut"/>
    <w:uiPriority w:val="99"/>
    <w:unhideWhenUsed/>
    <w:rsid w:val="00F07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7496">
      <w:bodyDiv w:val="1"/>
      <w:marLeft w:val="0"/>
      <w:marRight w:val="0"/>
      <w:marTop w:val="0"/>
      <w:marBottom w:val="0"/>
      <w:divBdr>
        <w:top w:val="none" w:sz="0" w:space="0" w:color="auto"/>
        <w:left w:val="none" w:sz="0" w:space="0" w:color="auto"/>
        <w:bottom w:val="none" w:sz="0" w:space="0" w:color="auto"/>
        <w:right w:val="none" w:sz="0" w:space="0" w:color="auto"/>
      </w:divBdr>
    </w:div>
    <w:div w:id="294340549">
      <w:bodyDiv w:val="1"/>
      <w:marLeft w:val="0"/>
      <w:marRight w:val="0"/>
      <w:marTop w:val="0"/>
      <w:marBottom w:val="0"/>
      <w:divBdr>
        <w:top w:val="none" w:sz="0" w:space="0" w:color="auto"/>
        <w:left w:val="none" w:sz="0" w:space="0" w:color="auto"/>
        <w:bottom w:val="none" w:sz="0" w:space="0" w:color="auto"/>
        <w:right w:val="none" w:sz="0" w:space="0" w:color="auto"/>
      </w:divBdr>
    </w:div>
    <w:div w:id="509373226">
      <w:bodyDiv w:val="1"/>
      <w:marLeft w:val="0"/>
      <w:marRight w:val="0"/>
      <w:marTop w:val="0"/>
      <w:marBottom w:val="0"/>
      <w:divBdr>
        <w:top w:val="none" w:sz="0" w:space="0" w:color="auto"/>
        <w:left w:val="none" w:sz="0" w:space="0" w:color="auto"/>
        <w:bottom w:val="none" w:sz="0" w:space="0" w:color="auto"/>
        <w:right w:val="none" w:sz="0" w:space="0" w:color="auto"/>
      </w:divBdr>
    </w:div>
    <w:div w:id="514731318">
      <w:bodyDiv w:val="1"/>
      <w:marLeft w:val="0"/>
      <w:marRight w:val="0"/>
      <w:marTop w:val="0"/>
      <w:marBottom w:val="0"/>
      <w:divBdr>
        <w:top w:val="none" w:sz="0" w:space="0" w:color="auto"/>
        <w:left w:val="none" w:sz="0" w:space="0" w:color="auto"/>
        <w:bottom w:val="none" w:sz="0" w:space="0" w:color="auto"/>
        <w:right w:val="none" w:sz="0" w:space="0" w:color="auto"/>
      </w:divBdr>
    </w:div>
    <w:div w:id="601305414">
      <w:bodyDiv w:val="1"/>
      <w:marLeft w:val="0"/>
      <w:marRight w:val="0"/>
      <w:marTop w:val="0"/>
      <w:marBottom w:val="0"/>
      <w:divBdr>
        <w:top w:val="none" w:sz="0" w:space="0" w:color="auto"/>
        <w:left w:val="none" w:sz="0" w:space="0" w:color="auto"/>
        <w:bottom w:val="none" w:sz="0" w:space="0" w:color="auto"/>
        <w:right w:val="none" w:sz="0" w:space="0" w:color="auto"/>
      </w:divBdr>
    </w:div>
    <w:div w:id="778910876">
      <w:bodyDiv w:val="1"/>
      <w:marLeft w:val="0"/>
      <w:marRight w:val="0"/>
      <w:marTop w:val="0"/>
      <w:marBottom w:val="0"/>
      <w:divBdr>
        <w:top w:val="none" w:sz="0" w:space="0" w:color="auto"/>
        <w:left w:val="none" w:sz="0" w:space="0" w:color="auto"/>
        <w:bottom w:val="none" w:sz="0" w:space="0" w:color="auto"/>
        <w:right w:val="none" w:sz="0" w:space="0" w:color="auto"/>
      </w:divBdr>
    </w:div>
    <w:div w:id="19225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iki.sylvestre-baron@energie.gov.p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EBFF-8331-4541-8F30-08E8E41B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1597</Words>
  <Characters>8786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Teiki</dc:creator>
  <cp:keywords/>
  <dc:description/>
  <cp:lastModifiedBy>Johanna JCF. CROSFROGIER</cp:lastModifiedBy>
  <cp:revision>3</cp:revision>
  <dcterms:created xsi:type="dcterms:W3CDTF">2020-02-06T20:46:00Z</dcterms:created>
  <dcterms:modified xsi:type="dcterms:W3CDTF">2020-02-06T20:53:00Z</dcterms:modified>
</cp:coreProperties>
</file>