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669BF4"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B7748" w:rsidP="00CE47CE">
      <w:pPr>
        <w:tabs>
          <w:tab w:val="left" w:pos="3240"/>
        </w:tabs>
        <w:jc w:val="center"/>
        <w:rPr>
          <w:rFonts w:ascii="Cambria" w:hAnsi="Cambria" w:cs="Arial"/>
          <w:b/>
          <w:i/>
        </w:rPr>
      </w:pPr>
      <w:r>
        <w:rPr>
          <w:rFonts w:ascii="Cambria" w:hAnsi="Cambria" w:cs="Arial"/>
          <w:b/>
          <w:i/>
        </w:rPr>
        <w:t>Mercredi</w:t>
      </w:r>
      <w:r w:rsidR="00821E5C">
        <w:rPr>
          <w:rFonts w:ascii="Cambria" w:hAnsi="Cambria" w:cs="Arial"/>
          <w:b/>
          <w:i/>
        </w:rPr>
        <w:t xml:space="preserve"> </w:t>
      </w:r>
      <w:r>
        <w:rPr>
          <w:rFonts w:ascii="Cambria" w:hAnsi="Cambria" w:cs="Arial"/>
          <w:b/>
          <w:i/>
        </w:rPr>
        <w:t>11</w:t>
      </w:r>
      <w:r w:rsidR="00D032A7">
        <w:rPr>
          <w:rFonts w:ascii="Cambria" w:hAnsi="Cambria" w:cs="Arial"/>
          <w:b/>
          <w:i/>
        </w:rPr>
        <w:t xml:space="preserve"> septembre</w:t>
      </w:r>
      <w:r w:rsidR="00D42763">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839F0D"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360712" w:rsidRDefault="00360712" w:rsidP="00DB7748">
      <w:pPr>
        <w:rPr>
          <w:rFonts w:ascii="Cambria" w:hAnsi="Cambria"/>
          <w:b/>
        </w:rPr>
      </w:pPr>
    </w:p>
    <w:p w:rsidR="00821E5C" w:rsidRDefault="00821E5C" w:rsidP="00821E5C">
      <w:pPr>
        <w:pStyle w:val="-LettreSuiteORefPJGEDA"/>
        <w:ind w:left="0"/>
        <w:rPr>
          <w:rFonts w:ascii="Cambria" w:hAnsi="Cambria"/>
          <w:b/>
          <w:bCs/>
          <w:szCs w:val="24"/>
        </w:rPr>
      </w:pPr>
    </w:p>
    <w:p w:rsidR="00821E5C" w:rsidRDefault="00D54E06" w:rsidP="00821E5C">
      <w:pPr>
        <w:pStyle w:val="-LettreSuiteORefPJGEDA"/>
        <w:ind w:left="0"/>
        <w:rPr>
          <w:rFonts w:ascii="Cambria" w:hAnsi="Cambria"/>
          <w:b/>
          <w:bCs/>
          <w:szCs w:val="24"/>
        </w:rPr>
      </w:pPr>
      <w:r>
        <w:rPr>
          <w:rFonts w:ascii="Cambria" w:hAnsi="Cambria"/>
          <w:b/>
          <w:bCs/>
          <w:szCs w:val="24"/>
        </w:rPr>
        <w:t>I</w:t>
      </w:r>
      <w:r w:rsidR="00821E5C" w:rsidRPr="00702B40">
        <w:rPr>
          <w:rFonts w:ascii="Cambria" w:hAnsi="Cambria"/>
          <w:b/>
          <w:bCs/>
          <w:szCs w:val="24"/>
        </w:rPr>
        <w:t>ndice des prix</w:t>
      </w:r>
      <w:r>
        <w:rPr>
          <w:rFonts w:ascii="Cambria" w:hAnsi="Cambria"/>
          <w:b/>
          <w:bCs/>
          <w:szCs w:val="24"/>
        </w:rPr>
        <w:t> : baisse de 0,3% au mois d’août</w:t>
      </w:r>
    </w:p>
    <w:p w:rsidR="00821E5C" w:rsidRPr="00702B40" w:rsidRDefault="00821E5C" w:rsidP="00821E5C">
      <w:pPr>
        <w:pStyle w:val="-LettreSuiteORefPJGEDA"/>
        <w:ind w:left="0"/>
        <w:rPr>
          <w:rFonts w:ascii="Cambria" w:hAnsi="Cambria"/>
          <w:b/>
          <w:bCs/>
          <w:szCs w:val="24"/>
        </w:rPr>
      </w:pPr>
    </w:p>
    <w:p w:rsid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 xml:space="preserve">En août, l'indice des prix à la consommation diminue de 0,3 % et s'établit à 99,91. Cette évolution est essentiellement liée à la baisse saisonnière des tarifs de </w:t>
      </w:r>
      <w:r w:rsidR="00D54E06">
        <w:rPr>
          <w:rFonts w:ascii="Cambria" w:hAnsi="Cambria"/>
          <w:szCs w:val="24"/>
        </w:rPr>
        <w:t>t</w:t>
      </w:r>
      <w:r w:rsidRPr="00821E5C">
        <w:rPr>
          <w:rFonts w:ascii="Cambria" w:hAnsi="Cambria"/>
          <w:szCs w:val="24"/>
        </w:rPr>
        <w:t xml:space="preserve">ransport aérien (- 16,2 %). Sur douze mois, l'indice général des prix à la consommation augmente de 0,9 %. </w:t>
      </w:r>
    </w:p>
    <w:p w:rsidR="00821E5C" w:rsidRPr="00821E5C" w:rsidRDefault="00821E5C" w:rsidP="00821E5C">
      <w:pPr>
        <w:pStyle w:val="-LettreTexteGEDA"/>
        <w:spacing w:before="0"/>
        <w:ind w:firstLine="0"/>
        <w:textAlignment w:val="auto"/>
        <w:rPr>
          <w:rFonts w:ascii="Cambria" w:hAnsi="Cambria"/>
          <w:szCs w:val="24"/>
        </w:rPr>
      </w:pPr>
    </w:p>
    <w:p w:rsid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 xml:space="preserve">Moins sensible aux fluctuations des tarifs de </w:t>
      </w:r>
      <w:r w:rsidR="00D54E06">
        <w:rPr>
          <w:rFonts w:ascii="Cambria" w:hAnsi="Cambria"/>
          <w:szCs w:val="24"/>
        </w:rPr>
        <w:t>t</w:t>
      </w:r>
      <w:r w:rsidRPr="00821E5C">
        <w:rPr>
          <w:rFonts w:ascii="Cambria" w:hAnsi="Cambria"/>
          <w:szCs w:val="24"/>
        </w:rPr>
        <w:t xml:space="preserve">ransport aérien, l’indice ouvrier augmente de 0,1 % </w:t>
      </w:r>
      <w:r w:rsidR="00D54E06">
        <w:rPr>
          <w:rFonts w:ascii="Cambria" w:hAnsi="Cambria"/>
          <w:szCs w:val="24"/>
        </w:rPr>
        <w:t>au mois d’août</w:t>
      </w:r>
      <w:r w:rsidRPr="00821E5C">
        <w:rPr>
          <w:rFonts w:ascii="Cambria" w:hAnsi="Cambria"/>
          <w:szCs w:val="24"/>
        </w:rPr>
        <w:t xml:space="preserve">. Il progresse de 1,7 % en glissement sur douze mois. L'indice général hors </w:t>
      </w:r>
      <w:r w:rsidR="00D54E06">
        <w:rPr>
          <w:rFonts w:ascii="Cambria" w:hAnsi="Cambria"/>
          <w:szCs w:val="24"/>
        </w:rPr>
        <w:t>t</w:t>
      </w:r>
      <w:r w:rsidRPr="00821E5C">
        <w:rPr>
          <w:rFonts w:ascii="Cambria" w:hAnsi="Cambria"/>
          <w:szCs w:val="24"/>
        </w:rPr>
        <w:t>ransport aérien international progresse égale</w:t>
      </w:r>
      <w:r w:rsidR="00D54E06">
        <w:rPr>
          <w:rFonts w:ascii="Cambria" w:hAnsi="Cambria"/>
          <w:szCs w:val="24"/>
        </w:rPr>
        <w:t>ment de 0,1 % en août</w:t>
      </w:r>
      <w:r w:rsidRPr="00821E5C">
        <w:rPr>
          <w:rFonts w:ascii="Cambria" w:hAnsi="Cambria"/>
          <w:szCs w:val="24"/>
        </w:rPr>
        <w:t>. Il est en hausse de 0,9 % en glissement sur douze mois.</w:t>
      </w:r>
    </w:p>
    <w:p w:rsidR="00821E5C" w:rsidRPr="00821E5C" w:rsidRDefault="00821E5C" w:rsidP="00821E5C">
      <w:pPr>
        <w:pStyle w:val="-LettreTexteGEDA"/>
        <w:spacing w:before="0"/>
        <w:ind w:firstLine="0"/>
        <w:textAlignment w:val="auto"/>
        <w:rPr>
          <w:rFonts w:ascii="Cambria" w:hAnsi="Cambria"/>
          <w:szCs w:val="24"/>
        </w:rPr>
      </w:pPr>
    </w:p>
    <w:p w:rsid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 xml:space="preserve">En août </w:t>
      </w:r>
      <w:r w:rsidR="00D54E06">
        <w:rPr>
          <w:rFonts w:ascii="Cambria" w:hAnsi="Cambria"/>
          <w:szCs w:val="24"/>
        </w:rPr>
        <w:t>également</w:t>
      </w:r>
      <w:r w:rsidRPr="00821E5C">
        <w:rPr>
          <w:rFonts w:ascii="Cambria" w:hAnsi="Cambria"/>
          <w:szCs w:val="24"/>
        </w:rPr>
        <w:t xml:space="preserve">, l'index du Bâtiment et des Travaux Publics (BTP) augmente de 0,1 %. Cette évolution est principalement liée aux augmentations de prix des </w:t>
      </w:r>
      <w:r w:rsidR="00D54E06">
        <w:rPr>
          <w:rFonts w:ascii="Cambria" w:hAnsi="Cambria"/>
          <w:szCs w:val="24"/>
        </w:rPr>
        <w:t>m</w:t>
      </w:r>
      <w:r w:rsidRPr="00821E5C">
        <w:rPr>
          <w:rFonts w:ascii="Cambria" w:hAnsi="Cambria"/>
          <w:szCs w:val="24"/>
        </w:rPr>
        <w:t xml:space="preserve">atériaux chimiques (+ 0,9 %) et de l'Energie (+ 3,1 %, dont + 3,5 % pour les </w:t>
      </w:r>
      <w:r w:rsidR="003609B1">
        <w:rPr>
          <w:rFonts w:ascii="Cambria" w:hAnsi="Cambria"/>
          <w:szCs w:val="24"/>
        </w:rPr>
        <w:t>c</w:t>
      </w:r>
      <w:r w:rsidRPr="00821E5C">
        <w:rPr>
          <w:rFonts w:ascii="Cambria" w:hAnsi="Cambria"/>
          <w:szCs w:val="24"/>
        </w:rPr>
        <w:t>arburants).</w:t>
      </w:r>
      <w:r w:rsidR="00D54E06">
        <w:rPr>
          <w:rFonts w:ascii="Cambria" w:hAnsi="Cambria"/>
          <w:szCs w:val="24"/>
        </w:rPr>
        <w:t xml:space="preserve"> </w:t>
      </w:r>
      <w:r w:rsidRPr="00821E5C">
        <w:rPr>
          <w:rFonts w:ascii="Cambria" w:hAnsi="Cambria"/>
          <w:szCs w:val="24"/>
        </w:rPr>
        <w:t xml:space="preserve">L'index du Bâtiment est en repli de 0,6 % et celui des Travaux Publics progresse de 0,9 % </w:t>
      </w:r>
      <w:r w:rsidR="00D54E06">
        <w:rPr>
          <w:rFonts w:ascii="Cambria" w:hAnsi="Cambria"/>
          <w:szCs w:val="24"/>
        </w:rPr>
        <w:t>au mois d’</w:t>
      </w:r>
      <w:r w:rsidRPr="00821E5C">
        <w:rPr>
          <w:rFonts w:ascii="Cambria" w:hAnsi="Cambria"/>
          <w:szCs w:val="24"/>
        </w:rPr>
        <w:t>août.</w:t>
      </w:r>
    </w:p>
    <w:p w:rsidR="00821E5C" w:rsidRPr="00821E5C" w:rsidRDefault="00821E5C" w:rsidP="00821E5C">
      <w:pPr>
        <w:pStyle w:val="-LettreTexteGEDA"/>
        <w:spacing w:before="0"/>
        <w:ind w:firstLine="0"/>
        <w:textAlignment w:val="auto"/>
        <w:rPr>
          <w:rFonts w:ascii="Cambria" w:hAnsi="Cambria"/>
          <w:szCs w:val="24"/>
        </w:rPr>
      </w:pPr>
    </w:p>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Dans le Bâtiment, l'index du Gros Œuvre diminue de 0,2 % et celui du Second Œuvre, de 1,0 %. Dans les Travaux Publics, l'index du Génie Civil augmente de 0,9 % et celui des Travaux Spécialisés de 0,7 %.</w:t>
      </w:r>
      <w:r w:rsidR="00D54E06">
        <w:rPr>
          <w:rFonts w:ascii="Cambria" w:hAnsi="Cambria"/>
          <w:szCs w:val="24"/>
        </w:rPr>
        <w:t xml:space="preserve"> </w:t>
      </w:r>
      <w:r w:rsidRPr="00821E5C">
        <w:rPr>
          <w:rFonts w:ascii="Cambria" w:hAnsi="Cambria"/>
          <w:szCs w:val="24"/>
        </w:rPr>
        <w:t>Sur 12 mois, l'index général du BTP est en hausse de 1,3 % ; l'index du Bâtiment croît de 0,6 % et celui des Travaux Publics, de 2,2 %.</w:t>
      </w:r>
    </w:p>
    <w:p w:rsidR="00821E5C" w:rsidRPr="00821E5C" w:rsidRDefault="00821E5C" w:rsidP="00821E5C">
      <w:pPr>
        <w:pStyle w:val="-LettreTexteGEDA"/>
        <w:spacing w:before="0"/>
        <w:ind w:firstLine="0"/>
        <w:textAlignment w:val="auto"/>
        <w:rPr>
          <w:rFonts w:ascii="Cambria" w:hAnsi="Cambria"/>
          <w:szCs w:val="24"/>
        </w:rPr>
      </w:pPr>
    </w:p>
    <w:p w:rsidR="00821E5C" w:rsidRPr="00821E5C" w:rsidRDefault="00D54E06" w:rsidP="00821E5C">
      <w:pPr>
        <w:pStyle w:val="-LettreTexteGEDA"/>
        <w:spacing w:before="0"/>
        <w:ind w:firstLine="0"/>
        <w:textAlignment w:val="auto"/>
        <w:rPr>
          <w:rFonts w:ascii="Cambria" w:hAnsi="Cambria"/>
          <w:szCs w:val="24"/>
        </w:rPr>
      </w:pPr>
      <w:r>
        <w:rPr>
          <w:rFonts w:ascii="Cambria" w:hAnsi="Cambria"/>
          <w:szCs w:val="24"/>
        </w:rPr>
        <w:t>En août</w:t>
      </w:r>
      <w:r w:rsidR="00821E5C" w:rsidRPr="00821E5C">
        <w:rPr>
          <w:rFonts w:ascii="Cambria" w:hAnsi="Cambria"/>
          <w:szCs w:val="24"/>
        </w:rPr>
        <w:t>, les index hybrides prennent les valeurs suivantes (base 100 en décembre 2010) :</w:t>
      </w:r>
    </w:p>
    <w:p w:rsidR="00821E5C" w:rsidRPr="00821E5C" w:rsidRDefault="00821E5C" w:rsidP="00821E5C">
      <w:pPr>
        <w:pStyle w:val="-LettreTexteGEDA"/>
        <w:spacing w:before="0"/>
        <w:ind w:firstLine="0"/>
        <w:textAlignment w:val="auto"/>
        <w:rPr>
          <w:rFonts w:ascii="Cambria" w:hAnsi="Cambria"/>
          <w:szCs w:val="24"/>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821E5C" w:rsidRPr="00821E5C" w:rsidTr="00F71E02">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Variations en %</w:t>
            </w:r>
          </w:p>
        </w:tc>
      </w:tr>
      <w:tr w:rsidR="00821E5C" w:rsidRPr="00821E5C" w:rsidTr="00F71E02">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rsidR="00821E5C" w:rsidRPr="00821E5C" w:rsidRDefault="00821E5C" w:rsidP="00821E5C">
            <w:pPr>
              <w:pStyle w:val="-LettreTexteGEDA"/>
              <w:spacing w:before="0"/>
              <w:ind w:firstLine="0"/>
              <w:textAlignment w:val="auto"/>
              <w:rPr>
                <w:rFonts w:ascii="Cambria" w:hAnsi="Cambria"/>
                <w:szCs w:val="24"/>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821E5C" w:rsidRPr="00821E5C" w:rsidRDefault="00821E5C" w:rsidP="00821E5C">
            <w:pPr>
              <w:pStyle w:val="-LettreTexteGEDA"/>
              <w:spacing w:before="0"/>
              <w:ind w:firstLine="0"/>
              <w:textAlignment w:val="auto"/>
              <w:rPr>
                <w:rFonts w:ascii="Cambria" w:hAnsi="Cambria"/>
                <w:szCs w:val="24"/>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Sur 12 mois</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114,83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0,4</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110,02</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0,4</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111,70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0,1</w:t>
            </w:r>
          </w:p>
        </w:tc>
        <w:tc>
          <w:tcPr>
            <w:tcW w:w="1384" w:type="dxa"/>
            <w:tcBorders>
              <w:top w:val="dotted" w:sz="4" w:space="0" w:color="auto"/>
              <w:left w:val="dotted" w:sz="4" w:space="0" w:color="auto"/>
              <w:bottom w:val="dotted" w:sz="4" w:space="0" w:color="auto"/>
              <w:right w:val="dotted" w:sz="4" w:space="0" w:color="auto"/>
            </w:tcBorders>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2,4</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105,34</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0,4</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125,33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-0,2</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2,2</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110,06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0,9</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109,23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0,8</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2,3</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lastRenderedPageBreak/>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104,70</w:t>
            </w:r>
          </w:p>
        </w:tc>
        <w:tc>
          <w:tcPr>
            <w:tcW w:w="1309" w:type="dxa"/>
            <w:tcBorders>
              <w:top w:val="dotted" w:sz="4" w:space="0" w:color="auto"/>
              <w:left w:val="dotted" w:sz="4" w:space="0" w:color="auto"/>
              <w:bottom w:val="dotted" w:sz="4" w:space="0" w:color="auto"/>
              <w:right w:val="dotted" w:sz="4" w:space="0" w:color="auto"/>
            </w:tcBorders>
            <w:noWrap/>
            <w:vAlign w:val="center"/>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-0,3</w:t>
            </w:r>
          </w:p>
        </w:tc>
        <w:tc>
          <w:tcPr>
            <w:tcW w:w="1384" w:type="dxa"/>
            <w:tcBorders>
              <w:top w:val="dotted" w:sz="4" w:space="0" w:color="auto"/>
              <w:left w:val="dotted" w:sz="4" w:space="0" w:color="auto"/>
              <w:bottom w:val="dotted" w:sz="4" w:space="0" w:color="auto"/>
              <w:right w:val="dotted" w:sz="4" w:space="0" w:color="auto"/>
            </w:tcBorders>
            <w:noWrap/>
            <w:vAlign w:val="center"/>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0,3</w:t>
            </w:r>
          </w:p>
        </w:tc>
      </w:tr>
      <w:tr w:rsidR="00821E5C" w:rsidRPr="00821E5C" w:rsidTr="00F71E02">
        <w:trPr>
          <w:trHeight w:val="315"/>
        </w:trPr>
        <w:tc>
          <w:tcPr>
            <w:tcW w:w="5665" w:type="dxa"/>
            <w:tcBorders>
              <w:top w:val="dotted" w:sz="4" w:space="0" w:color="auto"/>
              <w:left w:val="dotted" w:sz="4" w:space="0" w:color="auto"/>
              <w:bottom w:val="dotted" w:sz="4" w:space="0" w:color="auto"/>
              <w:right w:val="dotted" w:sz="4" w:space="0" w:color="auto"/>
            </w:tcBorders>
            <w:noWrap/>
            <w:vAlign w:val="center"/>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95,80</w:t>
            </w:r>
          </w:p>
        </w:tc>
        <w:tc>
          <w:tcPr>
            <w:tcW w:w="1309" w:type="dxa"/>
            <w:tcBorders>
              <w:top w:val="dotted" w:sz="4" w:space="0" w:color="auto"/>
              <w:left w:val="dotted" w:sz="4" w:space="0" w:color="auto"/>
              <w:bottom w:val="dotted" w:sz="4" w:space="0" w:color="auto"/>
              <w:right w:val="dotted" w:sz="4" w:space="0" w:color="auto"/>
            </w:tcBorders>
            <w:noWrap/>
            <w:vAlign w:val="center"/>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-0,5</w:t>
            </w:r>
          </w:p>
        </w:tc>
        <w:tc>
          <w:tcPr>
            <w:tcW w:w="1384" w:type="dxa"/>
            <w:tcBorders>
              <w:top w:val="dotted" w:sz="4" w:space="0" w:color="auto"/>
              <w:left w:val="dotted" w:sz="4" w:space="0" w:color="auto"/>
              <w:bottom w:val="dotted" w:sz="4" w:space="0" w:color="auto"/>
              <w:right w:val="dotted" w:sz="4" w:space="0" w:color="auto"/>
            </w:tcBorders>
            <w:noWrap/>
            <w:vAlign w:val="center"/>
          </w:tcPr>
          <w:p w:rsidR="00821E5C" w:rsidRPr="00821E5C" w:rsidRDefault="00821E5C" w:rsidP="00821E5C">
            <w:pPr>
              <w:pStyle w:val="-LettreTexteGEDA"/>
              <w:spacing w:before="0"/>
              <w:ind w:firstLine="0"/>
              <w:textAlignment w:val="auto"/>
              <w:rPr>
                <w:rFonts w:ascii="Cambria" w:hAnsi="Cambria"/>
                <w:szCs w:val="24"/>
              </w:rPr>
            </w:pPr>
            <w:r w:rsidRPr="00821E5C">
              <w:rPr>
                <w:rFonts w:ascii="Cambria" w:hAnsi="Cambria"/>
                <w:szCs w:val="24"/>
              </w:rPr>
              <w:t>-2,5</w:t>
            </w:r>
          </w:p>
        </w:tc>
      </w:tr>
    </w:tbl>
    <w:p w:rsidR="003B7242" w:rsidRDefault="003B7242" w:rsidP="00DB7748">
      <w:pPr>
        <w:rPr>
          <w:rFonts w:ascii="Cambria" w:hAnsi="Cambria"/>
          <w:b/>
        </w:rPr>
      </w:pPr>
    </w:p>
    <w:p w:rsidR="009C0B15" w:rsidRDefault="009C0B15" w:rsidP="009C0B15">
      <w:pPr>
        <w:widowControl w:val="0"/>
        <w:autoSpaceDE w:val="0"/>
        <w:autoSpaceDN w:val="0"/>
        <w:adjustRightInd w:val="0"/>
        <w:jc w:val="both"/>
        <w:rPr>
          <w:rFonts w:ascii="Cambria" w:hAnsi="Cambria"/>
        </w:rPr>
      </w:pPr>
    </w:p>
    <w:p w:rsidR="009C0B15" w:rsidRDefault="002A0FAA" w:rsidP="00C84B1D">
      <w:pPr>
        <w:rPr>
          <w:rFonts w:ascii="Cambria" w:hAnsi="Cambria"/>
          <w:b/>
        </w:rPr>
      </w:pPr>
      <w:r>
        <w:rPr>
          <w:rFonts w:ascii="Cambria" w:hAnsi="Cambria"/>
          <w:b/>
        </w:rPr>
        <w:t xml:space="preserve">Libéralisation </w:t>
      </w:r>
      <w:r w:rsidR="009C0B15">
        <w:rPr>
          <w:rFonts w:ascii="Cambria" w:hAnsi="Cambria"/>
          <w:b/>
        </w:rPr>
        <w:t>du pr</w:t>
      </w:r>
      <w:r w:rsidR="00C84B1D">
        <w:rPr>
          <w:rFonts w:ascii="Cambria" w:hAnsi="Cambria"/>
          <w:b/>
        </w:rPr>
        <w:t>ix de la pomme de terre locale</w:t>
      </w:r>
    </w:p>
    <w:p w:rsidR="009C0B15" w:rsidRDefault="009C0B15" w:rsidP="009C0B15">
      <w:pPr>
        <w:pStyle w:val="-LettreTexteGEDA"/>
        <w:spacing w:before="0"/>
        <w:ind w:firstLine="0"/>
        <w:jc w:val="center"/>
        <w:rPr>
          <w:rFonts w:ascii="Cambria" w:hAnsi="Cambria"/>
        </w:rPr>
      </w:pPr>
    </w:p>
    <w:p w:rsidR="009C0B15" w:rsidRDefault="009C0B15" w:rsidP="009C0B15">
      <w:pPr>
        <w:widowControl w:val="0"/>
        <w:autoSpaceDE w:val="0"/>
        <w:autoSpaceDN w:val="0"/>
        <w:adjustRightInd w:val="0"/>
        <w:jc w:val="both"/>
        <w:rPr>
          <w:rFonts w:ascii="Cambria" w:hAnsi="Cambria"/>
        </w:rPr>
      </w:pPr>
      <w:r w:rsidRPr="009C0B15">
        <w:rPr>
          <w:rFonts w:ascii="Cambria" w:hAnsi="Cambria"/>
        </w:rPr>
        <w:t xml:space="preserve">Afin de soutenir les agriculteurs, producteurs de pommes de terre aux Australes, le Conseil des </w:t>
      </w:r>
      <w:r w:rsidR="00C84B1D">
        <w:rPr>
          <w:rFonts w:ascii="Cambria" w:hAnsi="Cambria"/>
        </w:rPr>
        <w:t>m</w:t>
      </w:r>
      <w:r w:rsidRPr="009C0B15">
        <w:rPr>
          <w:rFonts w:ascii="Cambria" w:hAnsi="Cambria"/>
        </w:rPr>
        <w:t>inistres a décidé de libérer les prix de la pomme de terre local, en la sortant de la liste des produits de grande consommation.</w:t>
      </w:r>
    </w:p>
    <w:p w:rsidR="009C0B15" w:rsidRPr="009C0B15" w:rsidRDefault="009C0B15" w:rsidP="009C0B15">
      <w:pPr>
        <w:widowControl w:val="0"/>
        <w:autoSpaceDE w:val="0"/>
        <w:autoSpaceDN w:val="0"/>
        <w:adjustRightInd w:val="0"/>
        <w:jc w:val="both"/>
        <w:rPr>
          <w:rFonts w:ascii="Cambria" w:hAnsi="Cambria"/>
        </w:rPr>
      </w:pPr>
    </w:p>
    <w:p w:rsidR="009C0B15" w:rsidRDefault="009C0B15" w:rsidP="009C0B15">
      <w:pPr>
        <w:widowControl w:val="0"/>
        <w:autoSpaceDE w:val="0"/>
        <w:autoSpaceDN w:val="0"/>
        <w:adjustRightInd w:val="0"/>
        <w:jc w:val="both"/>
        <w:rPr>
          <w:rFonts w:ascii="Cambria" w:hAnsi="Cambria"/>
        </w:rPr>
      </w:pPr>
      <w:r w:rsidRPr="009C0B15">
        <w:rPr>
          <w:rFonts w:ascii="Cambria" w:hAnsi="Cambria"/>
        </w:rPr>
        <w:t>Cette mesure économique permettra ainsi aux agriculteurs de fixer leurs prix de vente de ce tubercule local, sans contrainte réglementaire, pour une meilleure prise en compte de leurs coûts de production, qui varient fortement selon les années de récolte en raison du prix des semences et des aléas climatiques.</w:t>
      </w:r>
    </w:p>
    <w:p w:rsidR="003B7242" w:rsidRDefault="003B7242" w:rsidP="009C0B15">
      <w:pPr>
        <w:widowControl w:val="0"/>
        <w:autoSpaceDE w:val="0"/>
        <w:autoSpaceDN w:val="0"/>
        <w:adjustRightInd w:val="0"/>
        <w:jc w:val="both"/>
        <w:rPr>
          <w:rFonts w:ascii="Cambria" w:hAnsi="Cambria"/>
        </w:rPr>
      </w:pPr>
    </w:p>
    <w:p w:rsidR="003B7242" w:rsidRDefault="003B7242" w:rsidP="003B7242">
      <w:pPr>
        <w:rPr>
          <w:rFonts w:ascii="Cambria" w:hAnsi="Cambria"/>
          <w:b/>
        </w:rPr>
      </w:pPr>
    </w:p>
    <w:p w:rsidR="002A0FAA" w:rsidRPr="002A0FAA" w:rsidRDefault="002A0FAA" w:rsidP="002A0FAA">
      <w:pPr>
        <w:rPr>
          <w:rFonts w:ascii="Cambria" w:hAnsi="Cambria"/>
          <w:b/>
          <w:bCs/>
        </w:rPr>
      </w:pPr>
      <w:r w:rsidRPr="002A0FAA">
        <w:rPr>
          <w:rFonts w:ascii="Cambria" w:hAnsi="Cambria"/>
          <w:b/>
          <w:bCs/>
        </w:rPr>
        <w:t>Cinq entreprises soutenues par le Pays</w:t>
      </w:r>
    </w:p>
    <w:p w:rsidR="002A0FAA" w:rsidRPr="002A0FAA" w:rsidRDefault="002A0FAA" w:rsidP="002A0FAA">
      <w:pPr>
        <w:pStyle w:val="-LettreTexteGEDA"/>
        <w:spacing w:before="0"/>
        <w:ind w:firstLine="0"/>
      </w:pPr>
    </w:p>
    <w:p w:rsidR="002A0FAA" w:rsidRPr="002A0FAA" w:rsidRDefault="002A0FAA" w:rsidP="002A0FAA">
      <w:pPr>
        <w:autoSpaceDE w:val="0"/>
        <w:autoSpaceDN w:val="0"/>
        <w:jc w:val="both"/>
        <w:rPr>
          <w:rFonts w:ascii="Cambria" w:hAnsi="Cambria"/>
        </w:rPr>
      </w:pPr>
      <w:r w:rsidRPr="002A0FAA">
        <w:rPr>
          <w:rFonts w:ascii="Cambria" w:hAnsi="Cambria"/>
        </w:rPr>
        <w:t>Dans le cadre de sa politique de soutien à l’investissement, le Pays a instauré deux dispositifs d’aide aux entreprises :</w:t>
      </w:r>
    </w:p>
    <w:p w:rsidR="002A0FAA" w:rsidRPr="002A0FAA" w:rsidRDefault="002A0FAA" w:rsidP="002A0FAA">
      <w:pPr>
        <w:autoSpaceDE w:val="0"/>
        <w:autoSpaceDN w:val="0"/>
        <w:jc w:val="both"/>
        <w:rPr>
          <w:rFonts w:ascii="Cambria" w:hAnsi="Cambria"/>
        </w:rPr>
      </w:pPr>
    </w:p>
    <w:p w:rsidR="002A0FAA" w:rsidRPr="002A0FAA" w:rsidRDefault="002A0FAA" w:rsidP="002A0FAA">
      <w:pPr>
        <w:pStyle w:val="Paragraphedeliste"/>
        <w:numPr>
          <w:ilvl w:val="0"/>
          <w:numId w:val="33"/>
        </w:numPr>
        <w:autoSpaceDE w:val="0"/>
        <w:autoSpaceDN w:val="0"/>
        <w:jc w:val="both"/>
        <w:rPr>
          <w:rFonts w:ascii="Cambria" w:hAnsi="Cambria"/>
          <w:sz w:val="24"/>
          <w:szCs w:val="24"/>
        </w:rPr>
      </w:pPr>
      <w:r w:rsidRPr="002A0FAA">
        <w:rPr>
          <w:rFonts w:ascii="Cambria" w:hAnsi="Cambria"/>
          <w:sz w:val="24"/>
          <w:szCs w:val="24"/>
        </w:rPr>
        <w:t>La première mesure porte sur une aide à l’équipement des petites entreprises (AEPE) afin de les accompagner dans leur projet de création ou de développement de leur activité ;</w:t>
      </w:r>
    </w:p>
    <w:p w:rsidR="002A0FAA" w:rsidRPr="002A0FAA" w:rsidRDefault="002A0FAA" w:rsidP="002A0FAA">
      <w:pPr>
        <w:pStyle w:val="Paragraphedeliste"/>
        <w:numPr>
          <w:ilvl w:val="0"/>
          <w:numId w:val="33"/>
        </w:numPr>
        <w:autoSpaceDE w:val="0"/>
        <w:autoSpaceDN w:val="0"/>
        <w:jc w:val="both"/>
        <w:rPr>
          <w:rFonts w:ascii="Cambria" w:hAnsi="Cambria"/>
          <w:sz w:val="24"/>
          <w:szCs w:val="24"/>
        </w:rPr>
      </w:pPr>
      <w:r w:rsidRPr="002A0FAA">
        <w:rPr>
          <w:rFonts w:ascii="Cambria" w:hAnsi="Cambria"/>
          <w:sz w:val="24"/>
          <w:szCs w:val="24"/>
        </w:rPr>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2A0FAA" w:rsidRPr="002A0FAA" w:rsidRDefault="002A0FAA" w:rsidP="002A0FAA">
      <w:pPr>
        <w:autoSpaceDE w:val="0"/>
        <w:autoSpaceDN w:val="0"/>
        <w:jc w:val="both"/>
        <w:rPr>
          <w:rFonts w:ascii="Cambria" w:hAnsi="Cambria"/>
        </w:rPr>
      </w:pPr>
      <w:r w:rsidRPr="002A0FAA">
        <w:rPr>
          <w:rFonts w:ascii="Cambria" w:hAnsi="Cambria"/>
        </w:rPr>
        <w:t xml:space="preserve">Le Conseil des ministres a autorisé l’attribution de 8 790 000 </w:t>
      </w:r>
      <w:proofErr w:type="spellStart"/>
      <w:r w:rsidRPr="002A0FAA">
        <w:rPr>
          <w:rFonts w:ascii="Cambria" w:hAnsi="Cambria"/>
        </w:rPr>
        <w:t>Fcfp</w:t>
      </w:r>
      <w:proofErr w:type="spellEnd"/>
      <w:r w:rsidRPr="002A0FAA">
        <w:rPr>
          <w:rFonts w:ascii="Cambria" w:hAnsi="Cambria"/>
        </w:rPr>
        <w:t xml:space="preserve"> d’aides financières afin de soutenir 5 entreprises pour un investissement total de 24 727 957 </w:t>
      </w:r>
      <w:proofErr w:type="spellStart"/>
      <w:r w:rsidRPr="002A0FAA">
        <w:rPr>
          <w:rFonts w:ascii="Cambria" w:hAnsi="Cambria"/>
        </w:rPr>
        <w:t>Fcfp</w:t>
      </w:r>
      <w:proofErr w:type="spellEnd"/>
      <w:r w:rsidRPr="002A0FAA">
        <w:rPr>
          <w:rFonts w:ascii="Cambria" w:hAnsi="Cambria"/>
        </w:rPr>
        <w:t>. Ce soutien du Pays permettra également la création de 5 emplois.</w:t>
      </w:r>
    </w:p>
    <w:p w:rsidR="003B7242" w:rsidRPr="009C0B15" w:rsidRDefault="003B7242" w:rsidP="009C0B15">
      <w:pPr>
        <w:widowControl w:val="0"/>
        <w:autoSpaceDE w:val="0"/>
        <w:autoSpaceDN w:val="0"/>
        <w:adjustRightInd w:val="0"/>
        <w:jc w:val="both"/>
        <w:rPr>
          <w:rFonts w:ascii="Cambria" w:hAnsi="Cambria"/>
        </w:rPr>
      </w:pPr>
    </w:p>
    <w:p w:rsidR="009C0B15" w:rsidRPr="009C0B15" w:rsidRDefault="009C0B15" w:rsidP="009C0B15">
      <w:pPr>
        <w:widowControl w:val="0"/>
        <w:autoSpaceDE w:val="0"/>
        <w:autoSpaceDN w:val="0"/>
        <w:adjustRightInd w:val="0"/>
        <w:jc w:val="both"/>
        <w:rPr>
          <w:rFonts w:ascii="Cambria" w:hAnsi="Cambria"/>
        </w:rPr>
      </w:pPr>
    </w:p>
    <w:p w:rsidR="003B7242" w:rsidRPr="003B7242" w:rsidRDefault="003B7242" w:rsidP="003B7242">
      <w:pPr>
        <w:rPr>
          <w:rFonts w:ascii="Cambria" w:hAnsi="Cambria"/>
          <w:b/>
        </w:rPr>
      </w:pPr>
      <w:r w:rsidRPr="003B7242">
        <w:rPr>
          <w:rFonts w:ascii="Cambria" w:hAnsi="Cambria"/>
          <w:b/>
        </w:rPr>
        <w:t>Accord sur les services aériens entre la Polynésie française et le Canada</w:t>
      </w:r>
      <w:r>
        <w:rPr>
          <w:rFonts w:ascii="Cambria" w:hAnsi="Cambria"/>
          <w:b/>
        </w:rPr>
        <w:t xml:space="preserve"> </w:t>
      </w:r>
    </w:p>
    <w:p w:rsidR="003B7242" w:rsidRDefault="003B7242" w:rsidP="003B7242">
      <w:pPr>
        <w:pStyle w:val="-LettreTexteGEDA"/>
        <w:rPr>
          <w:noProof w:val="0"/>
          <w:highlight w:val="yellow"/>
        </w:rPr>
      </w:pPr>
    </w:p>
    <w:p w:rsidR="003B7242" w:rsidRDefault="003B7242" w:rsidP="003B7242">
      <w:pPr>
        <w:widowControl w:val="0"/>
        <w:autoSpaceDE w:val="0"/>
        <w:autoSpaceDN w:val="0"/>
        <w:adjustRightInd w:val="0"/>
        <w:jc w:val="both"/>
        <w:rPr>
          <w:rFonts w:ascii="Cambria" w:hAnsi="Cambria"/>
        </w:rPr>
      </w:pPr>
      <w:r w:rsidRPr="003B7242">
        <w:rPr>
          <w:rFonts w:ascii="Cambria" w:hAnsi="Cambria"/>
        </w:rPr>
        <w:t>La Polynésie française et le Canada ont signé un accord sur les services aériens entre leurs territoires respectifs.</w:t>
      </w:r>
    </w:p>
    <w:p w:rsidR="003B7242" w:rsidRPr="003B7242" w:rsidRDefault="003B7242" w:rsidP="003B7242">
      <w:pPr>
        <w:widowControl w:val="0"/>
        <w:autoSpaceDE w:val="0"/>
        <w:autoSpaceDN w:val="0"/>
        <w:adjustRightInd w:val="0"/>
        <w:jc w:val="both"/>
        <w:rPr>
          <w:rFonts w:ascii="Cambria" w:hAnsi="Cambria"/>
        </w:rPr>
      </w:pPr>
    </w:p>
    <w:p w:rsidR="003B7242" w:rsidRDefault="003B7242" w:rsidP="003B7242">
      <w:pPr>
        <w:widowControl w:val="0"/>
        <w:autoSpaceDE w:val="0"/>
        <w:autoSpaceDN w:val="0"/>
        <w:adjustRightInd w:val="0"/>
        <w:jc w:val="both"/>
        <w:rPr>
          <w:rFonts w:ascii="Cambria" w:hAnsi="Cambria"/>
        </w:rPr>
      </w:pPr>
      <w:r w:rsidRPr="003B7242">
        <w:rPr>
          <w:rFonts w:ascii="Cambria" w:hAnsi="Cambria"/>
        </w:rPr>
        <w:t>Les autorités aéronautiques polynésiennes et canadiennes se sont entendues sur l’ensemble des termes de l’accord qui porte sur des dispositions permettant le partage de code, la location d’aéronef avec équipage ainsi que les vols affrétés entre les compagnies aériennes des deux parties contractantes. Ces dispositions sont en vigueur depuis la signature du texte.</w:t>
      </w:r>
    </w:p>
    <w:p w:rsidR="003B7242" w:rsidRPr="003B7242" w:rsidRDefault="003B7242" w:rsidP="003B7242">
      <w:pPr>
        <w:widowControl w:val="0"/>
        <w:autoSpaceDE w:val="0"/>
        <w:autoSpaceDN w:val="0"/>
        <w:adjustRightInd w:val="0"/>
        <w:jc w:val="both"/>
        <w:rPr>
          <w:rFonts w:ascii="Cambria" w:hAnsi="Cambria"/>
        </w:rPr>
      </w:pPr>
    </w:p>
    <w:p w:rsidR="003B7242" w:rsidRDefault="003B7242" w:rsidP="003B7242">
      <w:pPr>
        <w:widowControl w:val="0"/>
        <w:autoSpaceDE w:val="0"/>
        <w:autoSpaceDN w:val="0"/>
        <w:adjustRightInd w:val="0"/>
        <w:jc w:val="both"/>
        <w:rPr>
          <w:rFonts w:ascii="Cambria" w:hAnsi="Cambria"/>
        </w:rPr>
      </w:pPr>
      <w:r w:rsidRPr="003B7242">
        <w:rPr>
          <w:rFonts w:ascii="Cambria" w:hAnsi="Cambria"/>
        </w:rPr>
        <w:t xml:space="preserve">Le texte porte également sur l’établissement d’une route libéralisée entre la Polynésie française et le Canada pour la desserte régulière aérienne internationale qui donnera aux </w:t>
      </w:r>
      <w:r w:rsidRPr="003B7242">
        <w:rPr>
          <w:rFonts w:ascii="Cambria" w:hAnsi="Cambria"/>
        </w:rPr>
        <w:lastRenderedPageBreak/>
        <w:t xml:space="preserve">compagnies aériennes de chaque partie un accès à tous les aéroports de leurs territoires respectifs. </w:t>
      </w:r>
    </w:p>
    <w:p w:rsidR="003B7242" w:rsidRPr="003B7242" w:rsidRDefault="003B7242" w:rsidP="003B7242">
      <w:pPr>
        <w:widowControl w:val="0"/>
        <w:autoSpaceDE w:val="0"/>
        <w:autoSpaceDN w:val="0"/>
        <w:adjustRightInd w:val="0"/>
        <w:jc w:val="both"/>
        <w:rPr>
          <w:rFonts w:ascii="Cambria" w:hAnsi="Cambria"/>
        </w:rPr>
      </w:pPr>
    </w:p>
    <w:p w:rsidR="003B7242" w:rsidRPr="003B7242" w:rsidRDefault="003B7242" w:rsidP="003B7242">
      <w:pPr>
        <w:widowControl w:val="0"/>
        <w:autoSpaceDE w:val="0"/>
        <w:autoSpaceDN w:val="0"/>
        <w:adjustRightInd w:val="0"/>
        <w:jc w:val="both"/>
        <w:rPr>
          <w:rFonts w:ascii="Cambria" w:hAnsi="Cambria"/>
        </w:rPr>
      </w:pPr>
      <w:r w:rsidRPr="003B7242">
        <w:rPr>
          <w:rFonts w:ascii="Cambria" w:hAnsi="Cambria"/>
        </w:rPr>
        <w:t>Ces dispositions entreront en vigueur, à l’issue d’un échange de notes diplomatiques entre la France et le Canada.</w:t>
      </w:r>
    </w:p>
    <w:p w:rsidR="009C0B15" w:rsidRDefault="009C0B15" w:rsidP="00DB7748">
      <w:pPr>
        <w:rPr>
          <w:rFonts w:ascii="Cambria" w:hAnsi="Cambria"/>
          <w:b/>
        </w:rPr>
      </w:pPr>
    </w:p>
    <w:p w:rsidR="00E64A1C" w:rsidRPr="00E64A1C" w:rsidRDefault="00E64A1C" w:rsidP="00294DCE">
      <w:pPr>
        <w:pStyle w:val="-LettreTexteGEDA"/>
        <w:ind w:firstLine="0"/>
        <w:rPr>
          <w:rFonts w:ascii="Cambria" w:hAnsi="Cambria"/>
          <w:b/>
        </w:rPr>
      </w:pPr>
      <w:r w:rsidRPr="00E64A1C">
        <w:rPr>
          <w:rFonts w:ascii="Cambria" w:hAnsi="Cambria"/>
          <w:b/>
        </w:rPr>
        <w:t>Lancement de l’élaboration de la stratégie de la politique publique polynésienne de l’habitat (2020/2030)</w:t>
      </w:r>
    </w:p>
    <w:p w:rsidR="00E64A1C" w:rsidRDefault="00E64A1C" w:rsidP="00294DCE">
      <w:pPr>
        <w:pStyle w:val="-LettreTexteGEDA"/>
        <w:ind w:firstLine="0"/>
        <w:rPr>
          <w:rFonts w:ascii="Cambria" w:hAnsi="Cambria"/>
        </w:rPr>
      </w:pPr>
      <w:r>
        <w:rPr>
          <w:rFonts w:ascii="Cambria" w:hAnsi="Cambria"/>
        </w:rPr>
        <w:br/>
      </w:r>
      <w:r w:rsidRPr="00E64A1C">
        <w:rPr>
          <w:rFonts w:ascii="Cambria" w:hAnsi="Cambria"/>
        </w:rPr>
        <w:t xml:space="preserve">Loger les nombreuses familles polynésiennes en attente d’un toit est une priorité majeure du gouvernement de la Polynésie française. Ces dernières années, de nombreuses initiatives ont été engagées visant à relancer l’offre de logements à coût abordable au travers du Plan 3 000 logements, une meilleure mobilisation de l’AIM </w:t>
      </w:r>
      <w:r>
        <w:rPr>
          <w:rFonts w:ascii="Cambria" w:hAnsi="Cambria"/>
        </w:rPr>
        <w:t xml:space="preserve">(aide à l’investissement des ménages) </w:t>
      </w:r>
      <w:r w:rsidRPr="00E64A1C">
        <w:rPr>
          <w:rFonts w:ascii="Cambria" w:hAnsi="Cambria"/>
        </w:rPr>
        <w:t xml:space="preserve">pour le neuf et la rénovation de l’ancien, ou encore la défiscalisation locale pour le logement intermédiaire et la relance de l’action de l’OPH. </w:t>
      </w:r>
    </w:p>
    <w:p w:rsidR="00E64A1C" w:rsidRDefault="00E64A1C" w:rsidP="00294DCE">
      <w:pPr>
        <w:pStyle w:val="-LettreTexteGEDA"/>
        <w:ind w:firstLine="0"/>
        <w:rPr>
          <w:rFonts w:ascii="Cambria" w:hAnsi="Cambria"/>
        </w:rPr>
      </w:pPr>
      <w:r w:rsidRPr="00E64A1C">
        <w:rPr>
          <w:rFonts w:ascii="Cambria" w:hAnsi="Cambria"/>
        </w:rPr>
        <w:br/>
        <w:t>La Polynésie française reste cependant confrontée à un important retard dans le domaine du logement, tant en matière d’offre neuve que de rénovation des parcs immobiliers sociaux et privés. Cette diversité des besoins de logements rend indispensable un état des lieux actualisé de la demande dans ce domaine et également la prise en compte par la politique publique de l’habitat des attentes des ménages au regard de leurs ressources et de leurs projets ré</w:t>
      </w:r>
      <w:r>
        <w:rPr>
          <w:rFonts w:ascii="Cambria" w:hAnsi="Cambria"/>
        </w:rPr>
        <w:t>sidentiels (locatif, accession</w:t>
      </w:r>
      <w:r w:rsidRPr="00E64A1C">
        <w:rPr>
          <w:rFonts w:ascii="Cambria" w:hAnsi="Cambria"/>
        </w:rPr>
        <w:t>). Il est ainsi essentiel d’engager une véritable démarche de définition et de programmation d’une stratégie nouvelle de l’habitat, établie à partir d’un diagnostic actualisé et partagé avec les partenaires et les acteurs du secteur, donnant lieu à un cadre d’i</w:t>
      </w:r>
      <w:r>
        <w:rPr>
          <w:rFonts w:ascii="Cambria" w:hAnsi="Cambria"/>
        </w:rPr>
        <w:t>ntervention stratégique à moyen/</w:t>
      </w:r>
      <w:r w:rsidRPr="00E64A1C">
        <w:rPr>
          <w:rFonts w:ascii="Cambria" w:hAnsi="Cambria"/>
        </w:rPr>
        <w:t>long terme et à une programmation pluriannuelle des moyens mobilisés à l’échelle du Pays et déclinée par archipels.</w:t>
      </w:r>
    </w:p>
    <w:p w:rsidR="00E64A1C" w:rsidRDefault="00E64A1C" w:rsidP="00294DCE">
      <w:pPr>
        <w:pStyle w:val="-LettreTexteGEDA"/>
        <w:ind w:firstLine="0"/>
        <w:rPr>
          <w:rFonts w:ascii="Cambria" w:hAnsi="Cambria"/>
        </w:rPr>
      </w:pPr>
      <w:r w:rsidRPr="00E64A1C">
        <w:rPr>
          <w:rFonts w:ascii="Cambria" w:hAnsi="Cambria"/>
        </w:rPr>
        <w:t>Ainsi la Polynésie française engage l’élaboration d’un cadre stratégique d’intervention décliné en objectifs et priorités d’actions avec une programmation pluriannuelle.</w:t>
      </w:r>
      <w:r w:rsidRPr="00E64A1C">
        <w:rPr>
          <w:rFonts w:ascii="Cambria" w:hAnsi="Cambria"/>
        </w:rPr>
        <w:br/>
        <w:t xml:space="preserve">Le calendrier d’élaboration de la stratégie habitat est le suivant : </w:t>
      </w:r>
    </w:p>
    <w:p w:rsidR="00E64A1C" w:rsidRDefault="00E64A1C" w:rsidP="00294DCE">
      <w:pPr>
        <w:pStyle w:val="-LettreTexteGEDA"/>
        <w:ind w:firstLine="0"/>
        <w:rPr>
          <w:rFonts w:ascii="Cambria" w:hAnsi="Cambria"/>
        </w:rPr>
      </w:pPr>
      <w:r w:rsidRPr="00E64A1C">
        <w:rPr>
          <w:rFonts w:ascii="Cambria" w:hAnsi="Cambria"/>
        </w:rPr>
        <w:br/>
        <w:t xml:space="preserve">Un séminaire de lancement de l’élaboration partenariale de la stratégie habitat 2020 – 2030 est prévu le 11 octobre </w:t>
      </w:r>
      <w:r>
        <w:rPr>
          <w:rFonts w:ascii="Cambria" w:hAnsi="Cambria"/>
        </w:rPr>
        <w:t>prochain à la P</w:t>
      </w:r>
      <w:r w:rsidRPr="00E64A1C">
        <w:rPr>
          <w:rFonts w:ascii="Cambria" w:hAnsi="Cambria"/>
        </w:rPr>
        <w:t>résidence. Ces travaux visent à disposer pour le quatrième trimestre 2020 :</w:t>
      </w:r>
    </w:p>
    <w:p w:rsidR="00E64A1C" w:rsidRDefault="00E64A1C" w:rsidP="00294DCE">
      <w:pPr>
        <w:pStyle w:val="-LettreTexteGEDA"/>
        <w:ind w:firstLine="0"/>
        <w:rPr>
          <w:rFonts w:ascii="Cambria" w:hAnsi="Cambria"/>
        </w:rPr>
      </w:pPr>
      <w:r w:rsidRPr="00E64A1C">
        <w:rPr>
          <w:rFonts w:ascii="Cambria" w:hAnsi="Cambria"/>
        </w:rPr>
        <w:br/>
        <w:t>-    d’un état des lieux de la situation de l’habitat et des dynamiques des marchés immobiliers pour évaluer les besoins logements actuels et futurs dans les principaux bassins d’habitat et par archipels,</w:t>
      </w:r>
    </w:p>
    <w:p w:rsidR="00E64A1C" w:rsidRDefault="00E64A1C" w:rsidP="00294DCE">
      <w:pPr>
        <w:pStyle w:val="-LettreTexteGEDA"/>
        <w:ind w:firstLine="0"/>
        <w:rPr>
          <w:rFonts w:ascii="Cambria" w:hAnsi="Cambria"/>
        </w:rPr>
      </w:pPr>
      <w:r w:rsidRPr="00E64A1C">
        <w:rPr>
          <w:rFonts w:ascii="Cambria" w:hAnsi="Cambria"/>
        </w:rPr>
        <w:br/>
        <w:t xml:space="preserve">-    d’axes stratégiques habitat et de la programmation pluriannuelle correspondante, par segments de marchés, produits logements et consolidée à l’échelle de la Polynésie française, </w:t>
      </w:r>
    </w:p>
    <w:p w:rsidR="00E64A1C" w:rsidRDefault="00E64A1C" w:rsidP="00294DCE">
      <w:pPr>
        <w:pStyle w:val="-LettreTexteGEDA"/>
        <w:ind w:firstLine="0"/>
        <w:rPr>
          <w:rFonts w:ascii="Cambria" w:hAnsi="Cambria"/>
        </w:rPr>
      </w:pPr>
      <w:r w:rsidRPr="00E64A1C">
        <w:rPr>
          <w:rFonts w:ascii="Cambria" w:hAnsi="Cambria"/>
        </w:rPr>
        <w:br/>
        <w:t xml:space="preserve">-    de la mise en place d’une gouvernance de pilotage durable de la stratégie habitat en </w:t>
      </w:r>
      <w:r w:rsidRPr="00E64A1C">
        <w:rPr>
          <w:rFonts w:ascii="Cambria" w:hAnsi="Cambria"/>
        </w:rPr>
        <w:lastRenderedPageBreak/>
        <w:t>partenariat étroit entre le Pays, l’Etat et les communes avec l’appui d’outils de suivi et de pilotage avec notamment un observatoire de l’habitat.</w:t>
      </w:r>
    </w:p>
    <w:p w:rsidR="00E64A1C" w:rsidRPr="00E64A1C" w:rsidRDefault="00E64A1C" w:rsidP="00294DCE">
      <w:pPr>
        <w:pStyle w:val="-LettreTexteGEDA"/>
        <w:ind w:firstLine="0"/>
        <w:rPr>
          <w:rFonts w:ascii="Cambria" w:hAnsi="Cambria"/>
        </w:rPr>
      </w:pPr>
      <w:r w:rsidRPr="00E64A1C">
        <w:rPr>
          <w:rFonts w:ascii="Cambria" w:hAnsi="Cambria"/>
        </w:rPr>
        <w:t xml:space="preserve"> </w:t>
      </w:r>
      <w:r w:rsidRPr="00E64A1C">
        <w:rPr>
          <w:rFonts w:ascii="Cambria" w:hAnsi="Cambria"/>
        </w:rPr>
        <w:br/>
        <w:t>Ces orientations stratégiques devront s’inscrire dans les démarches des politiques publiques locales, notamment les travaux d’élaboration du SAGE, la conduite des études préalables et pré-opérationnelles des projets de rénovation urbaine, l’élaboration d’un Plan de lutte contre l’habitat indigne, les conclusions de l’étude portant sur la vacance des logements.</w:t>
      </w:r>
    </w:p>
    <w:p w:rsidR="00E64A1C" w:rsidRDefault="00E64A1C" w:rsidP="00294DCE">
      <w:pPr>
        <w:pStyle w:val="-LettreTexteGEDA"/>
        <w:ind w:firstLine="0"/>
        <w:rPr>
          <w:rFonts w:ascii="Cambria" w:hAnsi="Cambria"/>
        </w:rPr>
      </w:pPr>
    </w:p>
    <w:p w:rsidR="0022576D" w:rsidRPr="00DB7748" w:rsidRDefault="0022576D" w:rsidP="0022576D">
      <w:pPr>
        <w:rPr>
          <w:rFonts w:ascii="Cambria" w:hAnsi="Cambria"/>
          <w:b/>
        </w:rPr>
      </w:pPr>
      <w:r>
        <w:rPr>
          <w:rFonts w:ascii="Cambria" w:hAnsi="Cambria"/>
          <w:b/>
        </w:rPr>
        <w:t>Soutien au tournage de la série « Meurtre à Tahiti »</w:t>
      </w:r>
    </w:p>
    <w:p w:rsidR="0022576D" w:rsidRPr="00DB7748" w:rsidRDefault="0022576D" w:rsidP="0022576D">
      <w:pPr>
        <w:jc w:val="both"/>
        <w:rPr>
          <w:rFonts w:ascii="Cambria" w:hAnsi="Cambria"/>
        </w:rPr>
      </w:pPr>
    </w:p>
    <w:p w:rsidR="0022576D" w:rsidRPr="00360712" w:rsidRDefault="0022576D" w:rsidP="0022576D">
      <w:pPr>
        <w:widowControl w:val="0"/>
        <w:autoSpaceDE w:val="0"/>
        <w:autoSpaceDN w:val="0"/>
        <w:adjustRightInd w:val="0"/>
        <w:jc w:val="both"/>
        <w:rPr>
          <w:rFonts w:asciiTheme="majorHAnsi" w:hAnsiTheme="majorHAnsi"/>
        </w:rPr>
      </w:pPr>
      <w:r w:rsidRPr="00DB7748">
        <w:rPr>
          <w:rFonts w:ascii="Cambria" w:hAnsi="Cambria"/>
        </w:rPr>
        <w:t>Le Conseil des ministres a octroyé une subvention de</w:t>
      </w:r>
      <w:r>
        <w:rPr>
          <w:rFonts w:ascii="Cambria" w:hAnsi="Cambria"/>
        </w:rPr>
        <w:t xml:space="preserve"> fonctionnement, d’un montant total de 20 000 000 </w:t>
      </w:r>
      <w:proofErr w:type="spellStart"/>
      <w:r>
        <w:rPr>
          <w:rFonts w:ascii="Cambria" w:hAnsi="Cambria"/>
        </w:rPr>
        <w:t>Fcfp</w:t>
      </w:r>
      <w:proofErr w:type="spellEnd"/>
      <w:r>
        <w:rPr>
          <w:rFonts w:ascii="Cambria" w:hAnsi="Cambria"/>
        </w:rPr>
        <w:t xml:space="preserve">, en faveur de la société </w:t>
      </w:r>
      <w:r w:rsidRPr="00360712">
        <w:rPr>
          <w:rFonts w:ascii="Cambria" w:hAnsi="Cambria"/>
        </w:rPr>
        <w:t>« Les Films du Pacifique »</w:t>
      </w:r>
      <w:r w:rsidRPr="00DB7748">
        <w:rPr>
          <w:rFonts w:ascii="Cambria" w:hAnsi="Cambria"/>
        </w:rPr>
        <w:t xml:space="preserve"> pour financer </w:t>
      </w:r>
      <w:r>
        <w:rPr>
          <w:rFonts w:ascii="Cambria" w:hAnsi="Cambria"/>
        </w:rPr>
        <w:t xml:space="preserve">le tournage de la </w:t>
      </w:r>
      <w:r w:rsidRPr="00360712">
        <w:rPr>
          <w:rFonts w:asciiTheme="majorHAnsi" w:hAnsiTheme="majorHAnsi"/>
        </w:rPr>
        <w:t xml:space="preserve">série </w:t>
      </w:r>
      <w:r>
        <w:rPr>
          <w:rFonts w:asciiTheme="majorHAnsi" w:hAnsiTheme="majorHAnsi"/>
        </w:rPr>
        <w:t xml:space="preserve">« Meurtre à Tahiti », en Polynésie, au titre de l’année 2019. </w:t>
      </w:r>
      <w:r w:rsidRPr="00360712">
        <w:rPr>
          <w:rFonts w:asciiTheme="majorHAnsi" w:hAnsiTheme="majorHAnsi"/>
        </w:rPr>
        <w:t> </w:t>
      </w:r>
    </w:p>
    <w:p w:rsidR="0022576D" w:rsidRDefault="0022576D" w:rsidP="0022576D">
      <w:pPr>
        <w:jc w:val="both"/>
        <w:rPr>
          <w:rFonts w:ascii="Cambria" w:hAnsi="Cambria"/>
        </w:rPr>
      </w:pPr>
    </w:p>
    <w:p w:rsidR="0022576D" w:rsidRPr="00360712" w:rsidRDefault="0022576D" w:rsidP="0022576D">
      <w:pPr>
        <w:jc w:val="both"/>
        <w:rPr>
          <w:rFonts w:asciiTheme="majorHAnsi" w:hAnsiTheme="majorHAnsi"/>
        </w:rPr>
      </w:pPr>
      <w:r w:rsidRPr="00360712">
        <w:rPr>
          <w:rFonts w:asciiTheme="majorHAnsi" w:hAnsiTheme="majorHAnsi"/>
        </w:rPr>
        <w:t xml:space="preserve">Cette opération </w:t>
      </w:r>
      <w:r>
        <w:rPr>
          <w:rFonts w:asciiTheme="majorHAnsi" w:hAnsiTheme="majorHAnsi"/>
        </w:rPr>
        <w:t>va</w:t>
      </w:r>
      <w:r w:rsidRPr="00360712">
        <w:rPr>
          <w:rFonts w:asciiTheme="majorHAnsi" w:hAnsiTheme="majorHAnsi"/>
        </w:rPr>
        <w:t xml:space="preserve"> contribuer à la promotion et à la valorisation de </w:t>
      </w:r>
      <w:r>
        <w:rPr>
          <w:rFonts w:asciiTheme="majorHAnsi" w:hAnsiTheme="majorHAnsi"/>
        </w:rPr>
        <w:t>la</w:t>
      </w:r>
      <w:r w:rsidRPr="00360712">
        <w:rPr>
          <w:rFonts w:asciiTheme="majorHAnsi" w:hAnsiTheme="majorHAnsi"/>
        </w:rPr>
        <w:t xml:space="preserve"> destination par la diffusion de ce téléfilm sur les réseaux audiovisuels, à commencer par France 3, les chaînes francophones européennes et TV5 monde</w:t>
      </w:r>
      <w:r>
        <w:rPr>
          <w:rFonts w:asciiTheme="majorHAnsi" w:hAnsiTheme="majorHAnsi"/>
        </w:rPr>
        <w:t>,</w:t>
      </w:r>
      <w:r w:rsidRPr="00360712">
        <w:rPr>
          <w:rFonts w:asciiTheme="majorHAnsi" w:hAnsiTheme="majorHAnsi"/>
        </w:rPr>
        <w:t xml:space="preserve"> qui est diffusé dans plus de 200 pays.</w:t>
      </w:r>
    </w:p>
    <w:p w:rsidR="0022576D" w:rsidRDefault="0022576D" w:rsidP="0022576D">
      <w:pPr>
        <w:widowControl w:val="0"/>
        <w:autoSpaceDE w:val="0"/>
        <w:autoSpaceDN w:val="0"/>
        <w:adjustRightInd w:val="0"/>
        <w:jc w:val="both"/>
        <w:rPr>
          <w:rFonts w:ascii="Cambria" w:hAnsi="Cambria"/>
          <w:b/>
        </w:rPr>
      </w:pPr>
    </w:p>
    <w:p w:rsidR="0022576D" w:rsidRPr="00DB7748" w:rsidRDefault="0022576D" w:rsidP="0022576D">
      <w:pPr>
        <w:widowControl w:val="0"/>
        <w:autoSpaceDE w:val="0"/>
        <w:autoSpaceDN w:val="0"/>
        <w:adjustRightInd w:val="0"/>
        <w:jc w:val="both"/>
        <w:rPr>
          <w:rFonts w:ascii="Cambria" w:hAnsi="Cambria"/>
          <w:b/>
        </w:rPr>
      </w:pPr>
    </w:p>
    <w:p w:rsidR="0022576D" w:rsidRPr="00DB7748" w:rsidRDefault="0022576D" w:rsidP="0022576D">
      <w:pPr>
        <w:widowControl w:val="0"/>
        <w:autoSpaceDE w:val="0"/>
        <w:autoSpaceDN w:val="0"/>
        <w:adjustRightInd w:val="0"/>
        <w:jc w:val="both"/>
        <w:rPr>
          <w:rFonts w:ascii="Cambria" w:hAnsi="Cambria" w:cs="Century Schoolbook"/>
          <w:b/>
        </w:rPr>
      </w:pPr>
      <w:r>
        <w:rPr>
          <w:rFonts w:ascii="Cambria" w:hAnsi="Cambria" w:cs="Century Schoolbook"/>
          <w:b/>
        </w:rPr>
        <w:t xml:space="preserve">Subventions </w:t>
      </w:r>
      <w:r w:rsidR="00274191">
        <w:rPr>
          <w:rFonts w:ascii="Cambria" w:hAnsi="Cambria" w:cs="Century Schoolbook"/>
          <w:b/>
        </w:rPr>
        <w:t>du ministère du T</w:t>
      </w:r>
      <w:r>
        <w:rPr>
          <w:rFonts w:ascii="Cambria" w:hAnsi="Cambria" w:cs="Century Schoolbook"/>
          <w:b/>
        </w:rPr>
        <w:t xml:space="preserve">ourisme </w:t>
      </w:r>
    </w:p>
    <w:p w:rsidR="0022576D" w:rsidRPr="00DB7748" w:rsidRDefault="0022576D" w:rsidP="0022576D">
      <w:pPr>
        <w:widowControl w:val="0"/>
        <w:autoSpaceDE w:val="0"/>
        <w:autoSpaceDN w:val="0"/>
        <w:adjustRightInd w:val="0"/>
        <w:jc w:val="both"/>
        <w:rPr>
          <w:rFonts w:ascii="Cambria" w:hAnsi="Cambria" w:cs="Century Schoolbook"/>
        </w:rPr>
      </w:pPr>
    </w:p>
    <w:p w:rsidR="0022576D" w:rsidRPr="00274191" w:rsidRDefault="0022576D" w:rsidP="0022576D">
      <w:pPr>
        <w:jc w:val="both"/>
        <w:rPr>
          <w:rFonts w:ascii="Cambria" w:hAnsi="Cambria"/>
        </w:rPr>
      </w:pPr>
      <w:r w:rsidRPr="00274191">
        <w:rPr>
          <w:rFonts w:ascii="Cambria" w:hAnsi="Cambria"/>
        </w:rPr>
        <w:t xml:space="preserve">Le Conseil des ministres a examiné </w:t>
      </w:r>
      <w:r w:rsidR="00274191">
        <w:rPr>
          <w:rFonts w:ascii="Cambria" w:hAnsi="Cambria"/>
        </w:rPr>
        <w:t>quatre</w:t>
      </w:r>
      <w:r w:rsidRPr="00274191">
        <w:rPr>
          <w:rFonts w:ascii="Cambria" w:hAnsi="Cambria"/>
        </w:rPr>
        <w:t xml:space="preserve"> dossiers de subventions destinées à des entités </w:t>
      </w:r>
      <w:r w:rsidR="00274191">
        <w:rPr>
          <w:rFonts w:ascii="Cambria" w:hAnsi="Cambria"/>
        </w:rPr>
        <w:t>ayant des activités en rapport avec le tourisme</w:t>
      </w:r>
      <w:r w:rsidRPr="00274191">
        <w:rPr>
          <w:rFonts w:ascii="Cambria" w:hAnsi="Cambria"/>
        </w:rPr>
        <w:t xml:space="preserve">, pour un montant global de 9 695 000 </w:t>
      </w:r>
      <w:proofErr w:type="spellStart"/>
      <w:r w:rsidRPr="00274191">
        <w:rPr>
          <w:rFonts w:ascii="Cambria" w:hAnsi="Cambria"/>
        </w:rPr>
        <w:t>Fcfp</w:t>
      </w:r>
      <w:proofErr w:type="spellEnd"/>
      <w:r w:rsidRPr="00274191">
        <w:rPr>
          <w:rFonts w:ascii="Cambria" w:hAnsi="Cambria"/>
        </w:rPr>
        <w:t xml:space="preserve">. </w:t>
      </w:r>
    </w:p>
    <w:p w:rsidR="0022576D" w:rsidRPr="00274191" w:rsidRDefault="0022576D" w:rsidP="0022576D">
      <w:pPr>
        <w:jc w:val="both"/>
        <w:rPr>
          <w:rFonts w:ascii="Cambria" w:hAnsi="Cambria"/>
        </w:rPr>
      </w:pPr>
    </w:p>
    <w:p w:rsidR="0022576D" w:rsidRPr="00274191" w:rsidRDefault="0022576D" w:rsidP="0022576D">
      <w:pPr>
        <w:jc w:val="both"/>
        <w:rPr>
          <w:rFonts w:ascii="Cambria" w:hAnsi="Cambria"/>
        </w:rPr>
      </w:pPr>
      <w:r w:rsidRPr="00274191">
        <w:rPr>
          <w:rFonts w:ascii="Cambria" w:hAnsi="Cambria"/>
        </w:rPr>
        <w:t xml:space="preserve">Les subventions suivantes ont été attribuées: </w:t>
      </w:r>
    </w:p>
    <w:p w:rsidR="00274191" w:rsidRPr="00274191" w:rsidRDefault="0022576D" w:rsidP="00274191">
      <w:pPr>
        <w:pStyle w:val="Paragraphedeliste"/>
        <w:numPr>
          <w:ilvl w:val="1"/>
          <w:numId w:val="1"/>
        </w:numPr>
        <w:spacing w:before="240"/>
        <w:ind w:left="709"/>
        <w:jc w:val="both"/>
        <w:rPr>
          <w:rFonts w:ascii="Cambria" w:hAnsi="Cambria"/>
          <w:sz w:val="24"/>
          <w:szCs w:val="24"/>
        </w:rPr>
      </w:pPr>
      <w:r w:rsidRPr="00274191">
        <w:rPr>
          <w:rFonts w:ascii="Cambria" w:hAnsi="Cambria"/>
          <w:sz w:val="24"/>
          <w:szCs w:val="24"/>
        </w:rPr>
        <w:t xml:space="preserve">Sarl </w:t>
      </w:r>
      <w:proofErr w:type="spellStart"/>
      <w:r w:rsidRPr="00274191">
        <w:rPr>
          <w:rFonts w:ascii="Cambria" w:hAnsi="Cambria"/>
          <w:sz w:val="24"/>
          <w:szCs w:val="24"/>
        </w:rPr>
        <w:t>Ninamu</w:t>
      </w:r>
      <w:proofErr w:type="spellEnd"/>
      <w:r w:rsidRPr="00274191">
        <w:rPr>
          <w:rFonts w:ascii="Cambria" w:hAnsi="Cambria"/>
          <w:sz w:val="24"/>
          <w:szCs w:val="24"/>
        </w:rPr>
        <w:t xml:space="preserve"> Pearl, pour un montant de 7 000 000 </w:t>
      </w:r>
      <w:proofErr w:type="spellStart"/>
      <w:r w:rsidRPr="00274191">
        <w:rPr>
          <w:rFonts w:ascii="Cambria" w:hAnsi="Cambria"/>
          <w:sz w:val="24"/>
          <w:szCs w:val="24"/>
        </w:rPr>
        <w:t>Fcfp</w:t>
      </w:r>
      <w:proofErr w:type="spellEnd"/>
      <w:r w:rsidRPr="00274191">
        <w:rPr>
          <w:rFonts w:ascii="Cambria" w:hAnsi="Cambria"/>
          <w:sz w:val="24"/>
          <w:szCs w:val="24"/>
        </w:rPr>
        <w:t>, pour un projet permettant à cette pension de famille, à Punaauia, d’augmenter sa capacité réceptive.</w:t>
      </w:r>
    </w:p>
    <w:p w:rsidR="00274191" w:rsidRPr="00274191" w:rsidRDefault="0022576D" w:rsidP="00274191">
      <w:pPr>
        <w:pStyle w:val="Paragraphedeliste"/>
        <w:numPr>
          <w:ilvl w:val="1"/>
          <w:numId w:val="1"/>
        </w:numPr>
        <w:spacing w:before="240"/>
        <w:ind w:left="709"/>
        <w:jc w:val="both"/>
        <w:rPr>
          <w:rFonts w:ascii="Cambria" w:hAnsi="Cambria"/>
          <w:sz w:val="24"/>
          <w:szCs w:val="24"/>
        </w:rPr>
      </w:pPr>
      <w:r w:rsidRPr="00274191">
        <w:rPr>
          <w:rFonts w:ascii="Cambria" w:hAnsi="Cambria"/>
          <w:sz w:val="24"/>
          <w:szCs w:val="24"/>
        </w:rPr>
        <w:t xml:space="preserve">Association </w:t>
      </w:r>
      <w:proofErr w:type="spellStart"/>
      <w:r w:rsidRPr="00274191">
        <w:rPr>
          <w:rFonts w:ascii="Cambria" w:hAnsi="Cambria"/>
          <w:sz w:val="24"/>
          <w:szCs w:val="24"/>
        </w:rPr>
        <w:t>Hei</w:t>
      </w:r>
      <w:proofErr w:type="spellEnd"/>
      <w:r w:rsidRPr="00274191">
        <w:rPr>
          <w:rFonts w:ascii="Cambria" w:hAnsi="Cambria"/>
          <w:sz w:val="24"/>
          <w:szCs w:val="24"/>
        </w:rPr>
        <w:t xml:space="preserve"> Taina, pour un montant de 995 000 </w:t>
      </w:r>
      <w:proofErr w:type="spellStart"/>
      <w:r w:rsidRPr="00274191">
        <w:rPr>
          <w:rFonts w:ascii="Cambria" w:hAnsi="Cambria"/>
          <w:sz w:val="24"/>
          <w:szCs w:val="24"/>
        </w:rPr>
        <w:t>Fcfp</w:t>
      </w:r>
      <w:proofErr w:type="spellEnd"/>
      <w:r w:rsidRPr="00274191">
        <w:rPr>
          <w:rFonts w:ascii="Cambria" w:hAnsi="Cambria"/>
          <w:sz w:val="24"/>
          <w:szCs w:val="24"/>
        </w:rPr>
        <w:t xml:space="preserve">, </w:t>
      </w:r>
      <w:r w:rsidR="00274191" w:rsidRPr="00274191">
        <w:rPr>
          <w:rFonts w:ascii="Cambria" w:hAnsi="Cambria"/>
          <w:sz w:val="24"/>
          <w:szCs w:val="24"/>
        </w:rPr>
        <w:t>afin de participer au financement des frais inhérents aux études des lycéens lauréats d’une bourse en Chine en 2019.</w:t>
      </w:r>
    </w:p>
    <w:p w:rsidR="00274191" w:rsidRPr="00274191" w:rsidRDefault="0022576D" w:rsidP="00274191">
      <w:pPr>
        <w:pStyle w:val="Paragraphedeliste"/>
        <w:numPr>
          <w:ilvl w:val="1"/>
          <w:numId w:val="1"/>
        </w:numPr>
        <w:spacing w:before="240"/>
        <w:ind w:left="709"/>
        <w:jc w:val="both"/>
        <w:rPr>
          <w:rFonts w:ascii="Cambria" w:hAnsi="Cambria"/>
          <w:sz w:val="24"/>
          <w:szCs w:val="24"/>
        </w:rPr>
      </w:pPr>
      <w:r w:rsidRPr="00274191">
        <w:rPr>
          <w:rFonts w:ascii="Cambria" w:hAnsi="Cambria"/>
          <w:sz w:val="24"/>
          <w:szCs w:val="24"/>
        </w:rPr>
        <w:t>Association Tama Reva</w:t>
      </w:r>
      <w:r w:rsidR="00274191" w:rsidRPr="00274191">
        <w:rPr>
          <w:rFonts w:ascii="Cambria" w:hAnsi="Cambria"/>
          <w:sz w:val="24"/>
          <w:szCs w:val="24"/>
        </w:rPr>
        <w:t>,</w:t>
      </w:r>
      <w:r w:rsidRPr="00274191">
        <w:rPr>
          <w:rFonts w:ascii="Cambria" w:hAnsi="Cambria"/>
          <w:sz w:val="24"/>
          <w:szCs w:val="24"/>
        </w:rPr>
        <w:t xml:space="preserve"> pour un montant de 800 000 </w:t>
      </w:r>
      <w:proofErr w:type="spellStart"/>
      <w:r w:rsidRPr="00274191">
        <w:rPr>
          <w:rFonts w:ascii="Cambria" w:hAnsi="Cambria"/>
          <w:sz w:val="24"/>
          <w:szCs w:val="24"/>
        </w:rPr>
        <w:t>Fcfp</w:t>
      </w:r>
      <w:proofErr w:type="spellEnd"/>
      <w:r w:rsidR="00274191" w:rsidRPr="00274191">
        <w:rPr>
          <w:rFonts w:ascii="Cambria" w:hAnsi="Cambria"/>
          <w:sz w:val="24"/>
          <w:szCs w:val="24"/>
        </w:rPr>
        <w:t>, pour le</w:t>
      </w:r>
      <w:r w:rsidRPr="00274191">
        <w:rPr>
          <w:rFonts w:ascii="Cambria" w:hAnsi="Cambria"/>
          <w:sz w:val="24"/>
          <w:szCs w:val="24"/>
        </w:rPr>
        <w:t> </w:t>
      </w:r>
      <w:r w:rsidR="00274191" w:rsidRPr="00274191">
        <w:rPr>
          <w:rFonts w:ascii="Cambria" w:hAnsi="Cambria"/>
          <w:sz w:val="24"/>
          <w:szCs w:val="24"/>
        </w:rPr>
        <w:t xml:space="preserve">financement d’un voyage culturel en Nouvelle Zélande, centré sur la célébration de </w:t>
      </w:r>
      <w:proofErr w:type="spellStart"/>
      <w:r w:rsidR="00274191" w:rsidRPr="00274191">
        <w:rPr>
          <w:rFonts w:ascii="Cambria" w:hAnsi="Cambria"/>
          <w:sz w:val="24"/>
          <w:szCs w:val="24"/>
        </w:rPr>
        <w:t>Tupaia</w:t>
      </w:r>
      <w:proofErr w:type="spellEnd"/>
      <w:r w:rsidR="00274191" w:rsidRPr="00274191">
        <w:rPr>
          <w:rFonts w:ascii="Cambria" w:hAnsi="Cambria"/>
          <w:sz w:val="24"/>
          <w:szCs w:val="24"/>
        </w:rPr>
        <w:t xml:space="preserve">, navigateur et prêtre </w:t>
      </w:r>
      <w:proofErr w:type="spellStart"/>
      <w:r w:rsidR="00274191" w:rsidRPr="00274191">
        <w:rPr>
          <w:rFonts w:ascii="Cambria" w:hAnsi="Cambria"/>
          <w:sz w:val="24"/>
          <w:szCs w:val="24"/>
        </w:rPr>
        <w:t>arioi</w:t>
      </w:r>
      <w:proofErr w:type="spellEnd"/>
      <w:r w:rsidR="00274191" w:rsidRPr="00274191">
        <w:rPr>
          <w:rFonts w:ascii="Cambria" w:hAnsi="Cambria"/>
          <w:sz w:val="24"/>
          <w:szCs w:val="24"/>
        </w:rPr>
        <w:t xml:space="preserve"> originaire de Raiatea qui aida le capitaine Cook à rent</w:t>
      </w:r>
      <w:r w:rsidR="00274191">
        <w:rPr>
          <w:rFonts w:ascii="Cambria" w:hAnsi="Cambria"/>
          <w:sz w:val="24"/>
          <w:szCs w:val="24"/>
        </w:rPr>
        <w:t>rer en contact avec les Maori, en Nouvelle-</w:t>
      </w:r>
      <w:r w:rsidR="00274191" w:rsidRPr="00274191">
        <w:rPr>
          <w:rFonts w:ascii="Cambria" w:hAnsi="Cambria"/>
          <w:sz w:val="24"/>
          <w:szCs w:val="24"/>
        </w:rPr>
        <w:t>Zélande</w:t>
      </w:r>
      <w:r w:rsidR="00274191">
        <w:rPr>
          <w:rFonts w:ascii="Cambria" w:hAnsi="Cambria"/>
          <w:sz w:val="24"/>
          <w:szCs w:val="24"/>
        </w:rPr>
        <w:t>,</w:t>
      </w:r>
      <w:r w:rsidR="00274191" w:rsidRPr="00274191">
        <w:rPr>
          <w:rFonts w:ascii="Cambria" w:hAnsi="Cambria"/>
          <w:sz w:val="24"/>
          <w:szCs w:val="24"/>
        </w:rPr>
        <w:t xml:space="preserve"> en 1769.</w:t>
      </w:r>
    </w:p>
    <w:p w:rsidR="0022576D" w:rsidRPr="00274191" w:rsidRDefault="0022576D" w:rsidP="00753066">
      <w:pPr>
        <w:pStyle w:val="Paragraphedeliste"/>
        <w:numPr>
          <w:ilvl w:val="0"/>
          <w:numId w:val="3"/>
        </w:numPr>
        <w:spacing w:before="120" w:after="240"/>
        <w:ind w:left="709"/>
        <w:jc w:val="both"/>
        <w:rPr>
          <w:rFonts w:ascii="Cambria" w:hAnsi="Cambria"/>
          <w:sz w:val="24"/>
          <w:szCs w:val="24"/>
        </w:rPr>
      </w:pPr>
      <w:r w:rsidRPr="00274191">
        <w:rPr>
          <w:rFonts w:ascii="Cambria" w:hAnsi="Cambria"/>
          <w:sz w:val="24"/>
          <w:szCs w:val="24"/>
        </w:rPr>
        <w:t xml:space="preserve">Comité du tourisme </w:t>
      </w:r>
      <w:proofErr w:type="spellStart"/>
      <w:r w:rsidRPr="00274191">
        <w:rPr>
          <w:rFonts w:ascii="Cambria" w:hAnsi="Cambria"/>
          <w:sz w:val="24"/>
          <w:szCs w:val="24"/>
        </w:rPr>
        <w:t>Tupehe</w:t>
      </w:r>
      <w:proofErr w:type="spellEnd"/>
      <w:r w:rsidRPr="00274191">
        <w:rPr>
          <w:rFonts w:ascii="Cambria" w:hAnsi="Cambria"/>
          <w:sz w:val="24"/>
          <w:szCs w:val="24"/>
        </w:rPr>
        <w:t xml:space="preserve"> Nui de </w:t>
      </w:r>
      <w:proofErr w:type="spellStart"/>
      <w:r w:rsidRPr="00274191">
        <w:rPr>
          <w:rFonts w:ascii="Cambria" w:hAnsi="Cambria"/>
          <w:sz w:val="24"/>
          <w:szCs w:val="24"/>
        </w:rPr>
        <w:t>Ua</w:t>
      </w:r>
      <w:proofErr w:type="spellEnd"/>
      <w:r w:rsidRPr="00274191">
        <w:rPr>
          <w:rFonts w:ascii="Cambria" w:hAnsi="Cambria"/>
          <w:sz w:val="24"/>
          <w:szCs w:val="24"/>
        </w:rPr>
        <w:t xml:space="preserve"> </w:t>
      </w:r>
      <w:proofErr w:type="spellStart"/>
      <w:r w:rsidRPr="00274191">
        <w:rPr>
          <w:rFonts w:ascii="Cambria" w:hAnsi="Cambria"/>
          <w:sz w:val="24"/>
          <w:szCs w:val="24"/>
        </w:rPr>
        <w:t>Huka</w:t>
      </w:r>
      <w:proofErr w:type="spellEnd"/>
      <w:r w:rsidR="00274191" w:rsidRPr="00274191">
        <w:rPr>
          <w:rFonts w:ascii="Cambria" w:hAnsi="Cambria"/>
          <w:sz w:val="24"/>
          <w:szCs w:val="24"/>
        </w:rPr>
        <w:t>,</w:t>
      </w:r>
      <w:r w:rsidRPr="00274191">
        <w:rPr>
          <w:rFonts w:ascii="Cambria" w:hAnsi="Cambria"/>
          <w:sz w:val="24"/>
          <w:szCs w:val="24"/>
        </w:rPr>
        <w:t xml:space="preserve"> </w:t>
      </w:r>
      <w:r w:rsidR="00FF4550">
        <w:rPr>
          <w:rFonts w:ascii="Cambria" w:hAnsi="Cambria"/>
          <w:sz w:val="24"/>
          <w:szCs w:val="24"/>
        </w:rPr>
        <w:t xml:space="preserve">aux Marquises, </w:t>
      </w:r>
      <w:r w:rsidRPr="00274191">
        <w:rPr>
          <w:rFonts w:ascii="Cambria" w:hAnsi="Cambria"/>
          <w:sz w:val="24"/>
          <w:szCs w:val="24"/>
        </w:rPr>
        <w:t>pour un montant de 900</w:t>
      </w:r>
      <w:r w:rsidR="00274191" w:rsidRPr="00274191">
        <w:rPr>
          <w:rFonts w:ascii="Cambria" w:hAnsi="Cambria"/>
          <w:sz w:val="24"/>
          <w:szCs w:val="24"/>
        </w:rPr>
        <w:t xml:space="preserve"> 000 </w:t>
      </w:r>
      <w:proofErr w:type="spellStart"/>
      <w:r w:rsidR="00274191" w:rsidRPr="00274191">
        <w:rPr>
          <w:rFonts w:ascii="Cambria" w:hAnsi="Cambria"/>
          <w:sz w:val="24"/>
          <w:szCs w:val="24"/>
        </w:rPr>
        <w:t>Fcfp</w:t>
      </w:r>
      <w:proofErr w:type="spellEnd"/>
      <w:r w:rsidR="00274191" w:rsidRPr="00274191">
        <w:rPr>
          <w:rFonts w:ascii="Cambria" w:hAnsi="Cambria"/>
          <w:sz w:val="24"/>
          <w:szCs w:val="24"/>
        </w:rPr>
        <w:t>, pour le financement de son activité sur l’année 2019.</w:t>
      </w:r>
    </w:p>
    <w:p w:rsidR="0022576D" w:rsidRDefault="0022576D" w:rsidP="00294DCE">
      <w:pPr>
        <w:pStyle w:val="-LettreTexteGEDA"/>
        <w:ind w:firstLine="0"/>
        <w:rPr>
          <w:rFonts w:ascii="Cambria" w:hAnsi="Cambria" w:cs="Century Schoolbook"/>
          <w:b/>
        </w:rPr>
      </w:pPr>
    </w:p>
    <w:p w:rsidR="009C0B15" w:rsidRPr="00294DCE" w:rsidRDefault="009C0B15" w:rsidP="00294DCE">
      <w:pPr>
        <w:pStyle w:val="-LettreTexteGEDA"/>
        <w:ind w:firstLine="0"/>
        <w:rPr>
          <w:rFonts w:ascii="Cambria" w:hAnsi="Cambria"/>
        </w:rPr>
      </w:pPr>
      <w:r w:rsidRPr="00377D13">
        <w:rPr>
          <w:rFonts w:ascii="Cambria" w:hAnsi="Cambria" w:cs="Century Schoolbook"/>
          <w:b/>
        </w:rPr>
        <w:t>Lancement de la « Journée Agriculture Responsable »</w:t>
      </w:r>
      <w:r>
        <w:rPr>
          <w:rFonts w:ascii="Cambria" w:hAnsi="Cambria" w:cs="Century Schoolbook"/>
          <w:b/>
        </w:rPr>
        <w:t xml:space="preserve"> (J.A.R.)</w:t>
      </w:r>
    </w:p>
    <w:p w:rsidR="009C0B15" w:rsidRDefault="009C0B15" w:rsidP="009C0B15">
      <w:pPr>
        <w:widowControl w:val="0"/>
        <w:autoSpaceDE w:val="0"/>
        <w:autoSpaceDN w:val="0"/>
        <w:adjustRightInd w:val="0"/>
        <w:jc w:val="both"/>
        <w:rPr>
          <w:rFonts w:ascii="Cambria" w:hAnsi="Cambria" w:cs="Century Schoolbook"/>
        </w:rPr>
      </w:pPr>
    </w:p>
    <w:p w:rsidR="009C0B15" w:rsidRDefault="009C0B15" w:rsidP="009C0B15">
      <w:pPr>
        <w:widowControl w:val="0"/>
        <w:autoSpaceDE w:val="0"/>
        <w:autoSpaceDN w:val="0"/>
        <w:adjustRightInd w:val="0"/>
        <w:jc w:val="both"/>
        <w:rPr>
          <w:rFonts w:ascii="Cambria" w:hAnsi="Cambria" w:cs="Century Schoolbook"/>
        </w:rPr>
      </w:pPr>
      <w:r>
        <w:rPr>
          <w:rFonts w:ascii="Cambria" w:hAnsi="Cambria" w:cs="Century Schoolbook"/>
        </w:rPr>
        <w:t>Le ministre de l’Economie verte a présenté en Conseil des ministres, le lancement de la « Journée Agriculture Responsable »</w:t>
      </w:r>
      <w:r w:rsidR="00D54E06">
        <w:rPr>
          <w:rFonts w:ascii="Cambria" w:hAnsi="Cambria" w:cs="Century Schoolbook"/>
        </w:rPr>
        <w:t>,</w:t>
      </w:r>
      <w:r>
        <w:rPr>
          <w:rFonts w:ascii="Cambria" w:hAnsi="Cambria" w:cs="Century Schoolbook"/>
        </w:rPr>
        <w:t xml:space="preserve"> porté</w:t>
      </w:r>
      <w:r w:rsidR="00D54E06">
        <w:rPr>
          <w:rFonts w:ascii="Cambria" w:hAnsi="Cambria" w:cs="Century Schoolbook"/>
        </w:rPr>
        <w:t>e</w:t>
      </w:r>
      <w:r>
        <w:rPr>
          <w:rFonts w:ascii="Cambria" w:hAnsi="Cambria" w:cs="Century Schoolbook"/>
        </w:rPr>
        <w:t xml:space="preserve"> par la Chambre d’agriculture et de la pêche </w:t>
      </w:r>
      <w:proofErr w:type="spellStart"/>
      <w:r>
        <w:rPr>
          <w:rFonts w:ascii="Cambria" w:hAnsi="Cambria" w:cs="Century Schoolbook"/>
        </w:rPr>
        <w:t>lagonaire</w:t>
      </w:r>
      <w:proofErr w:type="spellEnd"/>
      <w:r>
        <w:rPr>
          <w:rFonts w:ascii="Cambria" w:hAnsi="Cambria" w:cs="Century Schoolbook"/>
        </w:rPr>
        <w:t xml:space="preserve"> (CAPL). </w:t>
      </w:r>
    </w:p>
    <w:p w:rsidR="009C0B15" w:rsidRDefault="009C0B15" w:rsidP="009C0B15">
      <w:pPr>
        <w:widowControl w:val="0"/>
        <w:autoSpaceDE w:val="0"/>
        <w:autoSpaceDN w:val="0"/>
        <w:adjustRightInd w:val="0"/>
        <w:jc w:val="both"/>
        <w:rPr>
          <w:rFonts w:ascii="Cambria" w:hAnsi="Cambria" w:cs="Century Schoolbook"/>
        </w:rPr>
      </w:pPr>
    </w:p>
    <w:p w:rsidR="009C0B15" w:rsidRDefault="009C0B15" w:rsidP="009C0B15">
      <w:pPr>
        <w:widowControl w:val="0"/>
        <w:autoSpaceDE w:val="0"/>
        <w:autoSpaceDN w:val="0"/>
        <w:adjustRightInd w:val="0"/>
        <w:jc w:val="both"/>
        <w:rPr>
          <w:rFonts w:ascii="Cambria" w:hAnsi="Cambria" w:cs="Century Schoolbook"/>
        </w:rPr>
      </w:pPr>
      <w:r>
        <w:rPr>
          <w:rFonts w:ascii="Cambria" w:hAnsi="Cambria" w:cs="Century Schoolbook"/>
        </w:rPr>
        <w:lastRenderedPageBreak/>
        <w:t>Dispensé</w:t>
      </w:r>
      <w:r w:rsidR="00D54E06">
        <w:rPr>
          <w:rFonts w:ascii="Cambria" w:hAnsi="Cambria" w:cs="Century Schoolbook"/>
        </w:rPr>
        <w:t>e</w:t>
      </w:r>
      <w:r>
        <w:rPr>
          <w:rFonts w:ascii="Cambria" w:hAnsi="Cambria" w:cs="Century Schoolbook"/>
        </w:rPr>
        <w:t xml:space="preserve"> sous forme d’une demi-journée d’information, la « JAR » a pour objectif de sensibiliser les acteurs du monde rural aux enjeux environnementaux et de santé publique liés à l’utilisation de pesticides chimiques dans l’activité agricole. A terme, ce module de formation </w:t>
      </w:r>
      <w:r w:rsidRPr="00E94A68">
        <w:rPr>
          <w:rFonts w:ascii="Cambria" w:hAnsi="Cambria" w:cs="Century Schoolbook"/>
        </w:rPr>
        <w:t>encouragera</w:t>
      </w:r>
      <w:r>
        <w:rPr>
          <w:rFonts w:ascii="Cambria" w:hAnsi="Cambria" w:cs="Century Schoolbook"/>
        </w:rPr>
        <w:t xml:space="preserve"> l’amélioration des pratiques agricoles.</w:t>
      </w:r>
    </w:p>
    <w:p w:rsidR="009C0B15" w:rsidRDefault="009C0B15" w:rsidP="009C0B15">
      <w:pPr>
        <w:widowControl w:val="0"/>
        <w:autoSpaceDE w:val="0"/>
        <w:autoSpaceDN w:val="0"/>
        <w:adjustRightInd w:val="0"/>
        <w:jc w:val="both"/>
        <w:rPr>
          <w:rFonts w:ascii="Cambria" w:hAnsi="Cambria" w:cs="Century Schoolbook"/>
        </w:rPr>
      </w:pPr>
    </w:p>
    <w:p w:rsidR="009C0B15" w:rsidRDefault="009C0B15" w:rsidP="009C0B15">
      <w:pPr>
        <w:widowControl w:val="0"/>
        <w:tabs>
          <w:tab w:val="left" w:pos="2300"/>
        </w:tabs>
        <w:autoSpaceDE w:val="0"/>
        <w:autoSpaceDN w:val="0"/>
        <w:adjustRightInd w:val="0"/>
        <w:jc w:val="both"/>
        <w:rPr>
          <w:rFonts w:ascii="Cambria" w:hAnsi="Cambria" w:cs="Century Schoolbook"/>
        </w:rPr>
      </w:pPr>
      <w:r>
        <w:rPr>
          <w:rFonts w:ascii="Cambria" w:hAnsi="Cambria" w:cs="Century Schoolbook"/>
        </w:rPr>
        <w:t>Les premières « J.A.R. » dé</w:t>
      </w:r>
      <w:r w:rsidR="00D54E06">
        <w:rPr>
          <w:rFonts w:ascii="Cambria" w:hAnsi="Cambria" w:cs="Century Schoolbook"/>
        </w:rPr>
        <w:t>bute</w:t>
      </w:r>
      <w:r>
        <w:rPr>
          <w:rFonts w:ascii="Cambria" w:hAnsi="Cambria" w:cs="Century Schoolbook"/>
        </w:rPr>
        <w:t>ront</w:t>
      </w:r>
      <w:r w:rsidR="00D54E06">
        <w:rPr>
          <w:rFonts w:ascii="Cambria" w:hAnsi="Cambria" w:cs="Century Schoolbook"/>
        </w:rPr>
        <w:t xml:space="preserve"> en septembre aux îles du V</w:t>
      </w:r>
      <w:r>
        <w:rPr>
          <w:rFonts w:ascii="Cambria" w:hAnsi="Cambria" w:cs="Century Schoolbook"/>
        </w:rPr>
        <w:t xml:space="preserve">ent, à </w:t>
      </w:r>
      <w:proofErr w:type="spellStart"/>
      <w:r>
        <w:rPr>
          <w:rFonts w:ascii="Cambria" w:hAnsi="Cambria" w:cs="Century Schoolbook"/>
        </w:rPr>
        <w:t>Tubuai</w:t>
      </w:r>
      <w:proofErr w:type="spellEnd"/>
      <w:r>
        <w:rPr>
          <w:rFonts w:ascii="Cambria" w:hAnsi="Cambria" w:cs="Century Schoolbook"/>
        </w:rPr>
        <w:t xml:space="preserve">, </w:t>
      </w:r>
      <w:proofErr w:type="spellStart"/>
      <w:r>
        <w:rPr>
          <w:rFonts w:ascii="Cambria" w:hAnsi="Cambria" w:cs="Century Schoolbook"/>
        </w:rPr>
        <w:t>Huahine</w:t>
      </w:r>
      <w:proofErr w:type="spellEnd"/>
      <w:r>
        <w:rPr>
          <w:rFonts w:ascii="Cambria" w:hAnsi="Cambria" w:cs="Century Schoolbook"/>
        </w:rPr>
        <w:t xml:space="preserve"> et Raiatea</w:t>
      </w:r>
      <w:r w:rsidR="00D54E06">
        <w:rPr>
          <w:rFonts w:ascii="Cambria" w:hAnsi="Cambria" w:cs="Century Schoolbook"/>
        </w:rPr>
        <w:t>,</w:t>
      </w:r>
      <w:r>
        <w:rPr>
          <w:rFonts w:ascii="Cambria" w:hAnsi="Cambria" w:cs="Century Schoolbook"/>
        </w:rPr>
        <w:t xml:space="preserve"> et seront dispensées par les agents techniques de la CAPL.</w:t>
      </w:r>
    </w:p>
    <w:p w:rsidR="009C0B15" w:rsidRDefault="009C0B15" w:rsidP="009C0B15">
      <w:pPr>
        <w:widowControl w:val="0"/>
        <w:autoSpaceDE w:val="0"/>
        <w:autoSpaceDN w:val="0"/>
        <w:adjustRightInd w:val="0"/>
        <w:jc w:val="both"/>
        <w:rPr>
          <w:rFonts w:ascii="Cambria" w:hAnsi="Cambria" w:cs="Century Schoolbook"/>
        </w:rPr>
      </w:pPr>
    </w:p>
    <w:p w:rsidR="009C0B15" w:rsidRDefault="009C0B15" w:rsidP="009C0B15">
      <w:pPr>
        <w:widowControl w:val="0"/>
        <w:autoSpaceDE w:val="0"/>
        <w:autoSpaceDN w:val="0"/>
        <w:adjustRightInd w:val="0"/>
        <w:jc w:val="both"/>
        <w:rPr>
          <w:rFonts w:ascii="Cambria" w:hAnsi="Cambria" w:cs="Century Schoolbook"/>
        </w:rPr>
      </w:pPr>
    </w:p>
    <w:p w:rsidR="009C0B15" w:rsidRPr="00A7296A" w:rsidRDefault="009C0B15" w:rsidP="009C0B15">
      <w:pPr>
        <w:widowControl w:val="0"/>
        <w:autoSpaceDE w:val="0"/>
        <w:autoSpaceDN w:val="0"/>
        <w:adjustRightInd w:val="0"/>
        <w:jc w:val="both"/>
        <w:rPr>
          <w:rFonts w:ascii="Cambria" w:hAnsi="Cambria" w:cs="Century Schoolbook"/>
          <w:b/>
        </w:rPr>
      </w:pPr>
      <w:r w:rsidRPr="00A7296A">
        <w:rPr>
          <w:rFonts w:ascii="Cambria" w:hAnsi="Cambria" w:cs="Century Schoolbook"/>
          <w:b/>
        </w:rPr>
        <w:t xml:space="preserve">Cession </w:t>
      </w:r>
      <w:r>
        <w:rPr>
          <w:rFonts w:ascii="Cambria" w:hAnsi="Cambria" w:cs="Century Schoolbook"/>
          <w:b/>
        </w:rPr>
        <w:t xml:space="preserve">à l’OPH </w:t>
      </w:r>
      <w:r w:rsidR="002A0FAA">
        <w:rPr>
          <w:rFonts w:ascii="Cambria" w:hAnsi="Cambria" w:cs="Century Schoolbook"/>
          <w:b/>
        </w:rPr>
        <w:t>des résidences Mariani</w:t>
      </w:r>
      <w:r w:rsidRPr="00A7296A">
        <w:rPr>
          <w:rFonts w:ascii="Cambria" w:hAnsi="Cambria" w:cs="Century Schoolbook"/>
          <w:b/>
        </w:rPr>
        <w:t xml:space="preserve"> </w:t>
      </w:r>
      <w:r w:rsidR="00D54E06">
        <w:rPr>
          <w:rFonts w:ascii="Cambria" w:hAnsi="Cambria" w:cs="Century Schoolbook"/>
          <w:b/>
        </w:rPr>
        <w:t>à</w:t>
      </w:r>
      <w:r w:rsidRPr="00A7296A">
        <w:rPr>
          <w:rFonts w:ascii="Cambria" w:hAnsi="Cambria" w:cs="Century Schoolbook"/>
          <w:b/>
        </w:rPr>
        <w:t xml:space="preserve"> </w:t>
      </w:r>
      <w:proofErr w:type="spellStart"/>
      <w:r w:rsidRPr="00A7296A">
        <w:rPr>
          <w:rFonts w:ascii="Cambria" w:hAnsi="Cambria" w:cs="Century Schoolbook"/>
          <w:b/>
        </w:rPr>
        <w:t>Faaone</w:t>
      </w:r>
      <w:proofErr w:type="spellEnd"/>
      <w:r w:rsidRPr="00A7296A">
        <w:rPr>
          <w:rFonts w:ascii="Cambria" w:hAnsi="Cambria" w:cs="Century Schoolbook"/>
          <w:b/>
        </w:rPr>
        <w:t xml:space="preserve"> et </w:t>
      </w:r>
      <w:r w:rsidR="002A0FAA">
        <w:rPr>
          <w:rFonts w:ascii="Cambria" w:hAnsi="Cambria" w:cs="Century Schoolbook"/>
          <w:b/>
        </w:rPr>
        <w:t>Grand</w:t>
      </w:r>
      <w:r w:rsidRPr="00A7296A">
        <w:rPr>
          <w:rFonts w:ascii="Cambria" w:hAnsi="Cambria" w:cs="Century Schoolbook"/>
          <w:b/>
        </w:rPr>
        <w:t xml:space="preserve"> à Pirae</w:t>
      </w:r>
    </w:p>
    <w:p w:rsidR="009C0B15" w:rsidRDefault="009C0B15" w:rsidP="009C0B15">
      <w:pPr>
        <w:widowControl w:val="0"/>
        <w:autoSpaceDE w:val="0"/>
        <w:autoSpaceDN w:val="0"/>
        <w:adjustRightInd w:val="0"/>
        <w:jc w:val="both"/>
        <w:rPr>
          <w:rFonts w:ascii="Cambria" w:hAnsi="Cambria" w:cs="Century Schoolbook"/>
        </w:rPr>
      </w:pPr>
    </w:p>
    <w:p w:rsidR="009C0B15" w:rsidRDefault="009C0B15" w:rsidP="009C0B15">
      <w:pPr>
        <w:widowControl w:val="0"/>
        <w:autoSpaceDE w:val="0"/>
        <w:autoSpaceDN w:val="0"/>
        <w:adjustRightInd w:val="0"/>
        <w:jc w:val="both"/>
        <w:rPr>
          <w:rFonts w:ascii="Cambria" w:hAnsi="Cambria" w:cs="Century Schoolbook"/>
        </w:rPr>
      </w:pPr>
      <w:r>
        <w:rPr>
          <w:rFonts w:ascii="Cambria" w:hAnsi="Cambria" w:cs="Century Schoolbook"/>
        </w:rPr>
        <w:t xml:space="preserve">Le ministre </w:t>
      </w:r>
      <w:r w:rsidR="00D54E06">
        <w:rPr>
          <w:rFonts w:ascii="Cambria" w:hAnsi="Cambria" w:cs="Century Schoolbook"/>
        </w:rPr>
        <w:t xml:space="preserve">de l’Economie verte, </w:t>
      </w:r>
      <w:r>
        <w:rPr>
          <w:rFonts w:ascii="Cambria" w:hAnsi="Cambria" w:cs="Century Schoolbook"/>
        </w:rPr>
        <w:t>en charge du domaine, a présenté en Conseil des ministres, deux arrêtés autorisant la cession à titre g</w:t>
      </w:r>
      <w:r w:rsidR="00D54E06">
        <w:rPr>
          <w:rFonts w:ascii="Cambria" w:hAnsi="Cambria" w:cs="Century Schoolbook"/>
        </w:rPr>
        <w:t xml:space="preserve">ratuit, des « Résidence Grand », </w:t>
      </w:r>
      <w:r>
        <w:rPr>
          <w:rFonts w:ascii="Cambria" w:hAnsi="Cambria" w:cs="Century Schoolbook"/>
        </w:rPr>
        <w:t>à Pirae</w:t>
      </w:r>
      <w:r w:rsidR="00D54E06">
        <w:rPr>
          <w:rFonts w:ascii="Cambria" w:hAnsi="Cambria" w:cs="Century Schoolbook"/>
        </w:rPr>
        <w:t>,</w:t>
      </w:r>
      <w:r>
        <w:rPr>
          <w:rFonts w:ascii="Cambria" w:hAnsi="Cambria" w:cs="Century Schoolbook"/>
        </w:rPr>
        <w:t xml:space="preserve"> et</w:t>
      </w:r>
      <w:r w:rsidR="00D54E06">
        <w:rPr>
          <w:rFonts w:ascii="Cambria" w:hAnsi="Cambria" w:cs="Century Schoolbook"/>
        </w:rPr>
        <w:t xml:space="preserve"> de la « résidence Mariani »,</w:t>
      </w:r>
      <w:r>
        <w:rPr>
          <w:rFonts w:ascii="Cambria" w:hAnsi="Cambria" w:cs="Century Schoolbook"/>
        </w:rPr>
        <w:t xml:space="preserve"> à </w:t>
      </w:r>
      <w:proofErr w:type="spellStart"/>
      <w:r>
        <w:rPr>
          <w:rFonts w:ascii="Cambria" w:hAnsi="Cambria" w:cs="Century Schoolbook"/>
        </w:rPr>
        <w:t>Faaone</w:t>
      </w:r>
      <w:proofErr w:type="spellEnd"/>
      <w:r w:rsidR="00D54E06">
        <w:rPr>
          <w:rFonts w:ascii="Cambria" w:hAnsi="Cambria" w:cs="Century Schoolbook"/>
        </w:rPr>
        <w:t>,</w:t>
      </w:r>
      <w:r>
        <w:rPr>
          <w:rFonts w:ascii="Cambria" w:hAnsi="Cambria" w:cs="Century Schoolbook"/>
        </w:rPr>
        <w:t xml:space="preserve"> à l’Office Polynésien de l’Habitat</w:t>
      </w:r>
      <w:r w:rsidR="00D54E06">
        <w:rPr>
          <w:rFonts w:ascii="Cambria" w:hAnsi="Cambria" w:cs="Century Schoolbook"/>
        </w:rPr>
        <w:t xml:space="preserve"> (OPH)</w:t>
      </w:r>
      <w:r>
        <w:rPr>
          <w:rFonts w:ascii="Cambria" w:hAnsi="Cambria" w:cs="Century Schoolbook"/>
        </w:rPr>
        <w:t xml:space="preserve">. </w:t>
      </w:r>
    </w:p>
    <w:p w:rsidR="009C0B15" w:rsidRDefault="009C0B15" w:rsidP="009C0B15">
      <w:pPr>
        <w:widowControl w:val="0"/>
        <w:autoSpaceDE w:val="0"/>
        <w:autoSpaceDN w:val="0"/>
        <w:adjustRightInd w:val="0"/>
        <w:jc w:val="both"/>
        <w:rPr>
          <w:rFonts w:ascii="Cambria" w:hAnsi="Cambria" w:cs="Century Schoolbook"/>
        </w:rPr>
      </w:pPr>
    </w:p>
    <w:p w:rsidR="009C0B15" w:rsidRDefault="009C0B15" w:rsidP="009C0B15">
      <w:pPr>
        <w:widowControl w:val="0"/>
        <w:autoSpaceDE w:val="0"/>
        <w:autoSpaceDN w:val="0"/>
        <w:adjustRightInd w:val="0"/>
        <w:jc w:val="both"/>
        <w:rPr>
          <w:rFonts w:ascii="Cambria" w:hAnsi="Cambria" w:cs="Century Schoolbook"/>
        </w:rPr>
      </w:pPr>
      <w:r>
        <w:rPr>
          <w:rFonts w:ascii="Cambria" w:hAnsi="Cambria" w:cs="Century Schoolbook"/>
        </w:rPr>
        <w:t xml:space="preserve">En effet, suite aux intempéries de janvier 2017, quelques familles sinistrées ont été relogées provisoirement dans la résidence Mariani où 24 </w:t>
      </w:r>
      <w:proofErr w:type="spellStart"/>
      <w:r>
        <w:rPr>
          <w:rFonts w:ascii="Cambria" w:hAnsi="Cambria" w:cs="Century Schoolbook"/>
        </w:rPr>
        <w:t>fare</w:t>
      </w:r>
      <w:proofErr w:type="spellEnd"/>
      <w:r>
        <w:rPr>
          <w:rFonts w:ascii="Cambria" w:hAnsi="Cambria" w:cs="Century Schoolbook"/>
        </w:rPr>
        <w:t xml:space="preserve"> et un local à usage</w:t>
      </w:r>
      <w:r w:rsidR="002A0FAA">
        <w:rPr>
          <w:rFonts w:ascii="Cambria" w:hAnsi="Cambria" w:cs="Century Schoolbook"/>
        </w:rPr>
        <w:t>s</w:t>
      </w:r>
      <w:r>
        <w:rPr>
          <w:rFonts w:ascii="Cambria" w:hAnsi="Cambria" w:cs="Century Schoolbook"/>
        </w:rPr>
        <w:t xml:space="preserve"> multiple</w:t>
      </w:r>
      <w:r w:rsidR="002A0FAA">
        <w:rPr>
          <w:rFonts w:ascii="Cambria" w:hAnsi="Cambria" w:cs="Century Schoolbook"/>
        </w:rPr>
        <w:t>s</w:t>
      </w:r>
      <w:bookmarkStart w:id="0" w:name="_GoBack"/>
      <w:bookmarkEnd w:id="0"/>
      <w:r>
        <w:rPr>
          <w:rFonts w:ascii="Cambria" w:hAnsi="Cambria" w:cs="Century Schoolbook"/>
        </w:rPr>
        <w:t xml:space="preserve"> étaient disponibles. La « résidence Grand » a, quant à elle, bénéficié d’une subvention d’investissement permettant les premières études pour la réhabilitation du site. </w:t>
      </w:r>
    </w:p>
    <w:p w:rsidR="00E64A1C" w:rsidRDefault="00E64A1C" w:rsidP="00E64A1C">
      <w:pPr>
        <w:rPr>
          <w:rFonts w:ascii="Cambria" w:hAnsi="Cambria"/>
          <w:b/>
        </w:rPr>
      </w:pPr>
    </w:p>
    <w:p w:rsidR="00E64A1C" w:rsidRDefault="00E64A1C" w:rsidP="00E64A1C">
      <w:pPr>
        <w:rPr>
          <w:rFonts w:ascii="Cambria" w:hAnsi="Cambria"/>
          <w:b/>
        </w:rPr>
      </w:pPr>
    </w:p>
    <w:p w:rsidR="00E64A1C" w:rsidRPr="00E64A1C" w:rsidRDefault="00E64A1C" w:rsidP="00E64A1C">
      <w:pPr>
        <w:rPr>
          <w:rFonts w:ascii="Cambria" w:hAnsi="Cambria"/>
          <w:b/>
        </w:rPr>
      </w:pPr>
      <w:r w:rsidRPr="00E64A1C">
        <w:rPr>
          <w:rFonts w:ascii="Cambria" w:hAnsi="Cambria"/>
          <w:b/>
        </w:rPr>
        <w:t>Des mesures pour un environnement favorable à une alimentation saine</w:t>
      </w:r>
    </w:p>
    <w:p w:rsidR="00E64A1C" w:rsidRPr="00E64A1C" w:rsidRDefault="00E64A1C" w:rsidP="00E64A1C">
      <w:pPr>
        <w:jc w:val="center"/>
        <w:rPr>
          <w:rFonts w:ascii="Cambria" w:hAnsi="Cambria"/>
        </w:rPr>
      </w:pPr>
    </w:p>
    <w:p w:rsidR="00E64A1C" w:rsidRDefault="00E64A1C" w:rsidP="00E64A1C">
      <w:pPr>
        <w:jc w:val="both"/>
        <w:rPr>
          <w:rFonts w:ascii="Cambria" w:hAnsi="Cambria"/>
        </w:rPr>
      </w:pPr>
      <w:r w:rsidRPr="00E64A1C">
        <w:rPr>
          <w:rFonts w:ascii="Cambria" w:hAnsi="Cambria"/>
        </w:rPr>
        <w:t xml:space="preserve">L’alimentation en Polynésie française génère des préoccupations, tant par la qualité nutritionnelle des produits disponibles sur le marché que par l’alimentation déséquilibrée des consommateurs. Celle-ci constitue l’un des facteurs de risque majeurs de développement du surpoids et de l’obésité. </w:t>
      </w:r>
    </w:p>
    <w:p w:rsidR="00E64A1C" w:rsidRPr="00E64A1C" w:rsidRDefault="00E64A1C" w:rsidP="00E64A1C">
      <w:pPr>
        <w:jc w:val="both"/>
        <w:rPr>
          <w:rFonts w:ascii="Cambria" w:hAnsi="Cambria"/>
        </w:rPr>
      </w:pPr>
    </w:p>
    <w:p w:rsidR="00E64A1C" w:rsidRDefault="00E64A1C" w:rsidP="00E64A1C">
      <w:pPr>
        <w:jc w:val="both"/>
        <w:rPr>
          <w:rFonts w:ascii="Cambria" w:hAnsi="Cambria"/>
        </w:rPr>
      </w:pPr>
      <w:r w:rsidRPr="00E64A1C">
        <w:rPr>
          <w:rFonts w:ascii="Cambria" w:hAnsi="Cambria"/>
        </w:rPr>
        <w:t xml:space="preserve">Les chiffres relatifs aux maladies non transmissibles (obésité, diabète, hypertension artérielle, maladies cardiovasculaires, arthrose, les cancers liés aux modes de vie…) sont alarmants : la proportion de Polynésiens présentant un risque de maladies non transmissibles est de 45%. Le Conseil des ministres a pris acte des actions favorables à une alimentation saine mises en œuvre ou en cours d’élaboration par le </w:t>
      </w:r>
      <w:r>
        <w:rPr>
          <w:rFonts w:ascii="Cambria" w:hAnsi="Cambria"/>
        </w:rPr>
        <w:t>m</w:t>
      </w:r>
      <w:r w:rsidRPr="00E64A1C">
        <w:rPr>
          <w:rFonts w:ascii="Cambria" w:hAnsi="Cambria"/>
        </w:rPr>
        <w:t>inistère de la santé et de la prévention (MSP) et la Direction de la santé publique (DSP) basées sur une logique, non-coercitive, d’incitation et d’accompagnement aussi bien des consommateurs que des producteurs locaux.</w:t>
      </w:r>
    </w:p>
    <w:p w:rsidR="00E64A1C" w:rsidRPr="00E64A1C" w:rsidRDefault="00E64A1C" w:rsidP="00E64A1C">
      <w:pPr>
        <w:jc w:val="both"/>
        <w:rPr>
          <w:rFonts w:ascii="Cambria" w:hAnsi="Cambria"/>
        </w:rPr>
      </w:pPr>
    </w:p>
    <w:p w:rsidR="00E64A1C" w:rsidRDefault="00E64A1C" w:rsidP="00E64A1C">
      <w:pPr>
        <w:jc w:val="both"/>
        <w:rPr>
          <w:rFonts w:ascii="Cambria" w:hAnsi="Cambria"/>
        </w:rPr>
      </w:pPr>
      <w:r w:rsidRPr="00E64A1C">
        <w:rPr>
          <w:rFonts w:ascii="Cambria" w:hAnsi="Cambria"/>
        </w:rPr>
        <w:t>L’un des objectifs du programme d’actio</w:t>
      </w:r>
      <w:r>
        <w:rPr>
          <w:rFonts w:ascii="Cambria" w:hAnsi="Cambria"/>
        </w:rPr>
        <w:t xml:space="preserve">n sur l’alimentation équilibrée, </w:t>
      </w:r>
      <w:r w:rsidRPr="00E64A1C">
        <w:rPr>
          <w:rFonts w:ascii="Cambria" w:hAnsi="Cambria"/>
        </w:rPr>
        <w:t>qui s’inscrit dans la continuité du schéma de prévention et de promotion de la santé de la Polynésie française 2018-2022, est de donner les clés à la population polynésienne lui permettant d’opérer des choix éclairés en termes d’alimentation équilibrée et d’activité physique pour maintenir un bon état de santé. Ainsi de nombreuses actions de prévention</w:t>
      </w:r>
      <w:r>
        <w:rPr>
          <w:rFonts w:ascii="Cambria" w:hAnsi="Cambria"/>
        </w:rPr>
        <w:t xml:space="preserve"> ont été initiées </w:t>
      </w:r>
      <w:r w:rsidRPr="00E64A1C">
        <w:rPr>
          <w:rFonts w:ascii="Cambria" w:hAnsi="Cambria"/>
        </w:rPr>
        <w:t xml:space="preserve">telles que le projet pilote des « classes du goût » 2018-2019 dans les établissements scolaires, la campagne de promotion des sucres naturels 2017-2018-2019, </w:t>
      </w:r>
      <w:r>
        <w:rPr>
          <w:rFonts w:ascii="Cambria" w:hAnsi="Cambria"/>
        </w:rPr>
        <w:t xml:space="preserve">ou encore </w:t>
      </w:r>
      <w:r w:rsidRPr="00E64A1C">
        <w:rPr>
          <w:rFonts w:ascii="Cambria" w:hAnsi="Cambria"/>
        </w:rPr>
        <w:t>l’accompagnement nutritionnel visant des changements de pratiques alimentaires auprès des agents de l’administration et des entreprises actives.</w:t>
      </w:r>
    </w:p>
    <w:p w:rsidR="00E64A1C" w:rsidRPr="00E64A1C" w:rsidRDefault="00E64A1C" w:rsidP="00E64A1C">
      <w:pPr>
        <w:jc w:val="both"/>
        <w:rPr>
          <w:rFonts w:ascii="Cambria" w:hAnsi="Cambria"/>
        </w:rPr>
      </w:pPr>
    </w:p>
    <w:p w:rsidR="00E64A1C" w:rsidRDefault="00E64A1C" w:rsidP="00E64A1C">
      <w:pPr>
        <w:jc w:val="both"/>
        <w:rPr>
          <w:rFonts w:ascii="Cambria" w:hAnsi="Cambria"/>
        </w:rPr>
      </w:pPr>
      <w:r w:rsidRPr="00E64A1C">
        <w:rPr>
          <w:rFonts w:ascii="Cambria" w:hAnsi="Cambria"/>
        </w:rPr>
        <w:lastRenderedPageBreak/>
        <w:t>D’autres actions de prévention et promotion d’une alimentation saine sont en préparation comme le développement de l’étiquetage nutritionnel, aussi appelé le « </w:t>
      </w:r>
      <w:proofErr w:type="spellStart"/>
      <w:r w:rsidRPr="00E64A1C">
        <w:rPr>
          <w:rFonts w:ascii="Cambria" w:hAnsi="Cambria"/>
        </w:rPr>
        <w:t>Nutriscore</w:t>
      </w:r>
      <w:proofErr w:type="spellEnd"/>
      <w:r w:rsidRPr="00E64A1C">
        <w:rPr>
          <w:rFonts w:ascii="Cambria" w:hAnsi="Cambria"/>
        </w:rPr>
        <w:t> », permettant aux consommateurs de repérer facilement chez les commerçants, les produits constitutifs d’une alimentation de qualité.</w:t>
      </w:r>
    </w:p>
    <w:p w:rsidR="00E64A1C" w:rsidRPr="00E64A1C" w:rsidRDefault="00E64A1C" w:rsidP="00E64A1C">
      <w:pPr>
        <w:jc w:val="both"/>
        <w:rPr>
          <w:rFonts w:ascii="Cambria" w:hAnsi="Cambria"/>
        </w:rPr>
      </w:pPr>
    </w:p>
    <w:p w:rsidR="00E64A1C" w:rsidRPr="00DD066C" w:rsidRDefault="00E64A1C" w:rsidP="00E64A1C">
      <w:pPr>
        <w:jc w:val="both"/>
      </w:pPr>
      <w:r w:rsidRPr="00E64A1C">
        <w:rPr>
          <w:rFonts w:ascii="Cambria" w:hAnsi="Cambria"/>
        </w:rPr>
        <w:t xml:space="preserve">Par ailleurs, la Direction de la santé souhaite inciter et accompagner les entreprises locales du secteur de l’agro-alimentaire à s’engager dans une démarche de progrès nutritionnel en réduisant </w:t>
      </w:r>
      <w:r w:rsidRPr="00E64A1C">
        <w:rPr>
          <w:rFonts w:ascii="Cambria" w:eastAsia="Calibri" w:hAnsi="Cambria"/>
        </w:rPr>
        <w:t xml:space="preserve">les teneurs en graisses saturées, en sucre et en sel des produits existants. Ainsi, </w:t>
      </w:r>
      <w:r>
        <w:rPr>
          <w:rFonts w:ascii="Cambria" w:eastAsia="Calibri" w:hAnsi="Cambria"/>
        </w:rPr>
        <w:t>u</w:t>
      </w:r>
      <w:r w:rsidRPr="00E64A1C">
        <w:rPr>
          <w:rFonts w:ascii="Cambria" w:eastAsia="Calibri" w:hAnsi="Cambria"/>
        </w:rPr>
        <w:t>ne charte d’engagement au progrès nutritionnel des entreprises et commerces alimentaires locaux a été élaborée. Les étapes suivantes consisteront à développer et accompagner le réseau des producteurs locaux engagés dans cette démarche.</w:t>
      </w:r>
    </w:p>
    <w:p w:rsidR="00274191" w:rsidRDefault="00274191" w:rsidP="00DB7748">
      <w:pPr>
        <w:rPr>
          <w:rFonts w:ascii="Cambria" w:hAnsi="Cambria"/>
          <w:b/>
        </w:rPr>
      </w:pPr>
    </w:p>
    <w:p w:rsidR="00B81BC7" w:rsidRDefault="00B81BC7" w:rsidP="00DB7748">
      <w:pPr>
        <w:rPr>
          <w:rFonts w:ascii="Cambria" w:hAnsi="Cambria"/>
          <w:b/>
        </w:rPr>
      </w:pPr>
    </w:p>
    <w:p w:rsidR="00B81BC7" w:rsidRDefault="00B81BC7" w:rsidP="00DB7748">
      <w:pPr>
        <w:rPr>
          <w:rFonts w:ascii="Cambria" w:hAnsi="Cambria"/>
          <w:b/>
        </w:rPr>
      </w:pPr>
      <w:r>
        <w:rPr>
          <w:rFonts w:ascii="Cambria" w:hAnsi="Cambria"/>
          <w:b/>
        </w:rPr>
        <w:t>Modification des actes professionnels des infirmiers</w:t>
      </w:r>
    </w:p>
    <w:p w:rsidR="00274191" w:rsidRDefault="00274191" w:rsidP="00DB7748">
      <w:pPr>
        <w:rPr>
          <w:rFonts w:ascii="Cambria" w:hAnsi="Cambria"/>
          <w:b/>
        </w:rPr>
      </w:pPr>
    </w:p>
    <w:p w:rsidR="00274191" w:rsidRPr="00B81BC7" w:rsidRDefault="00274191" w:rsidP="00B81BC7">
      <w:pPr>
        <w:pStyle w:val="-LettreTexteGEDA"/>
        <w:ind w:firstLine="0"/>
        <w:rPr>
          <w:rFonts w:ascii="Cambria" w:hAnsi="Cambria"/>
          <w:noProof w:val="0"/>
        </w:rPr>
      </w:pPr>
      <w:r w:rsidRPr="00B81BC7">
        <w:rPr>
          <w:rFonts w:ascii="Cambria" w:hAnsi="Cambria"/>
          <w:noProof w:val="0"/>
        </w:rPr>
        <w:t>Pendant de nombreuses années</w:t>
      </w:r>
      <w:r w:rsidR="00B81BC7" w:rsidRPr="00B81BC7">
        <w:rPr>
          <w:rFonts w:ascii="Cambria" w:hAnsi="Cambria"/>
          <w:noProof w:val="0"/>
        </w:rPr>
        <w:t>,</w:t>
      </w:r>
      <w:r w:rsidRPr="00B81BC7">
        <w:rPr>
          <w:rFonts w:ascii="Cambria" w:hAnsi="Cambria"/>
          <w:noProof w:val="0"/>
        </w:rPr>
        <w:t xml:space="preserve"> les circoncisions rituelles ont été pratiquées dans les îles par certains infirmiers habilités de la direction de la santé. L’agence de régulation de l’action sanitaire et sociale (ARASS) ayant soulevé l’absence de base légale de la pratique de cet acte par un personnel non médical, celles-ci ne sont plus été effectuées depuis plusieurs mois.</w:t>
      </w:r>
    </w:p>
    <w:p w:rsidR="00274191" w:rsidRPr="00B81BC7" w:rsidRDefault="00274191" w:rsidP="00B81BC7">
      <w:pPr>
        <w:pStyle w:val="-LettreTexteGEDA"/>
        <w:ind w:firstLine="0"/>
        <w:rPr>
          <w:rFonts w:ascii="Cambria" w:hAnsi="Cambria"/>
          <w:noProof w:val="0"/>
        </w:rPr>
      </w:pPr>
      <w:r w:rsidRPr="00B81BC7">
        <w:rPr>
          <w:rFonts w:ascii="Cambria" w:hAnsi="Cambria"/>
          <w:noProof w:val="0"/>
        </w:rPr>
        <w:t>Afin de remédier à ce vide juridique et de permettre aux habitants des îles sans médecin de continuer à bénéficier de cet acte dans les meilleures conditions sanitaires possibles, il a été ajouté aux actes professionnels pouvant être exécutés par certains infirmiers les circoncisions.</w:t>
      </w:r>
    </w:p>
    <w:p w:rsidR="00274191" w:rsidRPr="00B81BC7" w:rsidRDefault="00274191" w:rsidP="00B81BC7">
      <w:pPr>
        <w:pStyle w:val="-LettreTexteGEDA"/>
        <w:ind w:firstLine="0"/>
        <w:rPr>
          <w:rFonts w:ascii="Cambria" w:hAnsi="Cambria"/>
          <w:noProof w:val="0"/>
        </w:rPr>
      </w:pPr>
      <w:r w:rsidRPr="00B81BC7">
        <w:rPr>
          <w:rFonts w:ascii="Cambria" w:hAnsi="Cambria"/>
          <w:noProof w:val="0"/>
        </w:rPr>
        <w:t>Cet acte ne rentrera pas dans les compétences générales des infirmiers. Il sera en effet réservé aux infirmiers exerçant dans les îles sans médecin, praticable uniquement dans les structures de la direction de la santé publique et à titre exceptionnel. Les infirmiers pour pratiquer les circoncisions devront avoir suivi une formation spécifique et l’acte sera pratiqué en application d’un protocole préétabli par un médecin.</w:t>
      </w:r>
    </w:p>
    <w:p w:rsidR="00274191" w:rsidRPr="00B81BC7" w:rsidRDefault="00274191" w:rsidP="00B81BC7">
      <w:pPr>
        <w:pStyle w:val="-LettreTexteGEDA"/>
        <w:ind w:firstLine="0"/>
        <w:rPr>
          <w:rFonts w:ascii="Cambria" w:hAnsi="Cambria"/>
          <w:noProof w:val="0"/>
        </w:rPr>
      </w:pPr>
      <w:r w:rsidRPr="00B81BC7">
        <w:rPr>
          <w:rFonts w:ascii="Cambria" w:hAnsi="Cambria"/>
          <w:noProof w:val="0"/>
        </w:rPr>
        <w:t>La modification proposée permet ainsi de rétablir le service rendu aux populations tout en assurant à l’infirmier l’exercice de cette activité dans un cadre légal.</w:t>
      </w:r>
    </w:p>
    <w:p w:rsidR="00274191" w:rsidRDefault="00274191" w:rsidP="00DB7748">
      <w:pPr>
        <w:rPr>
          <w:rFonts w:ascii="Cambria" w:hAnsi="Cambria"/>
          <w:b/>
        </w:rPr>
      </w:pPr>
    </w:p>
    <w:p w:rsidR="003609B1" w:rsidRDefault="003609B1" w:rsidP="00DB7748">
      <w:pPr>
        <w:rPr>
          <w:rFonts w:ascii="Cambria" w:hAnsi="Cambria"/>
          <w:b/>
        </w:rPr>
      </w:pPr>
    </w:p>
    <w:p w:rsidR="003609B1" w:rsidRPr="00DB7748" w:rsidRDefault="003609B1" w:rsidP="003609B1">
      <w:pPr>
        <w:rPr>
          <w:rFonts w:ascii="Cambria" w:hAnsi="Cambria"/>
          <w:b/>
        </w:rPr>
      </w:pPr>
      <w:r>
        <w:rPr>
          <w:rFonts w:ascii="Cambria" w:hAnsi="Cambria"/>
          <w:b/>
        </w:rPr>
        <w:t>S</w:t>
      </w:r>
      <w:r w:rsidRPr="00DB7748">
        <w:rPr>
          <w:rFonts w:ascii="Cambria" w:hAnsi="Cambria"/>
          <w:b/>
        </w:rPr>
        <w:t xml:space="preserve">ubventions de fonctionnement aux associations </w:t>
      </w:r>
      <w:r>
        <w:rPr>
          <w:rFonts w:ascii="Cambria" w:hAnsi="Cambria"/>
          <w:b/>
        </w:rPr>
        <w:t>sportives</w:t>
      </w:r>
    </w:p>
    <w:p w:rsidR="003609B1" w:rsidRPr="00DB7748" w:rsidRDefault="003609B1" w:rsidP="003609B1">
      <w:pPr>
        <w:jc w:val="both"/>
        <w:rPr>
          <w:rFonts w:ascii="Cambria" w:hAnsi="Cambria"/>
        </w:rPr>
      </w:pPr>
    </w:p>
    <w:p w:rsidR="003609B1" w:rsidRPr="00DB7748" w:rsidRDefault="003609B1" w:rsidP="003609B1">
      <w:pPr>
        <w:jc w:val="both"/>
        <w:rPr>
          <w:rFonts w:ascii="Cambria" w:hAnsi="Cambria"/>
          <w:b/>
        </w:rPr>
      </w:pPr>
      <w:r w:rsidRPr="00DB7748">
        <w:rPr>
          <w:rFonts w:ascii="Cambria" w:hAnsi="Cambria"/>
        </w:rPr>
        <w:t xml:space="preserve">Le Conseil des ministres a examiné 5 dossiers de subventions destinées aux associations et fédérations sportives et de jeunesse pour un montant global de </w:t>
      </w:r>
      <w:r>
        <w:rPr>
          <w:rFonts w:ascii="Cambria" w:hAnsi="Cambria"/>
        </w:rPr>
        <w:t xml:space="preserve">2 898 000 </w:t>
      </w:r>
      <w:proofErr w:type="spellStart"/>
      <w:r>
        <w:rPr>
          <w:rFonts w:ascii="Cambria" w:hAnsi="Cambria"/>
        </w:rPr>
        <w:t>Fcfp</w:t>
      </w:r>
      <w:proofErr w:type="spellEnd"/>
      <w:r w:rsidRPr="00C109C3">
        <w:rPr>
          <w:rFonts w:ascii="Cambria" w:hAnsi="Cambria"/>
        </w:rPr>
        <w:t>.</w:t>
      </w:r>
    </w:p>
    <w:p w:rsidR="003609B1" w:rsidRPr="00DB7748" w:rsidRDefault="003609B1" w:rsidP="003609B1">
      <w:pPr>
        <w:jc w:val="both"/>
        <w:rPr>
          <w:rFonts w:ascii="Cambria" w:hAnsi="Cambria"/>
        </w:rPr>
      </w:pPr>
    </w:p>
    <w:p w:rsidR="003609B1" w:rsidRPr="00DB7748" w:rsidRDefault="003609B1" w:rsidP="003609B1">
      <w:pPr>
        <w:jc w:val="both"/>
        <w:rPr>
          <w:rFonts w:ascii="Cambria" w:hAnsi="Cambria"/>
        </w:rPr>
      </w:pPr>
      <w:r w:rsidRPr="00DB7748">
        <w:rPr>
          <w:rFonts w:ascii="Cambria" w:hAnsi="Cambria"/>
        </w:rPr>
        <w:t xml:space="preserve">Les subventions attribuées sont les suivantes : </w:t>
      </w:r>
    </w:p>
    <w:p w:rsidR="003609B1" w:rsidRPr="00DB7748" w:rsidRDefault="003609B1" w:rsidP="003609B1">
      <w:pPr>
        <w:jc w:val="both"/>
        <w:rPr>
          <w:rFonts w:ascii="Cambria" w:hAnsi="Cambria"/>
        </w:rPr>
      </w:pPr>
    </w:p>
    <w:p w:rsidR="003609B1" w:rsidRPr="00DB7748" w:rsidRDefault="003609B1" w:rsidP="003609B1">
      <w:pPr>
        <w:jc w:val="both"/>
        <w:rPr>
          <w:rFonts w:ascii="Cambria" w:hAnsi="Cambria"/>
        </w:rPr>
      </w:pPr>
      <w:r w:rsidRPr="00DB7748">
        <w:rPr>
          <w:rFonts w:ascii="Cambria" w:hAnsi="Cambria"/>
        </w:rPr>
        <w:t>Subventions de fonctionnement au titre des activités générales pour 2019 :</w:t>
      </w:r>
    </w:p>
    <w:p w:rsidR="003609B1" w:rsidRDefault="003609B1" w:rsidP="003609B1">
      <w:pPr>
        <w:pStyle w:val="Paragraphedeliste"/>
        <w:numPr>
          <w:ilvl w:val="0"/>
          <w:numId w:val="3"/>
        </w:numPr>
        <w:spacing w:before="120" w:after="240"/>
        <w:ind w:left="709"/>
        <w:jc w:val="both"/>
        <w:rPr>
          <w:rFonts w:ascii="Cambria" w:hAnsi="Cambria"/>
          <w:sz w:val="24"/>
          <w:szCs w:val="24"/>
        </w:rPr>
      </w:pPr>
      <w:r w:rsidRPr="00DB7748">
        <w:rPr>
          <w:rFonts w:ascii="Cambria" w:hAnsi="Cambria"/>
          <w:sz w:val="24"/>
          <w:szCs w:val="24"/>
        </w:rPr>
        <w:t xml:space="preserve">Association Union Polynésienne pour la jeunesse (UPJ) pour un montant de 700.000 </w:t>
      </w:r>
      <w:proofErr w:type="spellStart"/>
      <w:r w:rsidRPr="00DB7748">
        <w:rPr>
          <w:rFonts w:ascii="Cambria" w:hAnsi="Cambria"/>
          <w:sz w:val="24"/>
          <w:szCs w:val="24"/>
        </w:rPr>
        <w:t>Fcfp</w:t>
      </w:r>
      <w:proofErr w:type="spellEnd"/>
      <w:r w:rsidRPr="00DB7748">
        <w:rPr>
          <w:rFonts w:ascii="Cambria" w:hAnsi="Cambria"/>
          <w:sz w:val="24"/>
          <w:szCs w:val="24"/>
        </w:rPr>
        <w:t xml:space="preserve"> ;</w:t>
      </w:r>
    </w:p>
    <w:p w:rsidR="003609B1" w:rsidRPr="00DB7748" w:rsidRDefault="003609B1" w:rsidP="003609B1">
      <w:pPr>
        <w:pStyle w:val="Paragraphedeliste"/>
        <w:spacing w:before="120" w:after="240"/>
        <w:ind w:left="709"/>
        <w:jc w:val="both"/>
        <w:rPr>
          <w:rFonts w:ascii="Cambria" w:hAnsi="Cambria"/>
          <w:sz w:val="24"/>
          <w:szCs w:val="24"/>
        </w:rPr>
      </w:pPr>
    </w:p>
    <w:p w:rsidR="003609B1" w:rsidRPr="00DB7748" w:rsidRDefault="003609B1" w:rsidP="003609B1">
      <w:pPr>
        <w:pStyle w:val="Paragraphedeliste"/>
        <w:numPr>
          <w:ilvl w:val="0"/>
          <w:numId w:val="3"/>
        </w:numPr>
        <w:spacing w:before="120" w:after="240"/>
        <w:ind w:left="709"/>
        <w:jc w:val="both"/>
        <w:rPr>
          <w:rFonts w:ascii="Cambria" w:hAnsi="Cambria"/>
          <w:sz w:val="24"/>
          <w:szCs w:val="24"/>
        </w:rPr>
      </w:pPr>
      <w:r w:rsidRPr="00DB7748">
        <w:rPr>
          <w:rFonts w:ascii="Cambria" w:hAnsi="Cambria"/>
          <w:sz w:val="24"/>
          <w:szCs w:val="24"/>
        </w:rPr>
        <w:t xml:space="preserve">Association Punaauia rugby club pour un montant de 743.000 </w:t>
      </w:r>
      <w:proofErr w:type="spellStart"/>
      <w:r w:rsidRPr="00DB7748">
        <w:rPr>
          <w:rFonts w:ascii="Cambria" w:hAnsi="Cambria"/>
          <w:sz w:val="24"/>
          <w:szCs w:val="24"/>
        </w:rPr>
        <w:t>Fcfp</w:t>
      </w:r>
      <w:proofErr w:type="spellEnd"/>
      <w:r w:rsidRPr="00DB7748">
        <w:rPr>
          <w:rFonts w:ascii="Cambria" w:hAnsi="Cambria"/>
          <w:sz w:val="24"/>
          <w:szCs w:val="24"/>
        </w:rPr>
        <w:t xml:space="preserve"> ;</w:t>
      </w:r>
    </w:p>
    <w:p w:rsidR="003609B1" w:rsidRPr="00DB7748" w:rsidRDefault="003609B1" w:rsidP="003609B1">
      <w:pPr>
        <w:pStyle w:val="Paragraphedeliste"/>
        <w:spacing w:before="120" w:after="240"/>
        <w:ind w:left="709"/>
        <w:jc w:val="both"/>
        <w:rPr>
          <w:rFonts w:ascii="Cambria" w:hAnsi="Cambria"/>
          <w:sz w:val="24"/>
          <w:szCs w:val="24"/>
        </w:rPr>
      </w:pPr>
    </w:p>
    <w:p w:rsidR="003609B1" w:rsidRPr="00DB7748" w:rsidRDefault="003609B1" w:rsidP="003609B1">
      <w:pPr>
        <w:pStyle w:val="Paragraphedeliste"/>
        <w:numPr>
          <w:ilvl w:val="0"/>
          <w:numId w:val="3"/>
        </w:numPr>
        <w:spacing w:before="120" w:after="240"/>
        <w:ind w:left="709"/>
        <w:jc w:val="both"/>
        <w:rPr>
          <w:rFonts w:ascii="Cambria" w:hAnsi="Cambria"/>
          <w:sz w:val="24"/>
          <w:szCs w:val="24"/>
        </w:rPr>
      </w:pPr>
      <w:r w:rsidRPr="00DB7748">
        <w:rPr>
          <w:rFonts w:ascii="Cambria" w:hAnsi="Cambria"/>
          <w:sz w:val="24"/>
          <w:szCs w:val="24"/>
        </w:rPr>
        <w:t xml:space="preserve">Association Comité Futsal de </w:t>
      </w:r>
      <w:proofErr w:type="spellStart"/>
      <w:r w:rsidRPr="00DB7748">
        <w:rPr>
          <w:rFonts w:ascii="Cambria" w:hAnsi="Cambria"/>
          <w:sz w:val="24"/>
          <w:szCs w:val="24"/>
        </w:rPr>
        <w:t>Tubuai</w:t>
      </w:r>
      <w:proofErr w:type="spellEnd"/>
      <w:r w:rsidRPr="00DB7748">
        <w:rPr>
          <w:rFonts w:ascii="Cambria" w:hAnsi="Cambria"/>
          <w:sz w:val="24"/>
          <w:szCs w:val="24"/>
        </w:rPr>
        <w:t xml:space="preserve"> pour un montant de 325.000 </w:t>
      </w:r>
      <w:proofErr w:type="spellStart"/>
      <w:r w:rsidRPr="00DB7748">
        <w:rPr>
          <w:rFonts w:ascii="Cambria" w:hAnsi="Cambria"/>
          <w:sz w:val="24"/>
          <w:szCs w:val="24"/>
        </w:rPr>
        <w:t>Fcfp</w:t>
      </w:r>
      <w:proofErr w:type="spellEnd"/>
      <w:r w:rsidRPr="00DB7748">
        <w:rPr>
          <w:rFonts w:ascii="Cambria" w:hAnsi="Cambria"/>
          <w:sz w:val="24"/>
          <w:szCs w:val="24"/>
        </w:rPr>
        <w:t xml:space="preserve"> pour l’organisation des compétitions de </w:t>
      </w:r>
      <w:r>
        <w:rPr>
          <w:rFonts w:ascii="Cambria" w:hAnsi="Cambria"/>
          <w:sz w:val="24"/>
          <w:szCs w:val="24"/>
        </w:rPr>
        <w:t>f</w:t>
      </w:r>
      <w:r w:rsidRPr="00DB7748">
        <w:rPr>
          <w:rFonts w:ascii="Cambria" w:hAnsi="Cambria"/>
          <w:sz w:val="24"/>
          <w:szCs w:val="24"/>
        </w:rPr>
        <w:t>utsal au titre de l’année 2019 ;</w:t>
      </w:r>
    </w:p>
    <w:p w:rsidR="003609B1" w:rsidRPr="00DB7748" w:rsidRDefault="003609B1" w:rsidP="003609B1">
      <w:pPr>
        <w:pStyle w:val="Paragraphedeliste"/>
        <w:spacing w:before="120" w:after="240"/>
        <w:ind w:left="709"/>
        <w:jc w:val="both"/>
        <w:rPr>
          <w:rFonts w:ascii="Cambria" w:hAnsi="Cambria"/>
          <w:sz w:val="24"/>
          <w:szCs w:val="24"/>
        </w:rPr>
      </w:pPr>
    </w:p>
    <w:p w:rsidR="003609B1" w:rsidRPr="00DB7748" w:rsidRDefault="003609B1" w:rsidP="003609B1">
      <w:pPr>
        <w:pStyle w:val="Paragraphedeliste"/>
        <w:numPr>
          <w:ilvl w:val="0"/>
          <w:numId w:val="3"/>
        </w:numPr>
        <w:spacing w:before="120" w:after="240"/>
        <w:ind w:left="709"/>
        <w:jc w:val="both"/>
        <w:rPr>
          <w:rFonts w:ascii="Cambria" w:hAnsi="Cambria"/>
          <w:sz w:val="24"/>
          <w:szCs w:val="24"/>
        </w:rPr>
      </w:pPr>
      <w:r w:rsidRPr="00DB7748">
        <w:rPr>
          <w:rFonts w:ascii="Cambria" w:hAnsi="Cambria"/>
          <w:sz w:val="24"/>
          <w:szCs w:val="24"/>
        </w:rPr>
        <w:t xml:space="preserve">Association Te </w:t>
      </w:r>
      <w:proofErr w:type="spellStart"/>
      <w:r w:rsidRPr="00DB7748">
        <w:rPr>
          <w:rFonts w:ascii="Cambria" w:hAnsi="Cambria"/>
          <w:sz w:val="24"/>
          <w:szCs w:val="24"/>
        </w:rPr>
        <w:t>Mehani</w:t>
      </w:r>
      <w:proofErr w:type="spellEnd"/>
      <w:r w:rsidRPr="00DB7748">
        <w:rPr>
          <w:rFonts w:ascii="Cambria" w:hAnsi="Cambria"/>
          <w:sz w:val="24"/>
          <w:szCs w:val="24"/>
        </w:rPr>
        <w:t xml:space="preserve"> </w:t>
      </w:r>
      <w:proofErr w:type="spellStart"/>
      <w:r w:rsidRPr="00DB7748">
        <w:rPr>
          <w:rFonts w:ascii="Cambria" w:hAnsi="Cambria"/>
          <w:sz w:val="24"/>
          <w:szCs w:val="24"/>
        </w:rPr>
        <w:t>Ura</w:t>
      </w:r>
      <w:proofErr w:type="spellEnd"/>
      <w:r w:rsidRPr="00DB7748">
        <w:rPr>
          <w:rFonts w:ascii="Cambria" w:hAnsi="Cambria"/>
          <w:sz w:val="24"/>
          <w:szCs w:val="24"/>
        </w:rPr>
        <w:t xml:space="preserve"> pour un montant de 300.000 </w:t>
      </w:r>
      <w:proofErr w:type="spellStart"/>
      <w:r w:rsidRPr="00DB7748">
        <w:rPr>
          <w:rFonts w:ascii="Cambria" w:hAnsi="Cambria"/>
          <w:sz w:val="24"/>
          <w:szCs w:val="24"/>
        </w:rPr>
        <w:t>Fcfp</w:t>
      </w:r>
      <w:proofErr w:type="spellEnd"/>
      <w:r w:rsidRPr="00DB7748">
        <w:rPr>
          <w:rFonts w:ascii="Cambria" w:hAnsi="Cambria"/>
          <w:sz w:val="24"/>
          <w:szCs w:val="24"/>
        </w:rPr>
        <w:t xml:space="preserve"> pour la participation à la </w:t>
      </w:r>
      <w:proofErr w:type="spellStart"/>
      <w:r w:rsidRPr="00DB7748">
        <w:rPr>
          <w:rFonts w:ascii="Cambria" w:hAnsi="Cambria"/>
          <w:sz w:val="24"/>
          <w:szCs w:val="24"/>
        </w:rPr>
        <w:t>T</w:t>
      </w:r>
      <w:r>
        <w:rPr>
          <w:rFonts w:ascii="Cambria" w:hAnsi="Cambria"/>
          <w:sz w:val="24"/>
          <w:szCs w:val="24"/>
        </w:rPr>
        <w:t>oa</w:t>
      </w:r>
      <w:proofErr w:type="spellEnd"/>
      <w:r w:rsidRPr="00DB7748">
        <w:rPr>
          <w:rFonts w:ascii="Cambria" w:hAnsi="Cambria"/>
          <w:sz w:val="24"/>
          <w:szCs w:val="24"/>
        </w:rPr>
        <w:t xml:space="preserve"> </w:t>
      </w:r>
      <w:proofErr w:type="spellStart"/>
      <w:r w:rsidRPr="00DB7748">
        <w:rPr>
          <w:rFonts w:ascii="Cambria" w:hAnsi="Cambria"/>
          <w:sz w:val="24"/>
          <w:szCs w:val="24"/>
        </w:rPr>
        <w:t>M</w:t>
      </w:r>
      <w:r>
        <w:rPr>
          <w:rFonts w:ascii="Cambria" w:hAnsi="Cambria"/>
          <w:sz w:val="24"/>
          <w:szCs w:val="24"/>
        </w:rPr>
        <w:t>o</w:t>
      </w:r>
      <w:r w:rsidRPr="00DB7748">
        <w:rPr>
          <w:rFonts w:ascii="Cambria" w:hAnsi="Cambria"/>
          <w:sz w:val="24"/>
          <w:szCs w:val="24"/>
        </w:rPr>
        <w:t>’</w:t>
      </w:r>
      <w:r>
        <w:rPr>
          <w:rFonts w:ascii="Cambria" w:hAnsi="Cambria"/>
          <w:sz w:val="24"/>
          <w:szCs w:val="24"/>
        </w:rPr>
        <w:t>a</w:t>
      </w:r>
      <w:proofErr w:type="spellEnd"/>
      <w:r w:rsidRPr="00DB7748">
        <w:rPr>
          <w:rFonts w:ascii="Cambria" w:hAnsi="Cambria"/>
          <w:sz w:val="24"/>
          <w:szCs w:val="24"/>
        </w:rPr>
        <w:t xml:space="preserve"> 2019 à </w:t>
      </w:r>
      <w:proofErr w:type="spellStart"/>
      <w:r w:rsidRPr="00DB7748">
        <w:rPr>
          <w:rFonts w:ascii="Cambria" w:hAnsi="Cambria"/>
          <w:sz w:val="24"/>
          <w:szCs w:val="24"/>
        </w:rPr>
        <w:t>Huahine</w:t>
      </w:r>
      <w:proofErr w:type="spellEnd"/>
      <w:r w:rsidRPr="00DB7748">
        <w:rPr>
          <w:rFonts w:ascii="Cambria" w:hAnsi="Cambria"/>
          <w:sz w:val="24"/>
          <w:szCs w:val="24"/>
        </w:rPr>
        <w:t xml:space="preserve"> ;</w:t>
      </w:r>
    </w:p>
    <w:p w:rsidR="003609B1" w:rsidRPr="00DB7748" w:rsidRDefault="003609B1" w:rsidP="003609B1">
      <w:pPr>
        <w:pStyle w:val="Paragraphedeliste"/>
        <w:spacing w:before="120" w:after="240"/>
        <w:ind w:left="709"/>
        <w:jc w:val="both"/>
        <w:rPr>
          <w:rFonts w:ascii="Cambria" w:hAnsi="Cambria"/>
          <w:sz w:val="24"/>
          <w:szCs w:val="24"/>
        </w:rPr>
      </w:pPr>
    </w:p>
    <w:p w:rsidR="003609B1" w:rsidRPr="00DB7748" w:rsidRDefault="003609B1" w:rsidP="003609B1">
      <w:pPr>
        <w:pStyle w:val="Paragraphedeliste"/>
        <w:numPr>
          <w:ilvl w:val="0"/>
          <w:numId w:val="3"/>
        </w:numPr>
        <w:spacing w:before="120" w:after="240"/>
        <w:ind w:left="709"/>
        <w:jc w:val="both"/>
        <w:rPr>
          <w:rFonts w:ascii="Cambria" w:hAnsi="Cambria"/>
          <w:sz w:val="24"/>
          <w:szCs w:val="24"/>
        </w:rPr>
      </w:pPr>
      <w:r w:rsidRPr="00DB7748">
        <w:rPr>
          <w:rFonts w:ascii="Cambria" w:hAnsi="Cambria"/>
          <w:sz w:val="24"/>
          <w:szCs w:val="24"/>
        </w:rPr>
        <w:t xml:space="preserve">Fédération des associations des jeunes de Punaauia pour un montant de 830.000 </w:t>
      </w:r>
      <w:proofErr w:type="spellStart"/>
      <w:r w:rsidRPr="00DB7748">
        <w:rPr>
          <w:rFonts w:ascii="Cambria" w:hAnsi="Cambria"/>
          <w:sz w:val="24"/>
          <w:szCs w:val="24"/>
        </w:rPr>
        <w:t>Fcfp</w:t>
      </w:r>
      <w:proofErr w:type="spellEnd"/>
      <w:r w:rsidRPr="00DB7748">
        <w:rPr>
          <w:rFonts w:ascii="Cambria" w:hAnsi="Cambria"/>
          <w:sz w:val="24"/>
          <w:szCs w:val="24"/>
        </w:rPr>
        <w:t xml:space="preserve"> pour la particip</w:t>
      </w:r>
      <w:r>
        <w:rPr>
          <w:rFonts w:ascii="Cambria" w:hAnsi="Cambria"/>
          <w:sz w:val="24"/>
          <w:szCs w:val="24"/>
        </w:rPr>
        <w:t xml:space="preserve">ation au Challenge </w:t>
      </w:r>
      <w:proofErr w:type="spellStart"/>
      <w:r>
        <w:rPr>
          <w:rFonts w:ascii="Cambria" w:hAnsi="Cambria"/>
          <w:sz w:val="24"/>
          <w:szCs w:val="24"/>
        </w:rPr>
        <w:t>Makemo</w:t>
      </w:r>
      <w:proofErr w:type="spellEnd"/>
      <w:r>
        <w:rPr>
          <w:rFonts w:ascii="Cambria" w:hAnsi="Cambria"/>
          <w:sz w:val="24"/>
          <w:szCs w:val="24"/>
        </w:rPr>
        <w:t xml:space="preserve"> 2019.</w:t>
      </w:r>
    </w:p>
    <w:p w:rsidR="003609B1" w:rsidRPr="00DB7748" w:rsidRDefault="003609B1" w:rsidP="003609B1">
      <w:pPr>
        <w:widowControl w:val="0"/>
        <w:autoSpaceDE w:val="0"/>
        <w:autoSpaceDN w:val="0"/>
        <w:adjustRightInd w:val="0"/>
        <w:jc w:val="both"/>
        <w:rPr>
          <w:rFonts w:ascii="Cambria" w:hAnsi="Cambria"/>
          <w:b/>
        </w:rPr>
      </w:pPr>
    </w:p>
    <w:p w:rsidR="003609B1" w:rsidRPr="00DB7748" w:rsidRDefault="003609B1" w:rsidP="003609B1">
      <w:pPr>
        <w:widowControl w:val="0"/>
        <w:autoSpaceDE w:val="0"/>
        <w:autoSpaceDN w:val="0"/>
        <w:adjustRightInd w:val="0"/>
        <w:jc w:val="both"/>
        <w:rPr>
          <w:rFonts w:ascii="Cambria" w:hAnsi="Cambria" w:cs="Century Schoolbook"/>
          <w:b/>
        </w:rPr>
      </w:pPr>
      <w:r>
        <w:rPr>
          <w:rFonts w:ascii="Cambria" w:hAnsi="Cambria" w:cs="Century Schoolbook"/>
          <w:b/>
        </w:rPr>
        <w:t>Soutien au</w:t>
      </w:r>
      <w:r w:rsidRPr="00DB7748">
        <w:rPr>
          <w:rFonts w:ascii="Cambria" w:hAnsi="Cambria" w:cs="Century Schoolbook"/>
          <w:b/>
        </w:rPr>
        <w:t xml:space="preserve"> Salon du livre </w:t>
      </w:r>
      <w:r>
        <w:rPr>
          <w:rFonts w:ascii="Cambria" w:hAnsi="Cambria" w:cs="Century Schoolbook"/>
          <w:b/>
        </w:rPr>
        <w:t>de Raiatea</w:t>
      </w:r>
    </w:p>
    <w:p w:rsidR="003609B1" w:rsidRPr="00DB7748" w:rsidRDefault="003609B1" w:rsidP="003609B1">
      <w:pPr>
        <w:widowControl w:val="0"/>
        <w:autoSpaceDE w:val="0"/>
        <w:autoSpaceDN w:val="0"/>
        <w:adjustRightInd w:val="0"/>
        <w:jc w:val="both"/>
        <w:rPr>
          <w:rFonts w:ascii="Cambria" w:hAnsi="Cambria" w:cs="Century Schoolbook"/>
        </w:rPr>
      </w:pPr>
    </w:p>
    <w:p w:rsidR="003609B1" w:rsidRDefault="003609B1" w:rsidP="003609B1">
      <w:pPr>
        <w:widowControl w:val="0"/>
        <w:autoSpaceDE w:val="0"/>
        <w:autoSpaceDN w:val="0"/>
        <w:adjustRightInd w:val="0"/>
        <w:jc w:val="both"/>
        <w:rPr>
          <w:rFonts w:ascii="Cambria" w:hAnsi="Cambria"/>
        </w:rPr>
      </w:pPr>
      <w:r w:rsidRPr="00DB7748">
        <w:rPr>
          <w:rFonts w:ascii="Cambria" w:hAnsi="Cambria"/>
        </w:rPr>
        <w:t>Le Conseil des ministres a octroyé une subvention de fonctionnement</w:t>
      </w:r>
      <w:r>
        <w:rPr>
          <w:rFonts w:ascii="Cambria" w:hAnsi="Cambria"/>
        </w:rPr>
        <w:t xml:space="preserve">, d’un montant de 150 000 </w:t>
      </w:r>
      <w:proofErr w:type="spellStart"/>
      <w:r>
        <w:rPr>
          <w:rFonts w:ascii="Cambria" w:hAnsi="Cambria"/>
        </w:rPr>
        <w:t>Fcfp</w:t>
      </w:r>
      <w:proofErr w:type="spellEnd"/>
      <w:r>
        <w:rPr>
          <w:rFonts w:ascii="Cambria" w:hAnsi="Cambria"/>
        </w:rPr>
        <w:t>,</w:t>
      </w:r>
      <w:r w:rsidRPr="00DB7748">
        <w:rPr>
          <w:rFonts w:ascii="Cambria" w:hAnsi="Cambria"/>
        </w:rPr>
        <w:t xml:space="preserve"> e</w:t>
      </w:r>
      <w:r>
        <w:rPr>
          <w:rFonts w:ascii="Cambria" w:hAnsi="Cambria"/>
        </w:rPr>
        <w:t>n faveur de l'Association lire Sous le V</w:t>
      </w:r>
      <w:r w:rsidRPr="00DB7748">
        <w:rPr>
          <w:rFonts w:ascii="Cambria" w:hAnsi="Cambria"/>
        </w:rPr>
        <w:t>ent pour financer l'organisation du salon du livre 2019 de Raiate</w:t>
      </w:r>
      <w:r>
        <w:rPr>
          <w:rFonts w:ascii="Cambria" w:hAnsi="Cambria"/>
        </w:rPr>
        <w:t>a.</w:t>
      </w:r>
    </w:p>
    <w:p w:rsidR="003609B1" w:rsidRPr="00DB7748" w:rsidRDefault="003609B1" w:rsidP="003609B1">
      <w:pPr>
        <w:widowControl w:val="0"/>
        <w:autoSpaceDE w:val="0"/>
        <w:autoSpaceDN w:val="0"/>
        <w:adjustRightInd w:val="0"/>
        <w:jc w:val="both"/>
        <w:rPr>
          <w:rFonts w:ascii="Cambria" w:hAnsi="Cambria"/>
        </w:rPr>
      </w:pPr>
    </w:p>
    <w:p w:rsidR="003609B1" w:rsidRPr="00DB7748" w:rsidRDefault="003609B1" w:rsidP="003609B1">
      <w:pPr>
        <w:pStyle w:val="-LettreObjetGEDA"/>
        <w:tabs>
          <w:tab w:val="left" w:pos="709"/>
        </w:tabs>
        <w:spacing w:before="0" w:line="276" w:lineRule="auto"/>
        <w:ind w:left="0" w:firstLine="0"/>
        <w:rPr>
          <w:rFonts w:ascii="Cambria" w:hAnsi="Cambria"/>
          <w:noProof w:val="0"/>
        </w:rPr>
      </w:pPr>
      <w:r>
        <w:rPr>
          <w:rFonts w:ascii="Cambria" w:hAnsi="Cambria"/>
          <w:noProof w:val="0"/>
        </w:rPr>
        <w:t>L’association lire Sous le V</w:t>
      </w:r>
      <w:r w:rsidRPr="00DB7748">
        <w:rPr>
          <w:rFonts w:ascii="Cambria" w:hAnsi="Cambria"/>
          <w:noProof w:val="0"/>
        </w:rPr>
        <w:t>ent a été créée en 2008 et a pour but la promotion de la culture et de la lecture sur l’île de Raiatea et, en partenariat avec d’autres associations dont celle des Editeurs de Tahiti (AETI), pour l’ensemble des îles de la Polynésie française.</w:t>
      </w:r>
      <w:r>
        <w:rPr>
          <w:rFonts w:ascii="Cambria" w:hAnsi="Cambria"/>
          <w:noProof w:val="0"/>
        </w:rPr>
        <w:t xml:space="preserve"> </w:t>
      </w:r>
      <w:r w:rsidRPr="00DB7748">
        <w:rPr>
          <w:rFonts w:ascii="Cambria" w:hAnsi="Cambria"/>
        </w:rPr>
        <w:t xml:space="preserve">Le salon se tiendra du 19 au 23 novembre </w:t>
      </w:r>
      <w:r>
        <w:rPr>
          <w:rFonts w:ascii="Cambria" w:hAnsi="Cambria"/>
        </w:rPr>
        <w:t>prochains.</w:t>
      </w:r>
    </w:p>
    <w:p w:rsidR="009C0B15" w:rsidRDefault="009C0B15" w:rsidP="00DB7748">
      <w:pPr>
        <w:rPr>
          <w:rFonts w:ascii="Cambria" w:hAnsi="Cambria"/>
          <w:b/>
        </w:rPr>
      </w:pPr>
    </w:p>
    <w:p w:rsidR="003609B1" w:rsidRDefault="003609B1" w:rsidP="00DB7748">
      <w:pPr>
        <w:rPr>
          <w:rFonts w:ascii="Cambria" w:hAnsi="Cambria"/>
          <w:b/>
        </w:rPr>
      </w:pPr>
    </w:p>
    <w:p w:rsidR="003B3007" w:rsidRDefault="003F19ED" w:rsidP="003B3007">
      <w:pPr>
        <w:jc w:val="both"/>
        <w:rPr>
          <w:rFonts w:asciiTheme="majorHAnsi" w:hAnsiTheme="majorHAnsi"/>
          <w:b/>
        </w:rPr>
      </w:pPr>
      <w:r w:rsidRPr="003F19ED">
        <w:rPr>
          <w:rFonts w:asciiTheme="majorHAnsi" w:hAnsiTheme="majorHAnsi"/>
          <w:b/>
        </w:rPr>
        <w:t>Déclaration d’utilité publique pour l’aménagement de</w:t>
      </w:r>
      <w:r w:rsidR="00274191">
        <w:rPr>
          <w:rFonts w:asciiTheme="majorHAnsi" w:hAnsiTheme="majorHAnsi"/>
          <w:b/>
        </w:rPr>
        <w:t xml:space="preserve"> la plage de </w:t>
      </w:r>
      <w:proofErr w:type="spellStart"/>
      <w:r w:rsidR="00274191">
        <w:rPr>
          <w:rFonts w:asciiTheme="majorHAnsi" w:hAnsiTheme="majorHAnsi"/>
          <w:b/>
        </w:rPr>
        <w:t>Makarea</w:t>
      </w:r>
      <w:proofErr w:type="spellEnd"/>
      <w:r w:rsidR="00274191">
        <w:rPr>
          <w:rFonts w:asciiTheme="majorHAnsi" w:hAnsiTheme="majorHAnsi"/>
          <w:b/>
        </w:rPr>
        <w:t xml:space="preserve"> à </w:t>
      </w:r>
      <w:proofErr w:type="spellStart"/>
      <w:r w:rsidR="00274191">
        <w:rPr>
          <w:rFonts w:asciiTheme="majorHAnsi" w:hAnsiTheme="majorHAnsi"/>
          <w:b/>
        </w:rPr>
        <w:t>Fakarava</w:t>
      </w:r>
      <w:proofErr w:type="spellEnd"/>
    </w:p>
    <w:p w:rsidR="00E64A1C" w:rsidRDefault="00E64A1C" w:rsidP="003B3007">
      <w:pPr>
        <w:jc w:val="both"/>
        <w:rPr>
          <w:rFonts w:asciiTheme="majorHAnsi" w:hAnsiTheme="majorHAnsi"/>
          <w:b/>
        </w:rPr>
      </w:pPr>
    </w:p>
    <w:p w:rsidR="00E64A1C" w:rsidRPr="00E64A1C" w:rsidRDefault="00E64A1C" w:rsidP="00E64A1C">
      <w:pPr>
        <w:pStyle w:val="-LettreSuiteORefPJGEDA"/>
        <w:spacing w:before="120"/>
        <w:ind w:left="0"/>
        <w:rPr>
          <w:rFonts w:ascii="Cambria" w:hAnsi="Cambria"/>
        </w:rPr>
      </w:pPr>
      <w:r w:rsidRPr="00E64A1C">
        <w:rPr>
          <w:rFonts w:ascii="Cambria" w:hAnsi="Cambria"/>
        </w:rPr>
        <w:t>L’atoll de Fakarava, dans l’archipel des Tuamotu, est un lieu d’accueil incontournable pour les navires de croisières et son potentiel est avéré. Dès 2015, la commune de Fakarava avait exprimé le souhait de développer le tourisme sur son atoll et, dans cette optique, envisagé l’aménagement d’une plage à grande capacité sur le site de Makarea.</w:t>
      </w:r>
    </w:p>
    <w:p w:rsidR="00E64A1C" w:rsidRPr="00E64A1C" w:rsidRDefault="00E64A1C" w:rsidP="00E64A1C">
      <w:pPr>
        <w:pStyle w:val="-LettreTexteGEDA"/>
        <w:ind w:firstLine="0"/>
        <w:rPr>
          <w:rFonts w:ascii="Cambria" w:hAnsi="Cambria"/>
        </w:rPr>
      </w:pPr>
      <w:r w:rsidRPr="00E64A1C">
        <w:rPr>
          <w:rFonts w:ascii="Cambria" w:hAnsi="Cambria"/>
        </w:rPr>
        <w:t>Ce site possède en effet un espace maritime remarquable, avec un littoral et une plage déjà profilée ainsi qu’un espace terrestre exploitable de façon optimale permettant la création d’une zone d’accueil des croisiéristes, le tout desservi par une route bitumée. Ce site a clairement été identifié comme le site idéal pouvant assurer ce rôle. Au regard du potentiel de cet espace, le Pays a décidé de participer à l’élaboration et à l’aménagement de ce projet.</w:t>
      </w:r>
    </w:p>
    <w:p w:rsidR="00E64A1C" w:rsidRPr="00E64A1C" w:rsidRDefault="00E64A1C" w:rsidP="003B3007">
      <w:pPr>
        <w:jc w:val="both"/>
        <w:rPr>
          <w:rFonts w:ascii="Cambria" w:hAnsi="Cambria"/>
          <w:b/>
        </w:rPr>
      </w:pPr>
    </w:p>
    <w:p w:rsidR="00DB7748" w:rsidRPr="00E64A1C" w:rsidRDefault="003F19ED" w:rsidP="00B81BC7">
      <w:pPr>
        <w:jc w:val="both"/>
        <w:rPr>
          <w:rFonts w:ascii="Cambria" w:hAnsi="Cambria"/>
        </w:rPr>
      </w:pPr>
      <w:r w:rsidRPr="00E64A1C">
        <w:rPr>
          <w:rFonts w:ascii="Cambria" w:hAnsi="Cambria"/>
        </w:rPr>
        <w:t xml:space="preserve">Le Conseil des ministres a </w:t>
      </w:r>
      <w:r w:rsidR="00E64A1C" w:rsidRPr="00E64A1C">
        <w:rPr>
          <w:rFonts w:ascii="Cambria" w:hAnsi="Cambria"/>
        </w:rPr>
        <w:t xml:space="preserve">donc </w:t>
      </w:r>
      <w:r w:rsidRPr="00E64A1C">
        <w:rPr>
          <w:rFonts w:ascii="Cambria" w:hAnsi="Cambria"/>
        </w:rPr>
        <w:t xml:space="preserve">pris un arrêté portant déclaration d’utilité publique </w:t>
      </w:r>
      <w:r w:rsidR="00274191" w:rsidRPr="00E64A1C">
        <w:rPr>
          <w:rFonts w:ascii="Cambria" w:hAnsi="Cambria"/>
        </w:rPr>
        <w:t xml:space="preserve">pour </w:t>
      </w:r>
      <w:r w:rsidRPr="00E64A1C">
        <w:rPr>
          <w:rFonts w:ascii="Cambria" w:hAnsi="Cambria"/>
        </w:rPr>
        <w:t xml:space="preserve">l’aménagement de la plage de </w:t>
      </w:r>
      <w:proofErr w:type="spellStart"/>
      <w:r w:rsidRPr="00E64A1C">
        <w:rPr>
          <w:rFonts w:ascii="Cambria" w:hAnsi="Cambria"/>
        </w:rPr>
        <w:t>Makarea</w:t>
      </w:r>
      <w:proofErr w:type="spellEnd"/>
      <w:r w:rsidR="00274191" w:rsidRPr="00E64A1C">
        <w:rPr>
          <w:rFonts w:ascii="Cambria" w:hAnsi="Cambria"/>
        </w:rPr>
        <w:t>,</w:t>
      </w:r>
      <w:r w:rsidR="00E64A1C" w:rsidRPr="00E64A1C">
        <w:rPr>
          <w:rFonts w:ascii="Cambria" w:hAnsi="Cambria"/>
        </w:rPr>
        <w:t xml:space="preserve"> à </w:t>
      </w:r>
      <w:proofErr w:type="spellStart"/>
      <w:r w:rsidR="00E64A1C" w:rsidRPr="00E64A1C">
        <w:rPr>
          <w:rFonts w:ascii="Cambria" w:hAnsi="Cambria"/>
        </w:rPr>
        <w:t>Fakarava</w:t>
      </w:r>
      <w:proofErr w:type="spellEnd"/>
      <w:r w:rsidRPr="00E64A1C">
        <w:rPr>
          <w:rFonts w:ascii="Cambria" w:hAnsi="Cambria"/>
        </w:rPr>
        <w:t>.</w:t>
      </w:r>
      <w:r w:rsidR="00E64A1C" w:rsidRPr="00E64A1C">
        <w:rPr>
          <w:rFonts w:ascii="Cambria" w:hAnsi="Cambria"/>
        </w:rPr>
        <w:t xml:space="preserve"> </w:t>
      </w:r>
      <w:r w:rsidRPr="00E64A1C">
        <w:rPr>
          <w:rFonts w:ascii="Cambria" w:hAnsi="Cambria"/>
        </w:rPr>
        <w:t xml:space="preserve">Cet arrêté a été pris après deux enquêtes publiques conjointes, </w:t>
      </w:r>
      <w:r w:rsidR="00274191" w:rsidRPr="00E64A1C">
        <w:rPr>
          <w:rFonts w:ascii="Cambria" w:hAnsi="Cambria"/>
        </w:rPr>
        <w:t xml:space="preserve">menées du 17 avril au 7 mai dernier, </w:t>
      </w:r>
      <w:r w:rsidRPr="00E64A1C">
        <w:rPr>
          <w:rFonts w:ascii="Cambria" w:hAnsi="Cambria"/>
        </w:rPr>
        <w:t>l’une préalable à la déclaration d’utilité publique et l’autre parcellaire, en vue de la maîtrise des parcelles de terre nécessaires à l’amén</w:t>
      </w:r>
      <w:r w:rsidR="00274191" w:rsidRPr="00E64A1C">
        <w:rPr>
          <w:rFonts w:ascii="Cambria" w:hAnsi="Cambria"/>
        </w:rPr>
        <w:t xml:space="preserve">agement de la plage de </w:t>
      </w:r>
      <w:proofErr w:type="spellStart"/>
      <w:r w:rsidR="00274191" w:rsidRPr="00E64A1C">
        <w:rPr>
          <w:rFonts w:ascii="Cambria" w:hAnsi="Cambria"/>
        </w:rPr>
        <w:t>Makarea</w:t>
      </w:r>
      <w:proofErr w:type="spellEnd"/>
      <w:r w:rsidR="00274191" w:rsidRPr="00E64A1C">
        <w:rPr>
          <w:rFonts w:ascii="Cambria" w:hAnsi="Cambria"/>
        </w:rPr>
        <w:t xml:space="preserve">. </w:t>
      </w:r>
      <w:r w:rsidRPr="00E64A1C">
        <w:rPr>
          <w:rFonts w:ascii="Cambria" w:hAnsi="Cambria"/>
        </w:rPr>
        <w:t xml:space="preserve">Le commissaire enquêteur, désigné à cet effet, a conclu avec un avis favorable son rapport sur le sujet début juin. </w:t>
      </w:r>
    </w:p>
    <w:p w:rsidR="003609B1" w:rsidRPr="00B81BC7" w:rsidRDefault="003609B1" w:rsidP="00B81BC7">
      <w:pPr>
        <w:jc w:val="both"/>
        <w:rPr>
          <w:rFonts w:asciiTheme="majorHAnsi" w:hAnsiTheme="majorHAnsi"/>
        </w:rPr>
      </w:pPr>
    </w:p>
    <w:p w:rsidR="008059E4" w:rsidRPr="006A3579" w:rsidRDefault="00CE47CE" w:rsidP="006A3579">
      <w:pPr>
        <w:widowControl w:val="0"/>
        <w:autoSpaceDE w:val="0"/>
        <w:autoSpaceDN w:val="0"/>
        <w:adjustRightInd w:val="0"/>
        <w:jc w:val="center"/>
        <w:rPr>
          <w:rFonts w:ascii="Cambria" w:hAnsi="Cambria" w:cs="Century Schoolbook"/>
        </w:rPr>
      </w:pPr>
      <w:r w:rsidRPr="004377F6">
        <w:rPr>
          <w:rFonts w:ascii="Cambria" w:hAnsi="Cambria" w:cs="Century Schoolbook"/>
        </w:rPr>
        <w:t>-o-o-o-o-o-</w:t>
      </w:r>
    </w:p>
    <w:sectPr w:rsidR="008059E4" w:rsidRPr="006A3579"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9C7" w:rsidRDefault="00C219C7">
      <w:r>
        <w:separator/>
      </w:r>
    </w:p>
  </w:endnote>
  <w:endnote w:type="continuationSeparator" w:id="0">
    <w:p w:rsidR="00C219C7" w:rsidRDefault="00C2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BB" w:rsidRDefault="00C219C7" w:rsidP="00922ABB">
    <w:pPr>
      <w:pStyle w:val="Pieddepage"/>
      <w:ind w:right="360"/>
    </w:pPr>
    <w:sdt>
      <w:sdtPr>
        <w:id w:val="969400743"/>
        <w:temporary/>
        <w:showingPlcHdr/>
      </w:sdtPr>
      <w:sdtEndPr/>
      <w:sdtContent>
        <w:r w:rsidR="00922ABB">
          <w:t>[Tapez le texte]</w:t>
        </w:r>
      </w:sdtContent>
    </w:sdt>
    <w:r w:rsidR="00922ABB">
      <w:ptab w:relativeTo="margin" w:alignment="center" w:leader="none"/>
    </w:r>
    <w:sdt>
      <w:sdtPr>
        <w:id w:val="969400748"/>
        <w:temporary/>
        <w:showingPlcHdr/>
      </w:sdtPr>
      <w:sdtEndPr/>
      <w:sdtContent>
        <w:r w:rsidR="00922ABB">
          <w:t>[Tapez le texte]</w:t>
        </w:r>
      </w:sdtContent>
    </w:sdt>
    <w:r w:rsidR="00922ABB">
      <w:ptab w:relativeTo="margin" w:alignment="right" w:leader="none"/>
    </w:r>
    <w:sdt>
      <w:sdtPr>
        <w:id w:val="969400753"/>
        <w:temporary/>
        <w:showingPlcHdr/>
      </w:sdtPr>
      <w:sdtEndPr/>
      <w:sdtContent>
        <w:r w:rsidR="00922ABB">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Pr="00BA209E" w:rsidRDefault="00922ABB" w:rsidP="00922ABB">
    <w:pPr>
      <w:pStyle w:val="Pieddepage"/>
      <w:jc w:val="center"/>
      <w:rPr>
        <w:i/>
        <w:sz w:val="20"/>
        <w:szCs w:val="20"/>
      </w:rPr>
    </w:pPr>
    <w:r w:rsidRPr="00BA209E">
      <w:rPr>
        <w:i/>
        <w:sz w:val="20"/>
        <w:szCs w:val="20"/>
      </w:rPr>
      <w:t>Présidence de la Polynésie Française</w:t>
    </w:r>
  </w:p>
  <w:p w:rsidR="00922ABB" w:rsidRPr="00BA209E" w:rsidRDefault="00922ABB" w:rsidP="00922ABB">
    <w:pPr>
      <w:pStyle w:val="Pieddepage"/>
      <w:jc w:val="center"/>
      <w:rPr>
        <w:i/>
        <w:sz w:val="20"/>
        <w:szCs w:val="20"/>
      </w:rPr>
    </w:pPr>
    <w:r w:rsidRPr="00BA209E">
      <w:rPr>
        <w:i/>
        <w:sz w:val="20"/>
        <w:szCs w:val="20"/>
      </w:rPr>
      <w:t xml:space="preserve">Service </w:t>
    </w:r>
    <w:r>
      <w:rPr>
        <w:i/>
        <w:sz w:val="20"/>
        <w:szCs w:val="20"/>
      </w:rPr>
      <w:t>de la communication</w:t>
    </w:r>
  </w:p>
  <w:p w:rsidR="00922ABB" w:rsidRPr="00BA209E" w:rsidRDefault="00C219C7" w:rsidP="00922ABB">
    <w:pPr>
      <w:pStyle w:val="Pieddepage"/>
      <w:jc w:val="center"/>
      <w:rPr>
        <w:sz w:val="20"/>
        <w:szCs w:val="20"/>
      </w:rPr>
    </w:pPr>
    <w:hyperlink r:id="rId1" w:history="1">
      <w:r w:rsidR="00922ABB" w:rsidRPr="00E264FC">
        <w:rPr>
          <w:rStyle w:val="Lienhypertexte"/>
          <w:sz w:val="20"/>
        </w:rPr>
        <w:t>communication@presidence.pf</w:t>
      </w:r>
    </w:hyperlink>
    <w:r w:rsidR="00922ABB" w:rsidRPr="00BA209E">
      <w:rPr>
        <w:sz w:val="20"/>
        <w:szCs w:val="20"/>
      </w:rPr>
      <w:t xml:space="preserve"> – </w:t>
    </w:r>
    <w:r w:rsidR="00922ABB">
      <w:rPr>
        <w:sz w:val="20"/>
        <w:szCs w:val="20"/>
      </w:rPr>
      <w:t xml:space="preserve">40 </w:t>
    </w:r>
    <w:r w:rsidR="00922ABB" w:rsidRPr="00BA209E">
      <w:rPr>
        <w:sz w:val="20"/>
        <w:szCs w:val="20"/>
      </w:rPr>
      <w:t>47 20 00</w:t>
    </w:r>
  </w:p>
  <w:p w:rsidR="00922ABB" w:rsidRDefault="00922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9C7" w:rsidRDefault="00C219C7">
      <w:r>
        <w:separator/>
      </w:r>
    </w:p>
  </w:footnote>
  <w:footnote w:type="continuationSeparator" w:id="0">
    <w:p w:rsidR="00C219C7" w:rsidRDefault="00C21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4F2"/>
    <w:multiLevelType w:val="hybridMultilevel"/>
    <w:tmpl w:val="BD607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C53BC9"/>
    <w:multiLevelType w:val="hybridMultilevel"/>
    <w:tmpl w:val="B74A0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B668B"/>
    <w:multiLevelType w:val="hybridMultilevel"/>
    <w:tmpl w:val="41CE10B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EC605E4"/>
    <w:multiLevelType w:val="hybridMultilevel"/>
    <w:tmpl w:val="9FAAA6BA"/>
    <w:lvl w:ilvl="0" w:tplc="6F0C7A84">
      <w:numFmt w:val="bullet"/>
      <w:lvlText w:val="-"/>
      <w:lvlJc w:val="left"/>
      <w:pPr>
        <w:ind w:left="1133" w:hanging="360"/>
      </w:pPr>
      <w:rPr>
        <w:rFonts w:ascii="Times New Roman" w:eastAsia="Calibri" w:hAnsi="Times New Roman" w:cs="Times New Roman"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4">
    <w:nsid w:val="19F04A28"/>
    <w:multiLevelType w:val="hybridMultilevel"/>
    <w:tmpl w:val="DF76381C"/>
    <w:lvl w:ilvl="0" w:tplc="05281BEE">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1B362E02"/>
    <w:multiLevelType w:val="hybridMultilevel"/>
    <w:tmpl w:val="ABDA3C32"/>
    <w:lvl w:ilvl="0" w:tplc="C1F2168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21C12EBC"/>
    <w:multiLevelType w:val="hybridMultilevel"/>
    <w:tmpl w:val="324CE7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nsid w:val="2BB62CFE"/>
    <w:multiLevelType w:val="hybridMultilevel"/>
    <w:tmpl w:val="4C909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B74E5C"/>
    <w:multiLevelType w:val="hybridMultilevel"/>
    <w:tmpl w:val="A058E7BC"/>
    <w:lvl w:ilvl="0" w:tplc="E7F66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903B23"/>
    <w:multiLevelType w:val="hybridMultilevel"/>
    <w:tmpl w:val="6D282ACA"/>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31D29BA"/>
    <w:multiLevelType w:val="hybridMultilevel"/>
    <w:tmpl w:val="83B65624"/>
    <w:lvl w:ilvl="0" w:tplc="D518B2E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380557AA"/>
    <w:multiLevelType w:val="hybridMultilevel"/>
    <w:tmpl w:val="A238D466"/>
    <w:lvl w:ilvl="0" w:tplc="41FA8E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3F205DA2"/>
    <w:multiLevelType w:val="hybridMultilevel"/>
    <w:tmpl w:val="DA64CF74"/>
    <w:lvl w:ilvl="0" w:tplc="23467894">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5">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6">
    <w:nsid w:val="4272626A"/>
    <w:multiLevelType w:val="hybridMultilevel"/>
    <w:tmpl w:val="AC1AED7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D579C8"/>
    <w:multiLevelType w:val="hybridMultilevel"/>
    <w:tmpl w:val="80C48268"/>
    <w:lvl w:ilvl="0" w:tplc="9514CA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A7D3F4C"/>
    <w:multiLevelType w:val="hybridMultilevel"/>
    <w:tmpl w:val="31528024"/>
    <w:lvl w:ilvl="0" w:tplc="E7E602D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C851BEA"/>
    <w:multiLevelType w:val="hybridMultilevel"/>
    <w:tmpl w:val="5BEE112C"/>
    <w:lvl w:ilvl="0" w:tplc="BBC85E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2687911"/>
    <w:multiLevelType w:val="hybridMultilevel"/>
    <w:tmpl w:val="B764170C"/>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4">
    <w:nsid w:val="70941CE0"/>
    <w:multiLevelType w:val="hybridMultilevel"/>
    <w:tmpl w:val="9BB02636"/>
    <w:lvl w:ilvl="0" w:tplc="52201554">
      <w:start w:val="4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DD64253"/>
    <w:multiLevelType w:val="hybridMultilevel"/>
    <w:tmpl w:val="ED963768"/>
    <w:lvl w:ilvl="0" w:tplc="A8C8A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9"/>
  </w:num>
  <w:num w:numId="2">
    <w:abstractNumId w:val="12"/>
  </w:num>
  <w:num w:numId="3">
    <w:abstractNumId w:val="7"/>
  </w:num>
  <w:num w:numId="4">
    <w:abstractNumId w:val="17"/>
  </w:num>
  <w:num w:numId="5">
    <w:abstractNumId w:val="18"/>
  </w:num>
  <w:num w:numId="6">
    <w:abstractNumId w:val="21"/>
  </w:num>
  <w:num w:numId="7">
    <w:abstractNumId w:val="17"/>
  </w:num>
  <w:num w:numId="8">
    <w:abstractNumId w:val="3"/>
  </w:num>
  <w:num w:numId="9">
    <w:abstractNumId w:val="5"/>
  </w:num>
  <w:num w:numId="10">
    <w:abstractNumId w:val="22"/>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4"/>
  </w:num>
  <w:num w:numId="14">
    <w:abstractNumId w:val="14"/>
  </w:num>
  <w:num w:numId="15">
    <w:abstractNumId w:val="15"/>
  </w:num>
  <w:num w:numId="16">
    <w:abstractNumId w:val="26"/>
  </w:num>
  <w:num w:numId="17">
    <w:abstractNumId w:val="16"/>
  </w:num>
  <w:num w:numId="18">
    <w:abstractNumId w:val="9"/>
  </w:num>
  <w:num w:numId="19">
    <w:abstractNumId w:val="8"/>
  </w:num>
  <w:num w:numId="20">
    <w:abstractNumId w:val="25"/>
  </w:num>
  <w:num w:numId="21">
    <w:abstractNumId w:val="4"/>
  </w:num>
  <w:num w:numId="22">
    <w:abstractNumId w:val="10"/>
  </w:num>
  <w:num w:numId="23">
    <w:abstractNumId w:val="19"/>
  </w:num>
  <w:num w:numId="24">
    <w:abstractNumId w:val="7"/>
  </w:num>
  <w:num w:numId="25">
    <w:abstractNumId w:val="6"/>
  </w:num>
  <w:num w:numId="26">
    <w:abstractNumId w:val="2"/>
  </w:num>
  <w:num w:numId="27">
    <w:abstractNumId w:val="13"/>
  </w:num>
  <w:num w:numId="28">
    <w:abstractNumId w:val="11"/>
  </w:num>
  <w:num w:numId="29">
    <w:abstractNumId w:val="0"/>
  </w:num>
  <w:num w:numId="30">
    <w:abstractNumId w:val="19"/>
  </w:num>
  <w:num w:numId="31">
    <w:abstractNumId w:val="7"/>
  </w:num>
  <w:num w:numId="32">
    <w:abstractNumId w:val="1"/>
  </w:num>
  <w:num w:numId="3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508C8"/>
    <w:rsid w:val="00064A61"/>
    <w:rsid w:val="00067C0A"/>
    <w:rsid w:val="000D3A8F"/>
    <w:rsid w:val="000F4926"/>
    <w:rsid w:val="001260E1"/>
    <w:rsid w:val="001A2D2F"/>
    <w:rsid w:val="001C6C5E"/>
    <w:rsid w:val="001E5D7F"/>
    <w:rsid w:val="0022576D"/>
    <w:rsid w:val="002319EB"/>
    <w:rsid w:val="002376E9"/>
    <w:rsid w:val="00270AE2"/>
    <w:rsid w:val="00274191"/>
    <w:rsid w:val="00286FFA"/>
    <w:rsid w:val="00294DCE"/>
    <w:rsid w:val="002A0FAA"/>
    <w:rsid w:val="002E1D40"/>
    <w:rsid w:val="00315D1A"/>
    <w:rsid w:val="003175DF"/>
    <w:rsid w:val="0032141A"/>
    <w:rsid w:val="00335461"/>
    <w:rsid w:val="003444A6"/>
    <w:rsid w:val="0035386E"/>
    <w:rsid w:val="00360712"/>
    <w:rsid w:val="003609B1"/>
    <w:rsid w:val="003625D8"/>
    <w:rsid w:val="00375466"/>
    <w:rsid w:val="003B14D7"/>
    <w:rsid w:val="003B3007"/>
    <w:rsid w:val="003B5A14"/>
    <w:rsid w:val="003B7242"/>
    <w:rsid w:val="003D62F0"/>
    <w:rsid w:val="003F0DC9"/>
    <w:rsid w:val="003F19ED"/>
    <w:rsid w:val="003F3E11"/>
    <w:rsid w:val="00415AE9"/>
    <w:rsid w:val="0042162D"/>
    <w:rsid w:val="0042227C"/>
    <w:rsid w:val="00424B02"/>
    <w:rsid w:val="004443F9"/>
    <w:rsid w:val="00447307"/>
    <w:rsid w:val="00464DBA"/>
    <w:rsid w:val="004824BE"/>
    <w:rsid w:val="004945F1"/>
    <w:rsid w:val="004C0B54"/>
    <w:rsid w:val="004E59E4"/>
    <w:rsid w:val="004F2666"/>
    <w:rsid w:val="004F6AB0"/>
    <w:rsid w:val="005117FB"/>
    <w:rsid w:val="0054277A"/>
    <w:rsid w:val="00580ED3"/>
    <w:rsid w:val="005E175D"/>
    <w:rsid w:val="005F67A7"/>
    <w:rsid w:val="006351F3"/>
    <w:rsid w:val="00636B0B"/>
    <w:rsid w:val="00643F5E"/>
    <w:rsid w:val="006A3579"/>
    <w:rsid w:val="006B623F"/>
    <w:rsid w:val="006E411F"/>
    <w:rsid w:val="006E76C6"/>
    <w:rsid w:val="007052A3"/>
    <w:rsid w:val="00711F71"/>
    <w:rsid w:val="00716A05"/>
    <w:rsid w:val="00734600"/>
    <w:rsid w:val="00745751"/>
    <w:rsid w:val="007503DC"/>
    <w:rsid w:val="00767E72"/>
    <w:rsid w:val="007A6288"/>
    <w:rsid w:val="007A6645"/>
    <w:rsid w:val="007B3B1E"/>
    <w:rsid w:val="007D57D7"/>
    <w:rsid w:val="007E6573"/>
    <w:rsid w:val="008059E4"/>
    <w:rsid w:val="00821E5C"/>
    <w:rsid w:val="00822799"/>
    <w:rsid w:val="0082621E"/>
    <w:rsid w:val="008276FE"/>
    <w:rsid w:val="00852F12"/>
    <w:rsid w:val="008537CB"/>
    <w:rsid w:val="00866990"/>
    <w:rsid w:val="00891EDE"/>
    <w:rsid w:val="008C255E"/>
    <w:rsid w:val="008D6C23"/>
    <w:rsid w:val="008E053C"/>
    <w:rsid w:val="008E4691"/>
    <w:rsid w:val="00906D50"/>
    <w:rsid w:val="00922ABB"/>
    <w:rsid w:val="00954182"/>
    <w:rsid w:val="009B11A7"/>
    <w:rsid w:val="009B73C8"/>
    <w:rsid w:val="009C0B15"/>
    <w:rsid w:val="00A01888"/>
    <w:rsid w:val="00A31AE6"/>
    <w:rsid w:val="00A37716"/>
    <w:rsid w:val="00A40622"/>
    <w:rsid w:val="00A45B8E"/>
    <w:rsid w:val="00A46EA3"/>
    <w:rsid w:val="00A73389"/>
    <w:rsid w:val="00A87746"/>
    <w:rsid w:val="00A93D19"/>
    <w:rsid w:val="00AA198C"/>
    <w:rsid w:val="00AA5DB0"/>
    <w:rsid w:val="00AB7D79"/>
    <w:rsid w:val="00AD5D6D"/>
    <w:rsid w:val="00AD5EDD"/>
    <w:rsid w:val="00AD5EE0"/>
    <w:rsid w:val="00B31AD4"/>
    <w:rsid w:val="00B74014"/>
    <w:rsid w:val="00B81BC7"/>
    <w:rsid w:val="00B846A1"/>
    <w:rsid w:val="00BA3B8B"/>
    <w:rsid w:val="00C109C3"/>
    <w:rsid w:val="00C2035B"/>
    <w:rsid w:val="00C219C7"/>
    <w:rsid w:val="00C25610"/>
    <w:rsid w:val="00C34DFF"/>
    <w:rsid w:val="00C83E94"/>
    <w:rsid w:val="00C84B1D"/>
    <w:rsid w:val="00C85666"/>
    <w:rsid w:val="00C96695"/>
    <w:rsid w:val="00CA099E"/>
    <w:rsid w:val="00CA5FA6"/>
    <w:rsid w:val="00CC0DAF"/>
    <w:rsid w:val="00CD41CD"/>
    <w:rsid w:val="00CE47CE"/>
    <w:rsid w:val="00D032A7"/>
    <w:rsid w:val="00D409EF"/>
    <w:rsid w:val="00D41691"/>
    <w:rsid w:val="00D42763"/>
    <w:rsid w:val="00D54E06"/>
    <w:rsid w:val="00D61A9C"/>
    <w:rsid w:val="00D7269F"/>
    <w:rsid w:val="00D77283"/>
    <w:rsid w:val="00DB7748"/>
    <w:rsid w:val="00DD023E"/>
    <w:rsid w:val="00DE148E"/>
    <w:rsid w:val="00E0177C"/>
    <w:rsid w:val="00E066DB"/>
    <w:rsid w:val="00E069DD"/>
    <w:rsid w:val="00E14BA1"/>
    <w:rsid w:val="00E64585"/>
    <w:rsid w:val="00E64A1C"/>
    <w:rsid w:val="00E6755C"/>
    <w:rsid w:val="00E726CC"/>
    <w:rsid w:val="00E72D76"/>
    <w:rsid w:val="00E75455"/>
    <w:rsid w:val="00EA5932"/>
    <w:rsid w:val="00EA73B5"/>
    <w:rsid w:val="00ED1E0A"/>
    <w:rsid w:val="00EF33F2"/>
    <w:rsid w:val="00EF67B9"/>
    <w:rsid w:val="00F20FFC"/>
    <w:rsid w:val="00F372AE"/>
    <w:rsid w:val="00F41ADF"/>
    <w:rsid w:val="00F868AE"/>
    <w:rsid w:val="00F90E7B"/>
    <w:rsid w:val="00F93C10"/>
    <w:rsid w:val="00F97A26"/>
    <w:rsid w:val="00FA4035"/>
    <w:rsid w:val="00FF4550"/>
    <w:rsid w:val="00FF4E27"/>
    <w:rsid w:val="00FF5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9DA8F-01A4-4D4A-8084-CAD9F0E3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15"/>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16"/>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semiHidden/>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4"/>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53394775">
      <w:bodyDiv w:val="1"/>
      <w:marLeft w:val="0"/>
      <w:marRight w:val="0"/>
      <w:marTop w:val="0"/>
      <w:marBottom w:val="0"/>
      <w:divBdr>
        <w:top w:val="none" w:sz="0" w:space="0" w:color="auto"/>
        <w:left w:val="none" w:sz="0" w:space="0" w:color="auto"/>
        <w:bottom w:val="none" w:sz="0" w:space="0" w:color="auto"/>
        <w:right w:val="none" w:sz="0" w:space="0" w:color="auto"/>
      </w:divBdr>
    </w:div>
    <w:div w:id="1347554587">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438022474">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88616890">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61401204">
      <w:bodyDiv w:val="1"/>
      <w:marLeft w:val="0"/>
      <w:marRight w:val="0"/>
      <w:marTop w:val="0"/>
      <w:marBottom w:val="0"/>
      <w:divBdr>
        <w:top w:val="none" w:sz="0" w:space="0" w:color="auto"/>
        <w:left w:val="none" w:sz="0" w:space="0" w:color="auto"/>
        <w:bottom w:val="none" w:sz="0" w:space="0" w:color="auto"/>
        <w:right w:val="none" w:sz="0" w:space="0" w:color="auto"/>
      </w:divBdr>
    </w:div>
    <w:div w:id="21254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2640</Words>
  <Characters>14522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4</cp:revision>
  <cp:lastPrinted>2019-09-03T19:11:00Z</cp:lastPrinted>
  <dcterms:created xsi:type="dcterms:W3CDTF">2019-09-11T03:59:00Z</dcterms:created>
  <dcterms:modified xsi:type="dcterms:W3CDTF">2019-09-12T00:23:00Z</dcterms:modified>
</cp:coreProperties>
</file>