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BE39A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DB51B3">
        <w:rPr>
          <w:rFonts w:ascii="Cambria" w:hAnsi="Cambria" w:cs="Arial"/>
          <w:b/>
          <w:i/>
        </w:rPr>
        <w:t>6 novembre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DEEDFE"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D7B99" w:rsidRDefault="00BD7B99" w:rsidP="00BD7B99">
      <w:pPr>
        <w:widowControl w:val="0"/>
        <w:autoSpaceDE w:val="0"/>
        <w:autoSpaceDN w:val="0"/>
        <w:adjustRightInd w:val="0"/>
        <w:jc w:val="both"/>
        <w:rPr>
          <w:rFonts w:asciiTheme="majorHAnsi" w:hAnsiTheme="majorHAnsi"/>
        </w:rPr>
      </w:pPr>
    </w:p>
    <w:p w:rsidR="00E021CE" w:rsidRDefault="00E021CE" w:rsidP="00BD7B99">
      <w:pPr>
        <w:widowControl w:val="0"/>
        <w:autoSpaceDE w:val="0"/>
        <w:autoSpaceDN w:val="0"/>
        <w:adjustRightInd w:val="0"/>
        <w:jc w:val="both"/>
        <w:rPr>
          <w:rFonts w:asciiTheme="majorHAnsi" w:hAnsiTheme="majorHAnsi"/>
        </w:rPr>
      </w:pPr>
    </w:p>
    <w:p w:rsidR="006D128B" w:rsidRPr="005E32D1" w:rsidRDefault="006D128B" w:rsidP="006D128B">
      <w:pPr>
        <w:pStyle w:val="-LettreTexteGEDA"/>
        <w:spacing w:before="0"/>
        <w:ind w:firstLine="0"/>
        <w:rPr>
          <w:rFonts w:ascii="Cambria" w:hAnsi="Cambria"/>
          <w:b/>
          <w:noProof w:val="0"/>
          <w:szCs w:val="24"/>
        </w:rPr>
      </w:pPr>
      <w:r w:rsidRPr="005E32D1">
        <w:rPr>
          <w:rFonts w:ascii="Cambria" w:hAnsi="Cambria"/>
          <w:b/>
          <w:noProof w:val="0"/>
          <w:szCs w:val="24"/>
        </w:rPr>
        <w:t xml:space="preserve">Ouverture de la pêche aux </w:t>
      </w:r>
      <w:proofErr w:type="spellStart"/>
      <w:r w:rsidRPr="005E32D1">
        <w:rPr>
          <w:rFonts w:ascii="Cambria" w:hAnsi="Cambria"/>
          <w:b/>
          <w:noProof w:val="0"/>
          <w:szCs w:val="24"/>
        </w:rPr>
        <w:t>trocas</w:t>
      </w:r>
      <w:proofErr w:type="spellEnd"/>
      <w:r w:rsidRPr="005E32D1">
        <w:rPr>
          <w:rFonts w:ascii="Cambria" w:hAnsi="Cambria"/>
          <w:b/>
          <w:noProof w:val="0"/>
          <w:szCs w:val="24"/>
        </w:rPr>
        <w:t xml:space="preserve"> à </w:t>
      </w:r>
      <w:proofErr w:type="spellStart"/>
      <w:r w:rsidRPr="005E32D1">
        <w:rPr>
          <w:rFonts w:ascii="Cambria" w:hAnsi="Cambria"/>
          <w:b/>
          <w:noProof w:val="0"/>
          <w:szCs w:val="24"/>
        </w:rPr>
        <w:t>Uturoa</w:t>
      </w:r>
      <w:proofErr w:type="spellEnd"/>
      <w:r w:rsidRPr="005E32D1">
        <w:rPr>
          <w:rFonts w:ascii="Cambria" w:hAnsi="Cambria"/>
          <w:b/>
          <w:noProof w:val="0"/>
          <w:szCs w:val="24"/>
        </w:rPr>
        <w:t xml:space="preserve">, </w:t>
      </w:r>
      <w:proofErr w:type="spellStart"/>
      <w:r w:rsidRPr="005E32D1">
        <w:rPr>
          <w:rFonts w:ascii="Cambria" w:hAnsi="Cambria"/>
          <w:b/>
          <w:noProof w:val="0"/>
          <w:szCs w:val="24"/>
        </w:rPr>
        <w:t>Tumaraa</w:t>
      </w:r>
      <w:proofErr w:type="spellEnd"/>
      <w:r w:rsidRPr="005E32D1">
        <w:rPr>
          <w:rFonts w:ascii="Cambria" w:hAnsi="Cambria"/>
          <w:b/>
          <w:noProof w:val="0"/>
          <w:szCs w:val="24"/>
        </w:rPr>
        <w:t xml:space="preserve">, </w:t>
      </w:r>
      <w:proofErr w:type="spellStart"/>
      <w:r>
        <w:rPr>
          <w:rFonts w:ascii="Cambria" w:hAnsi="Cambria"/>
          <w:b/>
          <w:noProof w:val="0"/>
          <w:szCs w:val="24"/>
        </w:rPr>
        <w:t>Taputapuatea</w:t>
      </w:r>
      <w:proofErr w:type="spellEnd"/>
      <w:r>
        <w:rPr>
          <w:rFonts w:ascii="Cambria" w:hAnsi="Cambria"/>
          <w:b/>
          <w:noProof w:val="0"/>
          <w:szCs w:val="24"/>
        </w:rPr>
        <w:t xml:space="preserve"> et Tahaa</w:t>
      </w:r>
    </w:p>
    <w:p w:rsidR="006D128B" w:rsidRPr="005E32D1" w:rsidRDefault="006D128B" w:rsidP="006D128B">
      <w:pPr>
        <w:pStyle w:val="-LettreTexteGEDA"/>
        <w:spacing w:before="0"/>
        <w:ind w:firstLine="0"/>
        <w:rPr>
          <w:rFonts w:ascii="Cambria" w:hAnsi="Cambria"/>
          <w:szCs w:val="24"/>
        </w:rPr>
      </w:pPr>
    </w:p>
    <w:p w:rsidR="006D128B" w:rsidRPr="005E32D1" w:rsidRDefault="006D128B" w:rsidP="006D128B">
      <w:pPr>
        <w:pStyle w:val="-LettreTexteGEDA"/>
        <w:ind w:firstLine="0"/>
        <w:rPr>
          <w:rFonts w:ascii="Cambria" w:hAnsi="Cambria"/>
          <w:noProof w:val="0"/>
          <w:szCs w:val="24"/>
        </w:rPr>
      </w:pPr>
      <w:r w:rsidRPr="005E32D1">
        <w:rPr>
          <w:rFonts w:ascii="Cambria" w:hAnsi="Cambria"/>
          <w:noProof w:val="0"/>
          <w:szCs w:val="24"/>
        </w:rPr>
        <w:t xml:space="preserve">Le </w:t>
      </w:r>
      <w:proofErr w:type="spellStart"/>
      <w:r w:rsidRPr="005E32D1">
        <w:rPr>
          <w:rFonts w:ascii="Cambria" w:hAnsi="Cambria"/>
          <w:noProof w:val="0"/>
          <w:szCs w:val="24"/>
        </w:rPr>
        <w:t>troca</w:t>
      </w:r>
      <w:proofErr w:type="spellEnd"/>
      <w:r w:rsidRPr="005E32D1">
        <w:rPr>
          <w:rFonts w:ascii="Cambria" w:hAnsi="Cambria"/>
          <w:noProof w:val="0"/>
          <w:szCs w:val="24"/>
        </w:rPr>
        <w:t xml:space="preserve"> est un coquillage introduit en Polynésie française depuis 1957, qui est protégé par une interdiction de pêche permanente sauf pendant les campagnes de pêche autorisées par le Pays.</w:t>
      </w:r>
    </w:p>
    <w:p w:rsidR="006D128B" w:rsidRPr="005E32D1" w:rsidRDefault="006D128B" w:rsidP="006D128B">
      <w:pPr>
        <w:pStyle w:val="-LettreTexteGEDA"/>
        <w:ind w:firstLine="0"/>
        <w:rPr>
          <w:rFonts w:ascii="Cambria" w:hAnsi="Cambria"/>
          <w:noProof w:val="0"/>
          <w:szCs w:val="24"/>
        </w:rPr>
      </w:pPr>
      <w:r w:rsidRPr="005E32D1">
        <w:rPr>
          <w:rFonts w:ascii="Cambria" w:hAnsi="Cambria"/>
          <w:noProof w:val="0"/>
          <w:szCs w:val="24"/>
        </w:rPr>
        <w:t xml:space="preserve">Cette année, suite aux demandes formulées par les municipalités concernées, la pêche aux </w:t>
      </w:r>
      <w:proofErr w:type="spellStart"/>
      <w:r w:rsidRPr="005E32D1">
        <w:rPr>
          <w:rFonts w:ascii="Cambria" w:hAnsi="Cambria"/>
          <w:noProof w:val="0"/>
          <w:szCs w:val="24"/>
        </w:rPr>
        <w:t>trocas</w:t>
      </w:r>
      <w:proofErr w:type="spellEnd"/>
      <w:r w:rsidRPr="005E32D1">
        <w:rPr>
          <w:rFonts w:ascii="Cambria" w:hAnsi="Cambria"/>
          <w:noProof w:val="0"/>
          <w:szCs w:val="24"/>
        </w:rPr>
        <w:t xml:space="preserve"> sera donc ouverte dans les communes suivantes : </w:t>
      </w:r>
      <w:r w:rsidRPr="005E32D1">
        <w:rPr>
          <w:rFonts w:ascii="Cambria" w:hAnsi="Cambria"/>
          <w:szCs w:val="24"/>
        </w:rPr>
        <w:t>Uturoa, Tumaraa, Taputapuatea et Tahaa</w:t>
      </w:r>
      <w:r w:rsidRPr="005E32D1">
        <w:rPr>
          <w:rFonts w:ascii="Cambria" w:hAnsi="Cambria"/>
          <w:noProof w:val="0"/>
          <w:szCs w:val="24"/>
        </w:rPr>
        <w:t>.</w:t>
      </w:r>
    </w:p>
    <w:p w:rsidR="006D128B" w:rsidRPr="005E32D1" w:rsidRDefault="006D128B" w:rsidP="006D128B">
      <w:pPr>
        <w:pStyle w:val="-LettreTexteGEDA"/>
        <w:ind w:firstLine="0"/>
        <w:rPr>
          <w:rFonts w:ascii="Cambria" w:hAnsi="Cambria"/>
          <w:noProof w:val="0"/>
          <w:szCs w:val="24"/>
        </w:rPr>
      </w:pPr>
      <w:r w:rsidRPr="005E32D1">
        <w:rPr>
          <w:rFonts w:ascii="Cambria" w:hAnsi="Cambria"/>
          <w:noProof w:val="0"/>
          <w:szCs w:val="24"/>
        </w:rPr>
        <w:t>Sous l’égide des comités de surveillance des espèces animales marines et d’eau douce, la période de pêche est prévue du 11 novembre au 6 décembre 2019 inclus et la vente des coquilles du 7 au 31 décembre 2019 au plus tard.</w:t>
      </w:r>
    </w:p>
    <w:p w:rsidR="006D128B" w:rsidRPr="005E32D1" w:rsidRDefault="006D128B" w:rsidP="006D128B">
      <w:pPr>
        <w:pStyle w:val="-LettreTexteGEDA"/>
        <w:ind w:firstLine="0"/>
        <w:rPr>
          <w:rFonts w:ascii="Cambria" w:hAnsi="Cambria"/>
          <w:noProof w:val="0"/>
          <w:szCs w:val="24"/>
        </w:rPr>
      </w:pPr>
      <w:r w:rsidRPr="005E32D1">
        <w:rPr>
          <w:rFonts w:ascii="Cambria" w:hAnsi="Cambria"/>
          <w:noProof w:val="0"/>
          <w:szCs w:val="24"/>
        </w:rPr>
        <w:t xml:space="preserve">Seuls les pêcheurs issus des communes concernées respectivement et recensés auprès des Comités de surveillance et de gestion seront autorisés à pêcher, et ce dans la limite du quota attribué à leur commune et selon les conditions définies par les comités. </w:t>
      </w:r>
    </w:p>
    <w:p w:rsidR="006D128B" w:rsidRPr="005E32D1" w:rsidRDefault="006D128B" w:rsidP="006D128B">
      <w:pPr>
        <w:pStyle w:val="-LettreTexteGEDA"/>
        <w:ind w:firstLine="0"/>
        <w:rPr>
          <w:rFonts w:ascii="Cambria" w:hAnsi="Cambria"/>
          <w:noProof w:val="0"/>
          <w:szCs w:val="24"/>
        </w:rPr>
      </w:pPr>
      <w:r w:rsidRPr="005E32D1">
        <w:rPr>
          <w:rFonts w:ascii="Cambria" w:hAnsi="Cambria"/>
          <w:noProof w:val="0"/>
          <w:szCs w:val="24"/>
        </w:rPr>
        <w:t xml:space="preserve">Les coquilles, vidées, nettoyées et séchées, dont la taille est comprise entre 8 et 11 cm,  seront proposées à la vente à des négociants. La plupart d’entre elles seront destinées à l’export et finiront en boutons de vêtement. La récolte prévisible pour cette campagne de pêche de </w:t>
      </w:r>
      <w:proofErr w:type="spellStart"/>
      <w:r w:rsidRPr="005E32D1">
        <w:rPr>
          <w:rFonts w:ascii="Cambria" w:hAnsi="Cambria"/>
          <w:noProof w:val="0"/>
          <w:szCs w:val="24"/>
        </w:rPr>
        <w:t>trocas</w:t>
      </w:r>
      <w:proofErr w:type="spellEnd"/>
      <w:r w:rsidRPr="005E32D1">
        <w:rPr>
          <w:rFonts w:ascii="Cambria" w:hAnsi="Cambria"/>
          <w:noProof w:val="0"/>
          <w:szCs w:val="24"/>
        </w:rPr>
        <w:t xml:space="preserve"> est plafonnée à 155 tonnes pour une valeur marchande estimée à près de 30 millions </w:t>
      </w:r>
      <w:proofErr w:type="spellStart"/>
      <w:r>
        <w:rPr>
          <w:rFonts w:ascii="Cambria" w:hAnsi="Cambria"/>
          <w:noProof w:val="0"/>
          <w:szCs w:val="24"/>
        </w:rPr>
        <w:t>Fcfp</w:t>
      </w:r>
      <w:proofErr w:type="spellEnd"/>
      <w:r w:rsidRPr="005E32D1">
        <w:rPr>
          <w:rFonts w:ascii="Cambria" w:hAnsi="Cambria"/>
          <w:noProof w:val="0"/>
          <w:szCs w:val="24"/>
        </w:rPr>
        <w:t xml:space="preserve"> pour les populations concernées.</w:t>
      </w:r>
    </w:p>
    <w:p w:rsidR="006D128B" w:rsidRPr="003E580C" w:rsidRDefault="006D128B" w:rsidP="006D128B">
      <w:pPr>
        <w:pStyle w:val="-LettreObjetGEDA"/>
        <w:tabs>
          <w:tab w:val="left" w:pos="709"/>
        </w:tabs>
        <w:ind w:left="-108" w:firstLine="0"/>
        <w:jc w:val="center"/>
        <w:rPr>
          <w:rFonts w:ascii="Cambria" w:hAnsi="Cambria"/>
          <w:noProof w:val="0"/>
        </w:rPr>
      </w:pPr>
    </w:p>
    <w:p w:rsidR="006D128B" w:rsidRPr="005E32D1" w:rsidRDefault="006D128B" w:rsidP="006D128B">
      <w:pPr>
        <w:pStyle w:val="-LettreTexteGEDA"/>
        <w:spacing w:before="0"/>
        <w:ind w:firstLine="0"/>
        <w:rPr>
          <w:rFonts w:ascii="Cambria" w:hAnsi="Cambria"/>
          <w:b/>
        </w:rPr>
      </w:pPr>
      <w:r w:rsidRPr="005E32D1">
        <w:rPr>
          <w:rFonts w:ascii="Cambria" w:hAnsi="Cambria"/>
          <w:b/>
          <w:noProof w:val="0"/>
        </w:rPr>
        <w:t>Sept</w:t>
      </w:r>
      <w:r w:rsidRPr="005E32D1">
        <w:rPr>
          <w:rFonts w:ascii="Cambria" w:hAnsi="Cambria"/>
          <w:b/>
        </w:rPr>
        <w:t xml:space="preserve"> projets d’investissement d’entreprises soutenus par le Pays</w:t>
      </w:r>
    </w:p>
    <w:p w:rsidR="006D128B" w:rsidRPr="005E32D1" w:rsidRDefault="006D128B" w:rsidP="006D128B">
      <w:pPr>
        <w:pStyle w:val="-LettreTexteGEDA"/>
        <w:spacing w:before="0"/>
        <w:ind w:firstLine="0"/>
        <w:rPr>
          <w:rFonts w:ascii="Cambria" w:hAnsi="Cambria"/>
        </w:rPr>
      </w:pPr>
    </w:p>
    <w:p w:rsidR="006D128B" w:rsidRPr="005E32D1" w:rsidRDefault="006D128B" w:rsidP="006D128B">
      <w:pPr>
        <w:pStyle w:val="-LettreTexteGEDA"/>
        <w:spacing w:before="0"/>
        <w:ind w:firstLine="0"/>
        <w:rPr>
          <w:rFonts w:ascii="Cambria" w:hAnsi="Cambria"/>
          <w:noProof w:val="0"/>
        </w:rPr>
      </w:pPr>
      <w:r w:rsidRPr="005E32D1">
        <w:rPr>
          <w:rFonts w:ascii="Cambria" w:hAnsi="Cambria"/>
          <w:noProof w:val="0"/>
        </w:rPr>
        <w:t>Dans le cadre de sa politique de soutien à l’investissement, le Pays a instauré deux dispositifs d’aide aux entreprises :</w:t>
      </w:r>
    </w:p>
    <w:p w:rsidR="006D128B" w:rsidRPr="005E32D1" w:rsidRDefault="006D128B" w:rsidP="006D128B">
      <w:pPr>
        <w:pStyle w:val="-LettreTexteGEDA"/>
        <w:numPr>
          <w:ilvl w:val="0"/>
          <w:numId w:val="9"/>
        </w:numPr>
        <w:rPr>
          <w:rFonts w:ascii="Cambria" w:hAnsi="Cambria"/>
          <w:noProof w:val="0"/>
        </w:rPr>
      </w:pPr>
      <w:r w:rsidRPr="005E32D1">
        <w:rPr>
          <w:rFonts w:ascii="Cambria" w:hAnsi="Cambria"/>
          <w:noProof w:val="0"/>
        </w:rPr>
        <w:t>La première mesure porte sur une aide à l’équipement des petites entreprises (AEPE) afin de les accompagner dans leur projet de création ou de développement de leur activité ;</w:t>
      </w:r>
    </w:p>
    <w:p w:rsidR="006D128B" w:rsidRPr="005E32D1" w:rsidRDefault="006D128B" w:rsidP="006D128B">
      <w:pPr>
        <w:pStyle w:val="-LettreTexteGEDA"/>
        <w:numPr>
          <w:ilvl w:val="0"/>
          <w:numId w:val="9"/>
        </w:numPr>
        <w:rPr>
          <w:rFonts w:ascii="Cambria" w:hAnsi="Cambria"/>
          <w:noProof w:val="0"/>
        </w:rPr>
      </w:pPr>
      <w:r w:rsidRPr="005E32D1">
        <w:rPr>
          <w:rFonts w:ascii="Cambria" w:hAnsi="Cambria"/>
          <w:noProof w:val="0"/>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6D128B" w:rsidRPr="006D128B" w:rsidRDefault="006D128B" w:rsidP="006D128B">
      <w:pPr>
        <w:pStyle w:val="-LettreTexteGEDA"/>
        <w:ind w:firstLine="0"/>
        <w:rPr>
          <w:rFonts w:ascii="Cambria" w:hAnsi="Cambria"/>
          <w:noProof w:val="0"/>
        </w:rPr>
      </w:pPr>
      <w:r w:rsidRPr="005E32D1">
        <w:rPr>
          <w:rFonts w:ascii="Cambria" w:hAnsi="Cambria"/>
          <w:noProof w:val="0"/>
        </w:rPr>
        <w:lastRenderedPageBreak/>
        <w:t xml:space="preserve">Le Conseil des </w:t>
      </w:r>
      <w:r>
        <w:rPr>
          <w:rFonts w:ascii="Cambria" w:hAnsi="Cambria"/>
          <w:noProof w:val="0"/>
        </w:rPr>
        <w:t>m</w:t>
      </w:r>
      <w:r w:rsidRPr="005E32D1">
        <w:rPr>
          <w:rFonts w:ascii="Cambria" w:hAnsi="Cambria"/>
          <w:noProof w:val="0"/>
        </w:rPr>
        <w:t>inistres a autorisé l’attribution de 20 320 000</w:t>
      </w:r>
      <w:r>
        <w:rPr>
          <w:rFonts w:ascii="Cambria" w:hAnsi="Cambria"/>
          <w:noProof w:val="0"/>
        </w:rPr>
        <w:t xml:space="preserve"> </w:t>
      </w:r>
      <w:proofErr w:type="spellStart"/>
      <w:r>
        <w:rPr>
          <w:rFonts w:ascii="Cambria" w:hAnsi="Cambria"/>
          <w:noProof w:val="0"/>
        </w:rPr>
        <w:t>Fcfp</w:t>
      </w:r>
      <w:proofErr w:type="spellEnd"/>
      <w:r w:rsidRPr="005E32D1">
        <w:rPr>
          <w:rFonts w:ascii="Cambria" w:hAnsi="Cambria"/>
          <w:noProof w:val="0"/>
        </w:rPr>
        <w:t xml:space="preserve"> d’aides financières afin de soutenir 7 entreprises pour un investis</w:t>
      </w:r>
      <w:r>
        <w:rPr>
          <w:rFonts w:ascii="Cambria" w:hAnsi="Cambria"/>
          <w:noProof w:val="0"/>
        </w:rPr>
        <w:t xml:space="preserve">sement total de 71 384 346 </w:t>
      </w:r>
      <w:proofErr w:type="spellStart"/>
      <w:r>
        <w:rPr>
          <w:rFonts w:ascii="Cambria" w:hAnsi="Cambria"/>
          <w:noProof w:val="0"/>
        </w:rPr>
        <w:t>Fcfp</w:t>
      </w:r>
      <w:proofErr w:type="spellEnd"/>
      <w:r w:rsidRPr="005E32D1">
        <w:rPr>
          <w:rFonts w:ascii="Cambria" w:hAnsi="Cambria"/>
          <w:noProof w:val="0"/>
        </w:rPr>
        <w:t xml:space="preserve">. Ce soutien du Pays permettra la création de 13 emplois dans différents secteurs d’activités tels que la restauration, le commerce alimentaire de proximité, la création graphique, la miroiterie, la maintenance navale, l’affrètement de marchandises ou l’excursion nautique.    </w:t>
      </w:r>
    </w:p>
    <w:p w:rsidR="006D128B" w:rsidRDefault="006D128B" w:rsidP="00E021CE">
      <w:pPr>
        <w:widowControl w:val="0"/>
        <w:autoSpaceDE w:val="0"/>
        <w:autoSpaceDN w:val="0"/>
        <w:adjustRightInd w:val="0"/>
        <w:jc w:val="both"/>
        <w:rPr>
          <w:rFonts w:asciiTheme="majorHAnsi" w:hAnsiTheme="majorHAnsi"/>
          <w:b/>
        </w:rPr>
      </w:pPr>
    </w:p>
    <w:p w:rsidR="006D128B" w:rsidRDefault="006D128B" w:rsidP="00E021CE">
      <w:pPr>
        <w:widowControl w:val="0"/>
        <w:autoSpaceDE w:val="0"/>
        <w:autoSpaceDN w:val="0"/>
        <w:adjustRightInd w:val="0"/>
        <w:jc w:val="both"/>
        <w:rPr>
          <w:rFonts w:asciiTheme="majorHAnsi" w:hAnsiTheme="majorHAnsi"/>
          <w:b/>
        </w:rPr>
      </w:pPr>
    </w:p>
    <w:p w:rsidR="00E021CE" w:rsidRPr="003E145B" w:rsidRDefault="00E021CE" w:rsidP="00E021CE">
      <w:pPr>
        <w:widowControl w:val="0"/>
        <w:autoSpaceDE w:val="0"/>
        <w:autoSpaceDN w:val="0"/>
        <w:adjustRightInd w:val="0"/>
        <w:jc w:val="both"/>
        <w:rPr>
          <w:rFonts w:asciiTheme="majorHAnsi" w:hAnsiTheme="majorHAnsi"/>
          <w:b/>
        </w:rPr>
      </w:pPr>
      <w:r w:rsidRPr="003E145B">
        <w:rPr>
          <w:rFonts w:asciiTheme="majorHAnsi" w:hAnsiTheme="majorHAnsi"/>
          <w:b/>
        </w:rPr>
        <w:t xml:space="preserve">Logement : </w:t>
      </w:r>
      <w:r>
        <w:rPr>
          <w:rFonts w:asciiTheme="majorHAnsi" w:hAnsiTheme="majorHAnsi"/>
          <w:b/>
        </w:rPr>
        <w:t>p</w:t>
      </w:r>
      <w:r w:rsidRPr="003E145B">
        <w:rPr>
          <w:rFonts w:asciiTheme="majorHAnsi" w:hAnsiTheme="majorHAnsi"/>
          <w:b/>
        </w:rPr>
        <w:t>oint d’étape et perspective des actions partenariales locales et nationales</w:t>
      </w:r>
    </w:p>
    <w:p w:rsidR="00E021CE" w:rsidRPr="003E145B" w:rsidRDefault="00E021CE" w:rsidP="00E021CE">
      <w:pPr>
        <w:widowControl w:val="0"/>
        <w:autoSpaceDE w:val="0"/>
        <w:autoSpaceDN w:val="0"/>
        <w:adjustRightInd w:val="0"/>
        <w:jc w:val="both"/>
        <w:rPr>
          <w:rFonts w:asciiTheme="majorHAnsi" w:hAnsiTheme="majorHAnsi"/>
        </w:rPr>
      </w:pPr>
    </w:p>
    <w:p w:rsidR="00E021CE" w:rsidRDefault="00E021CE" w:rsidP="00E021CE">
      <w:pPr>
        <w:widowControl w:val="0"/>
        <w:autoSpaceDE w:val="0"/>
        <w:autoSpaceDN w:val="0"/>
        <w:adjustRightInd w:val="0"/>
        <w:jc w:val="both"/>
        <w:rPr>
          <w:rFonts w:asciiTheme="majorHAnsi" w:hAnsiTheme="majorHAnsi"/>
        </w:rPr>
      </w:pPr>
      <w:r w:rsidRPr="003E145B">
        <w:rPr>
          <w:rFonts w:asciiTheme="majorHAnsi" w:hAnsiTheme="majorHAnsi"/>
        </w:rPr>
        <w:t>Le</w:t>
      </w:r>
      <w:r>
        <w:rPr>
          <w:rFonts w:asciiTheme="majorHAnsi" w:hAnsiTheme="majorHAnsi"/>
        </w:rPr>
        <w:t xml:space="preserve"> ministre du L</w:t>
      </w:r>
      <w:r w:rsidRPr="003E145B">
        <w:rPr>
          <w:rFonts w:asciiTheme="majorHAnsi" w:hAnsiTheme="majorHAnsi"/>
        </w:rPr>
        <w:t>ogement et de l’aménagement du territoire a fait un point d’étape sur l’actualité du secteur de l’habitat et notamment le lancement de l’élaboration de la stratégie habitat du 11 octobre dernier qui</w:t>
      </w:r>
      <w:r>
        <w:rPr>
          <w:rFonts w:asciiTheme="majorHAnsi" w:hAnsiTheme="majorHAnsi"/>
        </w:rPr>
        <w:t xml:space="preserve"> a</w:t>
      </w:r>
      <w:r w:rsidRPr="003E145B">
        <w:rPr>
          <w:rFonts w:asciiTheme="majorHAnsi" w:hAnsiTheme="majorHAnsi"/>
        </w:rPr>
        <w:t xml:space="preserve"> mobilisé plus d’une centaine de personnes </w:t>
      </w:r>
      <w:r>
        <w:rPr>
          <w:rFonts w:asciiTheme="majorHAnsi" w:hAnsiTheme="majorHAnsi"/>
        </w:rPr>
        <w:t>: les présidents du Pays, de l’A</w:t>
      </w:r>
      <w:r w:rsidRPr="003E145B">
        <w:rPr>
          <w:rFonts w:asciiTheme="majorHAnsi" w:hAnsiTheme="majorHAnsi"/>
        </w:rPr>
        <w:t xml:space="preserve">ssemblée de Polynésie française et du syndicat pour la promotion des communes de Polynésie française, le Haut-commissaire de la République, les élus de l’assemblée, des membres du gouvernement, de nombreux </w:t>
      </w:r>
      <w:r>
        <w:rPr>
          <w:rFonts w:asciiTheme="majorHAnsi" w:hAnsiTheme="majorHAnsi"/>
        </w:rPr>
        <w:t>m</w:t>
      </w:r>
      <w:r w:rsidRPr="003E145B">
        <w:rPr>
          <w:rFonts w:asciiTheme="majorHAnsi" w:hAnsiTheme="majorHAnsi"/>
        </w:rPr>
        <w:t>aires et élus municipaux, les représentants des socioprofessionnels du secteur, de la soci</w:t>
      </w:r>
      <w:r>
        <w:rPr>
          <w:rFonts w:asciiTheme="majorHAnsi" w:hAnsiTheme="majorHAnsi"/>
        </w:rPr>
        <w:t>été civile et des associations.</w:t>
      </w:r>
    </w:p>
    <w:p w:rsidR="00E021CE" w:rsidRPr="003E145B" w:rsidRDefault="00E021CE" w:rsidP="00E021CE">
      <w:pPr>
        <w:widowControl w:val="0"/>
        <w:autoSpaceDE w:val="0"/>
        <w:autoSpaceDN w:val="0"/>
        <w:adjustRightInd w:val="0"/>
        <w:jc w:val="both"/>
        <w:rPr>
          <w:rFonts w:asciiTheme="majorHAnsi" w:hAnsiTheme="majorHAnsi"/>
        </w:rPr>
      </w:pPr>
    </w:p>
    <w:p w:rsidR="00E021CE" w:rsidRDefault="00E021CE" w:rsidP="00E021CE">
      <w:pPr>
        <w:widowControl w:val="0"/>
        <w:autoSpaceDE w:val="0"/>
        <w:autoSpaceDN w:val="0"/>
        <w:adjustRightInd w:val="0"/>
        <w:jc w:val="both"/>
        <w:rPr>
          <w:rFonts w:asciiTheme="majorHAnsi" w:hAnsiTheme="majorHAnsi"/>
        </w:rPr>
      </w:pPr>
      <w:r w:rsidRPr="003E145B">
        <w:rPr>
          <w:rFonts w:asciiTheme="majorHAnsi" w:hAnsiTheme="majorHAnsi"/>
        </w:rPr>
        <w:t>Les travaux d’études d’élaboration de la stratégie habitat sont désormais engagés jusqu’à la fin de l’année 2020 et vont se dérouler dans chaque archipel pour un diagnostic de la situation de l’habitat, des priorités qui en découlent et convenir du cadre de la politique publique de l’habitat et de sa programmation pluriannuelle pour la période 2020 – 2030.</w:t>
      </w:r>
    </w:p>
    <w:p w:rsidR="00E021CE" w:rsidRPr="003E145B" w:rsidRDefault="00E021CE" w:rsidP="00E021CE">
      <w:pPr>
        <w:widowControl w:val="0"/>
        <w:autoSpaceDE w:val="0"/>
        <w:autoSpaceDN w:val="0"/>
        <w:adjustRightInd w:val="0"/>
        <w:jc w:val="both"/>
        <w:rPr>
          <w:rFonts w:asciiTheme="majorHAnsi" w:hAnsiTheme="majorHAnsi"/>
        </w:rPr>
      </w:pPr>
    </w:p>
    <w:p w:rsidR="00E021CE" w:rsidRDefault="00E021CE" w:rsidP="00E021CE">
      <w:pPr>
        <w:widowControl w:val="0"/>
        <w:autoSpaceDE w:val="0"/>
        <w:autoSpaceDN w:val="0"/>
        <w:adjustRightInd w:val="0"/>
        <w:jc w:val="both"/>
        <w:rPr>
          <w:rFonts w:asciiTheme="majorHAnsi" w:hAnsiTheme="majorHAnsi"/>
        </w:rPr>
      </w:pPr>
      <w:r>
        <w:rPr>
          <w:rFonts w:asciiTheme="majorHAnsi" w:hAnsiTheme="majorHAnsi"/>
        </w:rPr>
        <w:t>Par ailleurs, le m</w:t>
      </w:r>
      <w:r w:rsidRPr="003E145B">
        <w:rPr>
          <w:rFonts w:asciiTheme="majorHAnsi" w:hAnsiTheme="majorHAnsi"/>
        </w:rPr>
        <w:t>inistre a tenu à faire un point sur les actions partenariales développées ces deux dernières années avec les principaux partenaires nationaux du secteur de l’habitat, de l’aménagement et de la ville, mais aussi avec le chargé de missi</w:t>
      </w:r>
      <w:r>
        <w:rPr>
          <w:rFonts w:asciiTheme="majorHAnsi" w:hAnsiTheme="majorHAnsi"/>
        </w:rPr>
        <w:t>on Outre-mer à Matignon et les m</w:t>
      </w:r>
      <w:r w:rsidRPr="003E145B">
        <w:rPr>
          <w:rFonts w:asciiTheme="majorHAnsi" w:hAnsiTheme="majorHAnsi"/>
        </w:rPr>
        <w:t>inistères nationaux en charge du logement, de l’action et des comptes publics et des outre-mer. Des relations professionnelles régulières sont désormais bien établies avec l’Union Sociale pour l’Habitat, le Conseil général de l’environnement et du développement durable (CGEDD), l’Agence Nationale de l’Habitat (ANAH), avec la Fédération nationale SOLIHA œuvrant dans le domaine de la rénovation de l’habitat privé et la lutte contre l’habitat précaire ainsi qu’avec le groupe « Action Logement » en matière de financement du logement des salariés dans le cadre du Plan logement outre-mer.</w:t>
      </w:r>
      <w:r>
        <w:rPr>
          <w:rFonts w:asciiTheme="majorHAnsi" w:hAnsiTheme="majorHAnsi"/>
        </w:rPr>
        <w:t xml:space="preserve"> </w:t>
      </w:r>
      <w:r w:rsidRPr="003E145B">
        <w:rPr>
          <w:rFonts w:asciiTheme="majorHAnsi" w:hAnsiTheme="majorHAnsi"/>
        </w:rPr>
        <w:t>Ces échanges réguliers ont été l’occasion de mieux faire connaître les initiatives prises et les actions concrètes de partenariat utiles à la Polynésie française. Ainsi plusieurs missions d’appui et de rencontres au plan local sont prévues d’ici à la fin de l’année :</w:t>
      </w:r>
    </w:p>
    <w:p w:rsidR="00E021CE" w:rsidRPr="003E145B" w:rsidRDefault="00E021CE" w:rsidP="00E021CE">
      <w:pPr>
        <w:widowControl w:val="0"/>
        <w:autoSpaceDE w:val="0"/>
        <w:autoSpaceDN w:val="0"/>
        <w:adjustRightInd w:val="0"/>
        <w:jc w:val="both"/>
        <w:rPr>
          <w:rFonts w:asciiTheme="majorHAnsi" w:hAnsiTheme="majorHAnsi"/>
        </w:rPr>
      </w:pPr>
    </w:p>
    <w:p w:rsidR="00E021CE" w:rsidRPr="00AF1842" w:rsidRDefault="00E021CE" w:rsidP="00E021CE">
      <w:pPr>
        <w:pStyle w:val="Paragraphedeliste"/>
        <w:widowControl w:val="0"/>
        <w:numPr>
          <w:ilvl w:val="0"/>
          <w:numId w:val="7"/>
        </w:numPr>
        <w:autoSpaceDE w:val="0"/>
        <w:autoSpaceDN w:val="0"/>
        <w:adjustRightInd w:val="0"/>
        <w:spacing w:after="120"/>
        <w:jc w:val="both"/>
        <w:rPr>
          <w:rFonts w:asciiTheme="majorHAnsi" w:hAnsiTheme="majorHAnsi"/>
          <w:sz w:val="24"/>
          <w:szCs w:val="24"/>
        </w:rPr>
      </w:pPr>
      <w:r w:rsidRPr="00AF1842">
        <w:rPr>
          <w:rFonts w:asciiTheme="majorHAnsi" w:hAnsiTheme="majorHAnsi"/>
          <w:sz w:val="24"/>
          <w:szCs w:val="24"/>
        </w:rPr>
        <w:t>Un appui technique de la fédération SOLIHA (11 au 28 novembre) dans le domaine de la rénovation du parc de logements privés, cœur de métier de cette fédération nationale regroupant 150 structures locales adhérentes spécialisées, en métropole et en outre-mer. Cette mission vise à partager des retours d’expériences et échanger sur la situation de l’habitat privé en Polynésie et sur les mesures à prendre en matière de traitement de l’habitat privé dégradé.</w:t>
      </w:r>
    </w:p>
    <w:p w:rsidR="00E021CE" w:rsidRPr="00AF1842" w:rsidRDefault="00E021CE" w:rsidP="00E021CE">
      <w:pPr>
        <w:pStyle w:val="Paragraphedeliste"/>
        <w:widowControl w:val="0"/>
        <w:autoSpaceDE w:val="0"/>
        <w:autoSpaceDN w:val="0"/>
        <w:adjustRightInd w:val="0"/>
        <w:spacing w:after="120"/>
        <w:jc w:val="both"/>
        <w:rPr>
          <w:rFonts w:asciiTheme="majorHAnsi" w:hAnsiTheme="majorHAnsi"/>
          <w:sz w:val="24"/>
          <w:szCs w:val="24"/>
        </w:rPr>
      </w:pPr>
    </w:p>
    <w:p w:rsidR="00E021CE" w:rsidRPr="00AF1842" w:rsidRDefault="00E021CE" w:rsidP="00E021CE">
      <w:pPr>
        <w:pStyle w:val="Paragraphedeliste"/>
        <w:widowControl w:val="0"/>
        <w:numPr>
          <w:ilvl w:val="0"/>
          <w:numId w:val="7"/>
        </w:numPr>
        <w:autoSpaceDE w:val="0"/>
        <w:autoSpaceDN w:val="0"/>
        <w:adjustRightInd w:val="0"/>
        <w:spacing w:after="0"/>
        <w:jc w:val="both"/>
        <w:rPr>
          <w:rFonts w:asciiTheme="majorHAnsi" w:hAnsiTheme="majorHAnsi"/>
          <w:sz w:val="24"/>
          <w:szCs w:val="24"/>
        </w:rPr>
      </w:pPr>
      <w:r w:rsidRPr="00AF1842">
        <w:rPr>
          <w:rFonts w:asciiTheme="majorHAnsi" w:hAnsiTheme="majorHAnsi"/>
          <w:sz w:val="24"/>
          <w:szCs w:val="24"/>
        </w:rPr>
        <w:t xml:space="preserve">La poursuite de l’élaboration d’un plan de lutte contre l’habitat indigne (12 au 29 novembre) programmée avec le CGEDD. Soraya </w:t>
      </w:r>
      <w:proofErr w:type="spellStart"/>
      <w:r w:rsidRPr="00AF1842">
        <w:rPr>
          <w:rFonts w:asciiTheme="majorHAnsi" w:hAnsiTheme="majorHAnsi"/>
          <w:sz w:val="24"/>
          <w:szCs w:val="24"/>
        </w:rPr>
        <w:t>Daou</w:t>
      </w:r>
      <w:proofErr w:type="spellEnd"/>
      <w:r w:rsidRPr="00AF1842">
        <w:rPr>
          <w:rFonts w:asciiTheme="majorHAnsi" w:hAnsiTheme="majorHAnsi"/>
          <w:sz w:val="24"/>
          <w:szCs w:val="24"/>
        </w:rPr>
        <w:t>, en charge des questions d’habitat indigne au CGEDD interviendra dans le cadre de travaux techniques sur les approches de traitement de l’insalubrité et d’habitabilité de l’habitat.</w:t>
      </w:r>
    </w:p>
    <w:p w:rsidR="00E021CE" w:rsidRPr="00AF1842" w:rsidRDefault="00E021CE" w:rsidP="00E021CE">
      <w:pPr>
        <w:widowControl w:val="0"/>
        <w:autoSpaceDE w:val="0"/>
        <w:autoSpaceDN w:val="0"/>
        <w:adjustRightInd w:val="0"/>
        <w:jc w:val="both"/>
        <w:rPr>
          <w:rFonts w:asciiTheme="majorHAnsi" w:hAnsiTheme="majorHAnsi"/>
        </w:rPr>
      </w:pPr>
    </w:p>
    <w:p w:rsidR="00E021CE" w:rsidRPr="00AF1842" w:rsidRDefault="00E021CE" w:rsidP="00E021CE">
      <w:pPr>
        <w:pStyle w:val="Paragraphedeliste"/>
        <w:widowControl w:val="0"/>
        <w:numPr>
          <w:ilvl w:val="0"/>
          <w:numId w:val="7"/>
        </w:numPr>
        <w:autoSpaceDE w:val="0"/>
        <w:autoSpaceDN w:val="0"/>
        <w:adjustRightInd w:val="0"/>
        <w:spacing w:after="0"/>
        <w:jc w:val="both"/>
        <w:rPr>
          <w:rFonts w:asciiTheme="majorHAnsi" w:hAnsiTheme="majorHAnsi"/>
          <w:sz w:val="24"/>
          <w:szCs w:val="24"/>
        </w:rPr>
      </w:pPr>
      <w:r w:rsidRPr="00AF1842">
        <w:rPr>
          <w:rFonts w:asciiTheme="majorHAnsi" w:hAnsiTheme="majorHAnsi"/>
          <w:sz w:val="24"/>
          <w:szCs w:val="24"/>
        </w:rPr>
        <w:t xml:space="preserve">Un séminaire d’appui technique au programme de rénovation urbaine (début décembre 2019) Ce séminaire organisé en partenariat entre le Syndicat Mixte du Contrat de Ville et la DHV, avec le soutien de l’Ecole de la Rénovation Urbaine (entité fédérée au sein de l’USH) porte sur la gestion des projets de rénovation urbaine à l’attention des services et établissements du Pays, des communes et de l’Etat, ainsi que des partenaires associatifs. </w:t>
      </w:r>
    </w:p>
    <w:p w:rsidR="00E021CE" w:rsidRPr="00AF1842" w:rsidRDefault="00E021CE" w:rsidP="00E021CE">
      <w:pPr>
        <w:pStyle w:val="Paragraphedeliste"/>
        <w:widowControl w:val="0"/>
        <w:autoSpaceDE w:val="0"/>
        <w:autoSpaceDN w:val="0"/>
        <w:adjustRightInd w:val="0"/>
        <w:spacing w:after="0"/>
        <w:jc w:val="both"/>
        <w:rPr>
          <w:rFonts w:asciiTheme="majorHAnsi" w:hAnsiTheme="majorHAnsi"/>
          <w:sz w:val="24"/>
          <w:szCs w:val="24"/>
        </w:rPr>
      </w:pPr>
    </w:p>
    <w:p w:rsidR="00E021CE" w:rsidRDefault="00E021CE" w:rsidP="00E021CE">
      <w:pPr>
        <w:pStyle w:val="Paragraphedeliste"/>
        <w:widowControl w:val="0"/>
        <w:numPr>
          <w:ilvl w:val="0"/>
          <w:numId w:val="7"/>
        </w:numPr>
        <w:autoSpaceDE w:val="0"/>
        <w:autoSpaceDN w:val="0"/>
        <w:adjustRightInd w:val="0"/>
        <w:spacing w:after="0"/>
        <w:jc w:val="both"/>
        <w:rPr>
          <w:rFonts w:asciiTheme="majorHAnsi" w:hAnsiTheme="majorHAnsi"/>
          <w:sz w:val="24"/>
          <w:szCs w:val="24"/>
        </w:rPr>
      </w:pPr>
      <w:r w:rsidRPr="00AF1842">
        <w:rPr>
          <w:rFonts w:asciiTheme="majorHAnsi" w:hAnsiTheme="majorHAnsi"/>
          <w:sz w:val="24"/>
          <w:szCs w:val="24"/>
        </w:rPr>
        <w:t xml:space="preserve">La visite du président du Groupe Action Logement : Bruno </w:t>
      </w:r>
      <w:proofErr w:type="spellStart"/>
      <w:r w:rsidRPr="00AF1842">
        <w:rPr>
          <w:rFonts w:asciiTheme="majorHAnsi" w:hAnsiTheme="majorHAnsi"/>
          <w:sz w:val="24"/>
          <w:szCs w:val="24"/>
        </w:rPr>
        <w:t>Arcadipane</w:t>
      </w:r>
      <w:proofErr w:type="spellEnd"/>
      <w:r w:rsidRPr="00AF1842">
        <w:rPr>
          <w:rFonts w:asciiTheme="majorHAnsi" w:hAnsiTheme="majorHAnsi"/>
          <w:sz w:val="24"/>
          <w:szCs w:val="24"/>
        </w:rPr>
        <w:t xml:space="preserve"> a tout récemment confirmé l’intérêt d’un partenariat avec la Polynésie française dans le cadre de la mise en place du « Plan d’Investissement d’Avenir - PIV » mobilisant 9 milliards d’euros au plan national</w:t>
      </w:r>
      <w:r>
        <w:rPr>
          <w:rFonts w:asciiTheme="majorHAnsi" w:hAnsiTheme="majorHAnsi"/>
          <w:sz w:val="24"/>
          <w:szCs w:val="24"/>
        </w:rPr>
        <w:t>,</w:t>
      </w:r>
      <w:r w:rsidRPr="00AF1842">
        <w:rPr>
          <w:rFonts w:asciiTheme="majorHAnsi" w:hAnsiTheme="majorHAnsi"/>
          <w:sz w:val="24"/>
          <w:szCs w:val="24"/>
        </w:rPr>
        <w:t xml:space="preserve"> dont 1,5 milliards en outre-mer pour financer le logement des salariés. </w:t>
      </w:r>
      <w:r>
        <w:rPr>
          <w:rFonts w:asciiTheme="majorHAnsi" w:hAnsiTheme="majorHAnsi"/>
          <w:sz w:val="24"/>
          <w:szCs w:val="24"/>
        </w:rPr>
        <w:t>La</w:t>
      </w:r>
      <w:r w:rsidRPr="00AF1842">
        <w:rPr>
          <w:rFonts w:asciiTheme="majorHAnsi" w:hAnsiTheme="majorHAnsi"/>
          <w:sz w:val="24"/>
          <w:szCs w:val="24"/>
        </w:rPr>
        <w:t xml:space="preserve"> Polynésie française est partie prenante du plan logement outre-mer. </w:t>
      </w:r>
    </w:p>
    <w:p w:rsidR="00E021CE" w:rsidRDefault="00E021CE" w:rsidP="00BD7B99">
      <w:pPr>
        <w:widowControl w:val="0"/>
        <w:autoSpaceDE w:val="0"/>
        <w:autoSpaceDN w:val="0"/>
        <w:adjustRightInd w:val="0"/>
        <w:jc w:val="both"/>
        <w:rPr>
          <w:rFonts w:asciiTheme="majorHAnsi" w:hAnsiTheme="majorHAnsi"/>
        </w:rPr>
      </w:pPr>
    </w:p>
    <w:p w:rsidR="00BC3D42" w:rsidRDefault="00BC3D42" w:rsidP="00BD7B99">
      <w:pPr>
        <w:widowControl w:val="0"/>
        <w:autoSpaceDE w:val="0"/>
        <w:autoSpaceDN w:val="0"/>
        <w:adjustRightInd w:val="0"/>
        <w:jc w:val="both"/>
        <w:rPr>
          <w:rFonts w:asciiTheme="majorHAnsi" w:hAnsiTheme="majorHAnsi"/>
        </w:rPr>
      </w:pPr>
    </w:p>
    <w:p w:rsidR="00BC3D42" w:rsidRDefault="00BC3D42" w:rsidP="00BC3D42">
      <w:pPr>
        <w:rPr>
          <w:rFonts w:ascii="Cambria" w:hAnsi="Cambria"/>
          <w:b/>
          <w:bCs/>
          <w:lang w:eastAsia="en-US"/>
        </w:rPr>
      </w:pPr>
      <w:r>
        <w:rPr>
          <w:rFonts w:ascii="Cambria" w:hAnsi="Cambria"/>
          <w:b/>
          <w:bCs/>
        </w:rPr>
        <w:t>Voyage de préparation des candidates à Miss France 2020</w:t>
      </w:r>
    </w:p>
    <w:p w:rsidR="00BC3D42" w:rsidRDefault="00BC3D42" w:rsidP="00BC3D42">
      <w:pPr>
        <w:rPr>
          <w:rFonts w:ascii="Cambria" w:hAnsi="Cambria"/>
        </w:rPr>
      </w:pPr>
    </w:p>
    <w:p w:rsidR="00BC3D42" w:rsidRDefault="00BC3D42" w:rsidP="00BC3D42">
      <w:pPr>
        <w:pStyle w:val="-LettreTexteGEDA"/>
        <w:ind w:firstLine="0"/>
        <w:rPr>
          <w:rFonts w:ascii="Cambria" w:hAnsi="Cambria"/>
          <w:szCs w:val="24"/>
        </w:rPr>
      </w:pPr>
      <w:r>
        <w:rPr>
          <w:rFonts w:ascii="Cambria" w:hAnsi="Cambria"/>
        </w:rPr>
        <w:t xml:space="preserve">Un point sur le soutien et le partenariat de la Polynésie française à l’organisation du voyage de préparation des candidates au concours de Miss France 2020, qui se tiendra en décembre prochain, a été présenté en Conseil des ministres. Ce partenariat fait suite à l’élection de Vaimalama Chaves, Miss Tahiti 2018, au titre de Miss France 2019. </w:t>
      </w:r>
    </w:p>
    <w:p w:rsidR="00BC3D42" w:rsidRDefault="00BC3D42" w:rsidP="00BC3D42">
      <w:pPr>
        <w:pStyle w:val="-LettreTexteGEDA"/>
        <w:ind w:firstLine="0"/>
        <w:rPr>
          <w:rFonts w:ascii="Cambria" w:hAnsi="Cambria"/>
        </w:rPr>
      </w:pPr>
      <w:r>
        <w:rPr>
          <w:rFonts w:ascii="Cambria" w:hAnsi="Cambria"/>
        </w:rPr>
        <w:t>La convention de partenariat a été signée le 1</w:t>
      </w:r>
      <w:r>
        <w:rPr>
          <w:rFonts w:ascii="Cambria" w:hAnsi="Cambria"/>
          <w:vertAlign w:val="superscript"/>
        </w:rPr>
        <w:t>er</w:t>
      </w:r>
      <w:r>
        <w:rPr>
          <w:rFonts w:ascii="Cambria" w:hAnsi="Cambria"/>
        </w:rPr>
        <w:t xml:space="preserve"> octobre dernier avec le comité Miss France, Air Tahiti Nui (transporteur officiel), le groupe Intercontinental – Polynésie française (hébergeur officiel) ainsi que Tahiti Tourisme. Les 30 candidates arriveront le soir du dimanche 17 novembre à l’aéroport de Tahiti-Faa’a, avec l’équipe technique du comité Miss France ainsi que des médias français, soit une délégation de 75 personnes. Ils séjourneront en Polynésie française jusqu’au 26 novembre. Une conférence de presse est prévue le lundi 18 novembre, de 10 h à midi, à la Présidence de la Polynésie française. A cette occasion, le comité Miss France présentera les candidates lors d’un défilé ouvert au public. Les candidates à l’élection de Miss France participeront aussi à une soirée caritative organisée par l’association « Les Marraines de Tahiti », prévue le 19 novembre à l’hôtel l’InterContinental Tahiti.</w:t>
      </w:r>
    </w:p>
    <w:p w:rsidR="00BC3D42" w:rsidRDefault="00BC3D42" w:rsidP="00BC3D42">
      <w:pPr>
        <w:pStyle w:val="-LettreTexteGEDA"/>
        <w:ind w:firstLine="0"/>
        <w:rPr>
          <w:rFonts w:ascii="Cambria" w:hAnsi="Cambria"/>
        </w:rPr>
      </w:pPr>
      <w:r>
        <w:rPr>
          <w:rFonts w:ascii="Cambria" w:hAnsi="Cambria"/>
        </w:rPr>
        <w:t xml:space="preserve">Il s’agit ainsi de surfer sur le succès de Miss France pour accompagner la visibilité de la destination sur le marché métropolitain. Pour cela un programme mettant en valeur la diversité culturelle des îles, la beauté des paysages et de l’environnement ainsi que la particularité océanique de Tahiti et ses Îles a été concocté. Les candidates et les médias pourront ainsi apprécier des prestations de danses pa’umotu à l’arrivée, de danses marquisiennes durant leur séjour à Tahiti ainsi que de ‘ori Tahiti. Des activités </w:t>
      </w:r>
      <w:r>
        <w:rPr>
          <w:rFonts w:ascii="Cambria" w:hAnsi="Cambria"/>
        </w:rPr>
        <w:lastRenderedPageBreak/>
        <w:t xml:space="preserve">culturelles et de sensibilisation à l’environnement seront aussi organisées. Durant leur séjour les candidates seront évaluées sur leur prestance, leur culture générale et leur condition physique. Le voyage sera couvert par 9 médias qui produiront des images et articles sur la préparation des candidates ainsi que la destination. </w:t>
      </w:r>
    </w:p>
    <w:p w:rsidR="00BC3D42" w:rsidRDefault="00BC3D42" w:rsidP="00BC3D42">
      <w:pPr>
        <w:pStyle w:val="-LettreTexteGEDA"/>
        <w:rPr>
          <w:rFonts w:ascii="Cambria" w:hAnsi="Cambria"/>
        </w:rPr>
      </w:pPr>
    </w:p>
    <w:p w:rsidR="00BC3D42" w:rsidRDefault="00BC3D42" w:rsidP="00BC3D42">
      <w:pPr>
        <w:rPr>
          <w:rFonts w:ascii="Cambria" w:hAnsi="Cambria"/>
          <w:b/>
          <w:bCs/>
        </w:rPr>
      </w:pPr>
      <w:r>
        <w:rPr>
          <w:rFonts w:ascii="Cambria" w:hAnsi="Cambria"/>
          <w:b/>
          <w:bCs/>
        </w:rPr>
        <w:t xml:space="preserve">Tournage du jeu « La Carte aux trésors » en Polynésie </w:t>
      </w:r>
    </w:p>
    <w:p w:rsidR="00BC3D42" w:rsidRDefault="00BC3D42" w:rsidP="00BC3D42">
      <w:pPr>
        <w:rPr>
          <w:rFonts w:ascii="Cambria" w:hAnsi="Cambria"/>
          <w:b/>
          <w:bCs/>
        </w:rPr>
      </w:pPr>
    </w:p>
    <w:p w:rsidR="00BC3D42" w:rsidRDefault="00BC3D42" w:rsidP="00BC3D42">
      <w:pPr>
        <w:pStyle w:val="-LettreTexteGEDA"/>
        <w:ind w:firstLine="0"/>
        <w:rPr>
          <w:rFonts w:ascii="Cambria" w:hAnsi="Cambria"/>
          <w:szCs w:val="24"/>
        </w:rPr>
      </w:pPr>
      <w:r>
        <w:rPr>
          <w:rFonts w:ascii="Cambria" w:hAnsi="Cambria"/>
        </w:rPr>
        <w:t>Un voyage de repérage a été organisé du 18 au 26 août derniers. Ce déplacement de la société Adventure Line, producteur de l’émission, a permis d’identifier les sites et prises de vues pour le tournage de l’émission prévu d’ici la fin de l’année. La production a été satisfaite de ce premier déplacement avec des techniciens de France 3 et la chaîne se réjouit pour sa part de pouvoir diffuser cette émission à l’antenne au printemps 2020. Dans le jeu la « Carte Aux Trésors », 2 candidats s’affrontent au cours de 4 énigmes pour tenter de décrocher un trésor. Ces 4 énigmes permettent de faire 4 focus sur la zone de jeu déterminée. Pour se déplacer les 2 candidats ont à leur disposition un hélicoptère et doivent se faire aider par la population locale. L’émission se déroule en 3 parties chronométrées et, lors des phases de jeux, l’émission est rythmée par des reportages sur la région visitée. En termes d’audience et d’impact audiovisuel, la « carte aux trésors » représente une moyenne de 3 millions de téléspectateurs plaçant l’émission comme le programme le plus performant de la case « mercredi 21 heures » sur France 3. L’émission est présentée par l’animateur Cyril Féraud. C’est un public familial qui constitue la majorité des téléspectateurs avec également une bonne audience sur la tranche des 10-24 ans.</w:t>
      </w:r>
    </w:p>
    <w:p w:rsidR="00BC3D42" w:rsidRDefault="00BC3D42" w:rsidP="00BC3D42">
      <w:pPr>
        <w:jc w:val="both"/>
        <w:rPr>
          <w:rFonts w:ascii="Cambria" w:hAnsi="Cambria"/>
        </w:rPr>
      </w:pPr>
    </w:p>
    <w:p w:rsidR="00BC3D42" w:rsidRDefault="00BC3D42" w:rsidP="00BC3D42">
      <w:pPr>
        <w:jc w:val="both"/>
        <w:rPr>
          <w:rFonts w:ascii="Cambria" w:hAnsi="Cambria"/>
        </w:rPr>
      </w:pPr>
      <w:r>
        <w:rPr>
          <w:rFonts w:ascii="Cambria" w:hAnsi="Cambria"/>
        </w:rPr>
        <w:t>A émission exceptionnelle, dispositif exceptionnel, une zone de jeu immense est ainsi prévue pour présenter au public un large aperçu de l’archipel de la Société et faire découvrir les charmes, la culture et les spécificités de ses différentes îles. L’équipe se compose de 26 personnes venant de métropole (animateur, candidats, cadreurs vidéo, ingénieurs du son, ingénieurs vision, logisticien, direction de production et chargés de production, rédacteur en chef et auteur, régisseur général) et de 11 personnes recrutées en Polynésie (</w:t>
      </w:r>
      <w:proofErr w:type="spellStart"/>
      <w:r>
        <w:rPr>
          <w:rFonts w:ascii="Cambria" w:hAnsi="Cambria"/>
        </w:rPr>
        <w:t>fixeur</w:t>
      </w:r>
      <w:proofErr w:type="spellEnd"/>
      <w:r>
        <w:rPr>
          <w:rFonts w:ascii="Cambria" w:hAnsi="Cambria"/>
        </w:rPr>
        <w:t xml:space="preserve">, régisseurs, maquilleuse, pilotes, techniciens, pilote bateau et matelot). Les équipes sont transportées par Air Tahiti Nui, partenaire exclusif de l’émission. Les 3 hélicoptères sont loués à Tahiti Nui </w:t>
      </w:r>
      <w:proofErr w:type="spellStart"/>
      <w:r>
        <w:rPr>
          <w:rFonts w:ascii="Cambria" w:hAnsi="Cambria"/>
        </w:rPr>
        <w:t>Helicoptères</w:t>
      </w:r>
      <w:proofErr w:type="spellEnd"/>
      <w:r>
        <w:rPr>
          <w:rFonts w:ascii="Cambria" w:hAnsi="Cambria"/>
        </w:rPr>
        <w:t xml:space="preserve">, les transferts inter-îles étant effectués par Air Tahiti. </w:t>
      </w:r>
    </w:p>
    <w:p w:rsidR="00BC3D42" w:rsidRDefault="00BC3D42" w:rsidP="00BC3D42">
      <w:pPr>
        <w:spacing w:before="240"/>
        <w:jc w:val="both"/>
        <w:rPr>
          <w:rFonts w:ascii="Cambria" w:hAnsi="Cambria"/>
        </w:rPr>
      </w:pPr>
      <w:r>
        <w:rPr>
          <w:rFonts w:ascii="Cambria" w:hAnsi="Cambria"/>
        </w:rPr>
        <w:t>Ce partenariat participera grandement à la visibilité et la promotion de la destination en métropole. Les voyagistes français confirment que ce type de production participe à l’augmentation des demandes de réservation. Compte tenu des audiences de l’émission, de sa notoriété, il s’avère qu’à l’issue des diffusions les régions mises en valeur ont constaté à la fois une hausse des fréquentations des sites web consacrées à la zone visitée, une hausse des demandes d’information auprès des sites présentés dans l’émission, une hausse des réservations et visites sur les sites touristiques concernés et une hausse des réservations hôtelières.</w:t>
      </w:r>
    </w:p>
    <w:p w:rsidR="000448E5" w:rsidRDefault="000448E5" w:rsidP="000448E5">
      <w:pPr>
        <w:spacing w:after="120"/>
        <w:jc w:val="both"/>
        <w:rPr>
          <w:rFonts w:ascii="Cambria" w:hAnsi="Cambria"/>
        </w:rPr>
      </w:pPr>
    </w:p>
    <w:p w:rsidR="00BC3D42" w:rsidRDefault="00BC3D42" w:rsidP="000448E5">
      <w:pPr>
        <w:spacing w:after="120"/>
        <w:jc w:val="both"/>
        <w:rPr>
          <w:rFonts w:asciiTheme="majorHAnsi" w:hAnsiTheme="majorHAnsi"/>
          <w:bCs/>
        </w:rPr>
      </w:pPr>
    </w:p>
    <w:p w:rsidR="000448E5" w:rsidRPr="00E021CE" w:rsidRDefault="000448E5" w:rsidP="000448E5">
      <w:pPr>
        <w:spacing w:after="120"/>
        <w:jc w:val="both"/>
        <w:rPr>
          <w:rFonts w:ascii="Cambria" w:hAnsi="Cambria"/>
          <w:b/>
        </w:rPr>
      </w:pPr>
      <w:r w:rsidRPr="00E021CE">
        <w:rPr>
          <w:rFonts w:ascii="Cambria" w:hAnsi="Cambria"/>
          <w:b/>
        </w:rPr>
        <w:t>Mission d’accueil et d’information d</w:t>
      </w:r>
      <w:r w:rsidR="00BC3D42">
        <w:rPr>
          <w:rFonts w:ascii="Cambria" w:hAnsi="Cambria"/>
          <w:b/>
        </w:rPr>
        <w:t>e</w:t>
      </w:r>
      <w:r w:rsidRPr="00E021CE">
        <w:rPr>
          <w:rFonts w:ascii="Cambria" w:hAnsi="Cambria"/>
          <w:b/>
        </w:rPr>
        <w:t xml:space="preserve"> Tahiti Tourisme – </w:t>
      </w:r>
      <w:proofErr w:type="spellStart"/>
      <w:r w:rsidRPr="00E021CE">
        <w:rPr>
          <w:rFonts w:ascii="Cambria" w:hAnsi="Cambria"/>
          <w:b/>
        </w:rPr>
        <w:t>Fare</w:t>
      </w:r>
      <w:proofErr w:type="spellEnd"/>
      <w:r w:rsidRPr="00E021CE">
        <w:rPr>
          <w:rFonts w:ascii="Cambria" w:hAnsi="Cambria"/>
          <w:b/>
        </w:rPr>
        <w:t xml:space="preserve"> </w:t>
      </w:r>
      <w:proofErr w:type="spellStart"/>
      <w:r w:rsidRPr="00E021CE">
        <w:rPr>
          <w:rFonts w:ascii="Cambria" w:hAnsi="Cambria"/>
          <w:b/>
        </w:rPr>
        <w:t>Manihini</w:t>
      </w:r>
      <w:proofErr w:type="spellEnd"/>
    </w:p>
    <w:p w:rsidR="000448E5" w:rsidRPr="00E021CE" w:rsidRDefault="000448E5" w:rsidP="00BD7B99">
      <w:pPr>
        <w:widowControl w:val="0"/>
        <w:autoSpaceDE w:val="0"/>
        <w:autoSpaceDN w:val="0"/>
        <w:adjustRightInd w:val="0"/>
        <w:jc w:val="both"/>
        <w:rPr>
          <w:rFonts w:ascii="Cambria" w:hAnsi="Cambria"/>
        </w:rPr>
      </w:pPr>
    </w:p>
    <w:p w:rsidR="000448E5" w:rsidRPr="00E021CE" w:rsidRDefault="000448E5" w:rsidP="00E021CE">
      <w:pPr>
        <w:pStyle w:val="-LettreTexteGEDA"/>
        <w:ind w:firstLine="0"/>
        <w:rPr>
          <w:rFonts w:ascii="Cambria" w:hAnsi="Cambria"/>
          <w:noProof w:val="0"/>
        </w:rPr>
      </w:pPr>
      <w:r w:rsidRPr="00E021CE">
        <w:rPr>
          <w:rFonts w:ascii="Cambria" w:hAnsi="Cambria"/>
          <w:noProof w:val="0"/>
        </w:rPr>
        <w:t>Le département des opérations locales du Tahiti Tourisme a évolué en direction des opérations locales en fin d’année 2017, considérant l’importance du marché local et pour permettre au groupement d’assurer au mieux ses missions telles que :</w:t>
      </w:r>
      <w:r w:rsidR="00E021CE" w:rsidRPr="00E021CE">
        <w:rPr>
          <w:rFonts w:ascii="Cambria" w:hAnsi="Cambria"/>
          <w:noProof w:val="0"/>
        </w:rPr>
        <w:t xml:space="preserve"> a</w:t>
      </w:r>
      <w:r w:rsidRPr="00E021CE">
        <w:rPr>
          <w:rFonts w:ascii="Cambria" w:hAnsi="Cambria"/>
          <w:noProof w:val="0"/>
        </w:rPr>
        <w:t>ccueillir, orie</w:t>
      </w:r>
      <w:r w:rsidR="00E021CE" w:rsidRPr="00E021CE">
        <w:rPr>
          <w:rFonts w:ascii="Cambria" w:hAnsi="Cambria"/>
          <w:noProof w:val="0"/>
        </w:rPr>
        <w:t>nter et informer les visiteurs, p</w:t>
      </w:r>
      <w:r w:rsidRPr="00E021CE">
        <w:rPr>
          <w:rFonts w:ascii="Cambria" w:hAnsi="Cambria"/>
          <w:noProof w:val="0"/>
        </w:rPr>
        <w:t>romouvoir la destination en Po</w:t>
      </w:r>
      <w:r w:rsidR="00E021CE" w:rsidRPr="00E021CE">
        <w:rPr>
          <w:rFonts w:ascii="Cambria" w:hAnsi="Cambria"/>
          <w:noProof w:val="0"/>
        </w:rPr>
        <w:t>lynésie française, a</w:t>
      </w:r>
      <w:r w:rsidRPr="00E021CE">
        <w:rPr>
          <w:rFonts w:ascii="Cambria" w:hAnsi="Cambria"/>
          <w:noProof w:val="0"/>
        </w:rPr>
        <w:t>nimer la vie locale tout au long de l’année par la création, production ou le soutie</w:t>
      </w:r>
      <w:r w:rsidR="00E021CE" w:rsidRPr="00E021CE">
        <w:rPr>
          <w:rFonts w:ascii="Cambria" w:hAnsi="Cambria"/>
          <w:noProof w:val="0"/>
        </w:rPr>
        <w:t>n à l’organisation d’événement, s</w:t>
      </w:r>
      <w:r w:rsidRPr="00E021CE">
        <w:rPr>
          <w:rFonts w:ascii="Cambria" w:hAnsi="Cambria"/>
          <w:noProof w:val="0"/>
        </w:rPr>
        <w:t>ensibiliser la</w:t>
      </w:r>
      <w:r w:rsidR="00E021CE" w:rsidRPr="00E021CE">
        <w:rPr>
          <w:rFonts w:ascii="Cambria" w:hAnsi="Cambria"/>
          <w:noProof w:val="0"/>
        </w:rPr>
        <w:t xml:space="preserve"> population au tourisme et a</w:t>
      </w:r>
      <w:r w:rsidRPr="00E021CE">
        <w:rPr>
          <w:rFonts w:ascii="Cambria" w:hAnsi="Cambria"/>
          <w:noProof w:val="0"/>
        </w:rPr>
        <w:t>nimer les comités du tourisme.</w:t>
      </w:r>
      <w:r w:rsidR="00E021CE" w:rsidRPr="00E021CE">
        <w:rPr>
          <w:rFonts w:ascii="Cambria" w:hAnsi="Cambria"/>
          <w:noProof w:val="0"/>
        </w:rPr>
        <w:t xml:space="preserve"> </w:t>
      </w:r>
      <w:r w:rsidRPr="00E021CE">
        <w:rPr>
          <w:rFonts w:ascii="Cambria" w:hAnsi="Cambria"/>
          <w:noProof w:val="0"/>
        </w:rPr>
        <w:t>La direction</w:t>
      </w:r>
      <w:r w:rsidR="00E021CE" w:rsidRPr="00E021CE">
        <w:rPr>
          <w:rFonts w:ascii="Cambria" w:hAnsi="Cambria"/>
          <w:noProof w:val="0"/>
        </w:rPr>
        <w:t xml:space="preserve"> des opérations locales </w:t>
      </w:r>
      <w:r w:rsidRPr="00E021CE">
        <w:rPr>
          <w:rFonts w:ascii="Cambria" w:hAnsi="Cambria"/>
          <w:noProof w:val="0"/>
        </w:rPr>
        <w:t xml:space="preserve">est constituée d’une directrice et de 9 agents, dont 1 sur Raiatea. </w:t>
      </w:r>
    </w:p>
    <w:p w:rsidR="000448E5" w:rsidRPr="00E021CE" w:rsidRDefault="000448E5" w:rsidP="00E021CE">
      <w:pPr>
        <w:pStyle w:val="-LettreTexteGEDA"/>
        <w:ind w:firstLine="0"/>
        <w:rPr>
          <w:rFonts w:ascii="Cambria" w:hAnsi="Cambria"/>
          <w:noProof w:val="0"/>
        </w:rPr>
      </w:pPr>
      <w:r w:rsidRPr="00E021CE">
        <w:rPr>
          <w:rFonts w:ascii="Cambria" w:hAnsi="Cambria"/>
          <w:noProof w:val="0"/>
        </w:rPr>
        <w:t xml:space="preserve">Pour sa mission d’accueil, d’orientation et d’information, le Tahiti </w:t>
      </w:r>
      <w:r w:rsidR="00E021CE" w:rsidRPr="00E021CE">
        <w:rPr>
          <w:rFonts w:ascii="Cambria" w:hAnsi="Cambria"/>
          <w:noProof w:val="0"/>
        </w:rPr>
        <w:t>Tourisme dispose de 4 points d’</w:t>
      </w:r>
      <w:r w:rsidRPr="00E021CE">
        <w:rPr>
          <w:rFonts w:ascii="Cambria" w:hAnsi="Cambria"/>
          <w:noProof w:val="0"/>
        </w:rPr>
        <w:t xml:space="preserve">accueil et d’information. Au total ce sont près de 45 000 visiteurs qui se seront rendus dans les différents points d’information. Les </w:t>
      </w:r>
      <w:r w:rsidR="00E021CE" w:rsidRPr="00E021CE">
        <w:rPr>
          <w:rFonts w:ascii="Cambria" w:hAnsi="Cambria"/>
          <w:noProof w:val="0"/>
        </w:rPr>
        <w:t>A</w:t>
      </w:r>
      <w:r w:rsidRPr="00E021CE">
        <w:rPr>
          <w:rFonts w:ascii="Cambria" w:hAnsi="Cambria"/>
          <w:noProof w:val="0"/>
        </w:rPr>
        <w:t xml:space="preserve">méricains composent la majorité de ses visiteurs, suivis des </w:t>
      </w:r>
      <w:r w:rsidR="00E021CE" w:rsidRPr="00E021CE">
        <w:rPr>
          <w:rFonts w:ascii="Cambria" w:hAnsi="Cambria"/>
          <w:noProof w:val="0"/>
        </w:rPr>
        <w:t>métropolitains</w:t>
      </w:r>
      <w:r w:rsidRPr="00E021CE">
        <w:rPr>
          <w:rFonts w:ascii="Cambria" w:hAnsi="Cambria"/>
          <w:noProof w:val="0"/>
        </w:rPr>
        <w:t>, des autres européens et des résidents avec près de 3 500 visiteurs.</w:t>
      </w:r>
    </w:p>
    <w:p w:rsidR="000448E5" w:rsidRPr="00E021CE" w:rsidRDefault="000448E5" w:rsidP="00E021CE">
      <w:pPr>
        <w:pStyle w:val="-LettreTexteGEDA"/>
        <w:ind w:firstLine="0"/>
        <w:rPr>
          <w:rFonts w:ascii="Cambria" w:hAnsi="Cambria"/>
          <w:noProof w:val="0"/>
        </w:rPr>
      </w:pPr>
      <w:r w:rsidRPr="00E021CE">
        <w:rPr>
          <w:rFonts w:ascii="Cambria" w:hAnsi="Cambria"/>
          <w:noProof w:val="0"/>
        </w:rPr>
        <w:t>Le comptoir de la gare maritime, à Papeete, était installé depuis 2016, permettant d’informer et d’orienter le flux touristique en partance, ou en provenance, de Moorea. Dans le cadre de la construction de nouveau terminal de croisière, les services d’accueil et d’information sont maintenant assurés sous un chapiteau provisoire situé en face de l’épi nord du quai des paquebots. Le comptoir de l’aéroport de Tahiti-Faaa est</w:t>
      </w:r>
      <w:r w:rsidR="00E021CE" w:rsidRPr="00E021CE">
        <w:rPr>
          <w:rFonts w:ascii="Cambria" w:hAnsi="Cambria"/>
          <w:noProof w:val="0"/>
        </w:rPr>
        <w:t xml:space="preserve"> quant à lui </w:t>
      </w:r>
      <w:r w:rsidRPr="00E021CE">
        <w:rPr>
          <w:rFonts w:ascii="Cambria" w:hAnsi="Cambria"/>
          <w:noProof w:val="0"/>
        </w:rPr>
        <w:t xml:space="preserve">installé depuis 2018 pour répondre à l’augmentation du flux de passagers liée à l’arrivée des nouvelles compagnies. Depuis l’ouverture, près de </w:t>
      </w:r>
      <w:r w:rsidR="00E021CE" w:rsidRPr="00E021CE">
        <w:rPr>
          <w:rFonts w:ascii="Cambria" w:hAnsi="Cambria"/>
          <w:noProof w:val="0"/>
        </w:rPr>
        <w:t>3 300 touristes se sont rendus à ce</w:t>
      </w:r>
      <w:r w:rsidRPr="00E021CE">
        <w:rPr>
          <w:rFonts w:ascii="Cambria" w:hAnsi="Cambria"/>
          <w:noProof w:val="0"/>
        </w:rPr>
        <w:t xml:space="preserve"> guichet d’informations. Le bureau de Raiatea est</w:t>
      </w:r>
      <w:r w:rsidR="00E021CE" w:rsidRPr="00E021CE">
        <w:rPr>
          <w:rFonts w:ascii="Cambria" w:hAnsi="Cambria"/>
          <w:noProof w:val="0"/>
        </w:rPr>
        <w:t>, lui,</w:t>
      </w:r>
      <w:r w:rsidRPr="00E021CE">
        <w:rPr>
          <w:rFonts w:ascii="Cambria" w:hAnsi="Cambria"/>
          <w:noProof w:val="0"/>
        </w:rPr>
        <w:t xml:space="preserve"> localisé à la gare maritime d’</w:t>
      </w:r>
      <w:proofErr w:type="spellStart"/>
      <w:r w:rsidRPr="00E021CE">
        <w:rPr>
          <w:rFonts w:ascii="Cambria" w:hAnsi="Cambria"/>
          <w:noProof w:val="0"/>
        </w:rPr>
        <w:t>Uturoa</w:t>
      </w:r>
      <w:proofErr w:type="spellEnd"/>
      <w:r w:rsidRPr="00E021CE">
        <w:rPr>
          <w:rFonts w:ascii="Cambria" w:hAnsi="Cambria"/>
          <w:noProof w:val="0"/>
        </w:rPr>
        <w:t xml:space="preserve">. </w:t>
      </w:r>
    </w:p>
    <w:p w:rsidR="000448E5" w:rsidRPr="00E021CE" w:rsidRDefault="000448E5" w:rsidP="00E021CE">
      <w:pPr>
        <w:pStyle w:val="-LettreTexteGEDA"/>
        <w:spacing w:after="240" w:line="276" w:lineRule="auto"/>
        <w:ind w:firstLine="0"/>
        <w:rPr>
          <w:rFonts w:ascii="Cambria" w:hAnsi="Cambria"/>
          <w:szCs w:val="24"/>
        </w:rPr>
      </w:pPr>
      <w:r w:rsidRPr="00E021CE">
        <w:rPr>
          <w:rFonts w:ascii="Cambria" w:hAnsi="Cambria"/>
          <w:szCs w:val="24"/>
        </w:rPr>
        <w:t xml:space="preserve">Compte tenu du volume de touristes accueillis, </w:t>
      </w:r>
      <w:r w:rsidRPr="00E021CE">
        <w:rPr>
          <w:rFonts w:ascii="Cambria" w:hAnsi="Cambria"/>
          <w:iCs/>
          <w:szCs w:val="24"/>
        </w:rPr>
        <w:t>Tahiti Tourisme</w:t>
      </w:r>
      <w:r w:rsidRPr="00E021CE">
        <w:rPr>
          <w:rFonts w:ascii="Cambria" w:hAnsi="Cambria"/>
          <w:szCs w:val="24"/>
        </w:rPr>
        <w:t xml:space="preserve"> a souhaité se doter d’un outil permettant de donner aux touristes et à la population un niveau de confort optimal. C’est la raison pour laquelle </w:t>
      </w:r>
      <w:r w:rsidRPr="00E021CE">
        <w:rPr>
          <w:rFonts w:ascii="Cambria" w:hAnsi="Cambria"/>
          <w:iCs/>
          <w:szCs w:val="24"/>
        </w:rPr>
        <w:t>Tahiti Tourisme</w:t>
      </w:r>
      <w:r w:rsidRPr="00E021CE">
        <w:rPr>
          <w:rFonts w:ascii="Cambria" w:hAnsi="Cambria"/>
          <w:szCs w:val="24"/>
        </w:rPr>
        <w:t xml:space="preserve"> a repris le bail de l’ancienne agence Socredo Tiare située sur le front de mer de Papeete, au niveau du quartier du commerce.</w:t>
      </w:r>
      <w:r w:rsidR="00E021CE" w:rsidRPr="00E021CE">
        <w:rPr>
          <w:rFonts w:ascii="Cambria" w:hAnsi="Cambria"/>
          <w:szCs w:val="24"/>
        </w:rPr>
        <w:t xml:space="preserve"> </w:t>
      </w:r>
      <w:r w:rsidRPr="00E021CE">
        <w:rPr>
          <w:rFonts w:ascii="Cambria" w:hAnsi="Cambria"/>
        </w:rPr>
        <w:t xml:space="preserve">Ainsi, ce sont 146m² qui seront dédiés à l’accueil et à l’information touristique sur la base d’un design mêlant modernité et traditions. D’une part, la culture et le patrimoine seront mis en avant avec l’exposition permanente d’œuvres réalisés par les élèves du Centre des Métiers d’Art avec qui </w:t>
      </w:r>
      <w:r w:rsidRPr="00E021CE">
        <w:rPr>
          <w:rFonts w:ascii="Cambria" w:hAnsi="Cambria"/>
          <w:iCs/>
        </w:rPr>
        <w:t>Tahiti Tourisme</w:t>
      </w:r>
      <w:r w:rsidRPr="00E021CE">
        <w:rPr>
          <w:rFonts w:ascii="Cambria" w:hAnsi="Cambria"/>
        </w:rPr>
        <w:t xml:space="preserve"> souhaite développer un partenariat à long terme. D’autre part, des produits locaux seront également exposés.</w:t>
      </w:r>
    </w:p>
    <w:p w:rsidR="000448E5" w:rsidRPr="00E021CE" w:rsidRDefault="000448E5" w:rsidP="00E021CE">
      <w:pPr>
        <w:spacing w:after="240" w:line="276" w:lineRule="auto"/>
        <w:jc w:val="both"/>
        <w:rPr>
          <w:rFonts w:ascii="Cambria" w:hAnsi="Cambria"/>
        </w:rPr>
      </w:pPr>
      <w:r w:rsidRPr="00E021CE">
        <w:rPr>
          <w:rFonts w:ascii="Cambria" w:hAnsi="Cambria"/>
        </w:rPr>
        <w:t>L’espace sera réparti en deux grandes zones :</w:t>
      </w:r>
      <w:r w:rsidR="00E021CE" w:rsidRPr="00E021CE">
        <w:rPr>
          <w:rFonts w:ascii="Cambria" w:hAnsi="Cambria"/>
        </w:rPr>
        <w:t xml:space="preserve"> l</w:t>
      </w:r>
      <w:r w:rsidRPr="00E021CE">
        <w:rPr>
          <w:rFonts w:ascii="Cambria" w:hAnsi="Cambria"/>
        </w:rPr>
        <w:t xml:space="preserve">a partie avant, composées de 3 espaces, dédiée à l’accueil des touristes a été </w:t>
      </w:r>
      <w:r w:rsidR="00E021CE" w:rsidRPr="00E021CE">
        <w:rPr>
          <w:rFonts w:ascii="Cambria" w:hAnsi="Cambria"/>
        </w:rPr>
        <w:t>conçue</w:t>
      </w:r>
      <w:r w:rsidRPr="00E021CE">
        <w:rPr>
          <w:rFonts w:ascii="Cambria" w:hAnsi="Cambria"/>
        </w:rPr>
        <w:t xml:space="preserve"> pour que les personnes à mobilité réduite</w:t>
      </w:r>
      <w:r w:rsidR="00E021CE" w:rsidRPr="00E021CE">
        <w:rPr>
          <w:rFonts w:ascii="Cambria" w:hAnsi="Cambria"/>
        </w:rPr>
        <w:t xml:space="preserve"> puissent y accéder facilement, u</w:t>
      </w:r>
      <w:r w:rsidRPr="00E021CE">
        <w:rPr>
          <w:rFonts w:ascii="Cambria" w:hAnsi="Cambria"/>
        </w:rPr>
        <w:t>n premier espace d’accueil incluant un desk en bois local et nacres derrière lequel les touristes trouveront l’ensemble des informations disponibles</w:t>
      </w:r>
      <w:r w:rsidR="00E021CE" w:rsidRPr="00E021CE">
        <w:rPr>
          <w:rFonts w:ascii="Cambria" w:hAnsi="Cambria"/>
        </w:rPr>
        <w:t xml:space="preserve"> et par u</w:t>
      </w:r>
      <w:r w:rsidRPr="00E021CE">
        <w:rPr>
          <w:rFonts w:ascii="Cambria" w:hAnsi="Cambria"/>
        </w:rPr>
        <w:t>n second espace de détente pourvu de fauteuils dans lesquels les touristes pourront se déten</w:t>
      </w:r>
      <w:r w:rsidR="00E021CE" w:rsidRPr="00E021CE">
        <w:rPr>
          <w:rFonts w:ascii="Cambria" w:hAnsi="Cambria"/>
        </w:rPr>
        <w:t xml:space="preserve">dre et profiter du Wifi offert et </w:t>
      </w:r>
      <w:r w:rsidR="00247369">
        <w:rPr>
          <w:rFonts w:ascii="Cambria" w:hAnsi="Cambria"/>
        </w:rPr>
        <w:t>u</w:t>
      </w:r>
      <w:r w:rsidRPr="00E021CE">
        <w:rPr>
          <w:rFonts w:ascii="Cambria" w:hAnsi="Cambria"/>
        </w:rPr>
        <w:t xml:space="preserve">n troisième espace « boutique » dans lequel les produits dérivés de la marque </w:t>
      </w:r>
      <w:r w:rsidRPr="00E021CE">
        <w:rPr>
          <w:rFonts w:ascii="Cambria" w:hAnsi="Cambria"/>
          <w:iCs/>
        </w:rPr>
        <w:t>Tahiti Et Ses Îles</w:t>
      </w:r>
      <w:r w:rsidRPr="00E021CE">
        <w:rPr>
          <w:rFonts w:ascii="Cambria" w:hAnsi="Cambria"/>
        </w:rPr>
        <w:t xml:space="preserve"> seront vendus (parapluies, </w:t>
      </w:r>
      <w:proofErr w:type="spellStart"/>
      <w:r w:rsidRPr="00E021CE">
        <w:rPr>
          <w:rFonts w:ascii="Cambria" w:hAnsi="Cambria"/>
        </w:rPr>
        <w:t>mugs</w:t>
      </w:r>
      <w:proofErr w:type="spellEnd"/>
      <w:r w:rsidRPr="00E021CE">
        <w:rPr>
          <w:rFonts w:ascii="Cambria" w:hAnsi="Cambria"/>
        </w:rPr>
        <w:t xml:space="preserve">, gourdes réutilisables…).  </w:t>
      </w:r>
    </w:p>
    <w:p w:rsidR="000448E5" w:rsidRPr="00E021CE" w:rsidRDefault="00E021CE" w:rsidP="00E021CE">
      <w:pPr>
        <w:spacing w:after="240"/>
        <w:jc w:val="both"/>
        <w:rPr>
          <w:rFonts w:ascii="Cambria" w:hAnsi="Cambria"/>
        </w:rPr>
      </w:pPr>
      <w:r w:rsidRPr="00E021CE">
        <w:rPr>
          <w:rFonts w:ascii="Cambria" w:hAnsi="Cambria"/>
        </w:rPr>
        <w:t xml:space="preserve">La partie arrière du local </w:t>
      </w:r>
      <w:r w:rsidR="000448E5" w:rsidRPr="00E021CE">
        <w:rPr>
          <w:rFonts w:ascii="Cambria" w:hAnsi="Cambria"/>
        </w:rPr>
        <w:t xml:space="preserve">ne sera pas accessible au public mais offrira au personnel </w:t>
      </w:r>
      <w:r w:rsidR="000448E5" w:rsidRPr="00E021CE">
        <w:rPr>
          <w:rFonts w:ascii="Cambria" w:hAnsi="Cambria"/>
          <w:iCs/>
        </w:rPr>
        <w:t>de Tahiti Tourisme</w:t>
      </w:r>
      <w:r w:rsidR="000448E5" w:rsidRPr="00E021CE">
        <w:rPr>
          <w:rFonts w:ascii="Cambria" w:hAnsi="Cambria"/>
        </w:rPr>
        <w:t xml:space="preserve"> dédié aux opérations locales un espace de travail optimisé.</w:t>
      </w:r>
      <w:r w:rsidRPr="00E021CE">
        <w:rPr>
          <w:rFonts w:ascii="Cambria" w:hAnsi="Cambria"/>
        </w:rPr>
        <w:t xml:space="preserve"> </w:t>
      </w:r>
      <w:r w:rsidR="000448E5" w:rsidRPr="00E021CE">
        <w:rPr>
          <w:rFonts w:ascii="Cambria" w:hAnsi="Cambria"/>
        </w:rPr>
        <w:t xml:space="preserve">Les travaux </w:t>
      </w:r>
      <w:r w:rsidR="000448E5" w:rsidRPr="00E021CE">
        <w:rPr>
          <w:rFonts w:ascii="Cambria" w:hAnsi="Cambria"/>
        </w:rPr>
        <w:lastRenderedPageBreak/>
        <w:t xml:space="preserve">devraient démarrer </w:t>
      </w:r>
      <w:r w:rsidRPr="00E021CE">
        <w:rPr>
          <w:rFonts w:ascii="Cambria" w:hAnsi="Cambria"/>
        </w:rPr>
        <w:t>ce mois-ci</w:t>
      </w:r>
      <w:r w:rsidR="000448E5" w:rsidRPr="00E021CE">
        <w:rPr>
          <w:rFonts w:ascii="Cambria" w:hAnsi="Cambria"/>
        </w:rPr>
        <w:t xml:space="preserve"> pour une durée de </w:t>
      </w:r>
      <w:r w:rsidRPr="00E021CE">
        <w:rPr>
          <w:rFonts w:ascii="Cambria" w:hAnsi="Cambria"/>
        </w:rPr>
        <w:t>3 mois environ, avec une livraison</w:t>
      </w:r>
      <w:r w:rsidR="000448E5" w:rsidRPr="00E021CE">
        <w:rPr>
          <w:rFonts w:ascii="Cambria" w:hAnsi="Cambria"/>
        </w:rPr>
        <w:t xml:space="preserve"> prévue en janvier 2020. </w:t>
      </w:r>
      <w:r w:rsidRPr="00E021CE">
        <w:rPr>
          <w:rFonts w:ascii="Cambria" w:hAnsi="Cambria"/>
        </w:rPr>
        <w:t>Le coût des travaux, mobilier compris,</w:t>
      </w:r>
      <w:r w:rsidR="000448E5" w:rsidRPr="00E021CE">
        <w:rPr>
          <w:rFonts w:ascii="Cambria" w:hAnsi="Cambria"/>
        </w:rPr>
        <w:t xml:space="preserve"> est estimé à 45 </w:t>
      </w:r>
      <w:r w:rsidRPr="00E021CE">
        <w:rPr>
          <w:rFonts w:ascii="Cambria" w:hAnsi="Cambria"/>
        </w:rPr>
        <w:t xml:space="preserve">millions </w:t>
      </w:r>
      <w:proofErr w:type="spellStart"/>
      <w:r w:rsidRPr="00E021CE">
        <w:rPr>
          <w:rFonts w:ascii="Cambria" w:hAnsi="Cambria"/>
        </w:rPr>
        <w:t>Fcfp</w:t>
      </w:r>
      <w:proofErr w:type="spellEnd"/>
      <w:r w:rsidR="000448E5" w:rsidRPr="00E021CE">
        <w:rPr>
          <w:rFonts w:ascii="Cambria" w:hAnsi="Cambria"/>
        </w:rPr>
        <w:t>. Ils s</w:t>
      </w:r>
      <w:r w:rsidRPr="00E021CE">
        <w:rPr>
          <w:rFonts w:ascii="Cambria" w:hAnsi="Cambria"/>
        </w:rPr>
        <w:t>er</w:t>
      </w:r>
      <w:r w:rsidR="000448E5" w:rsidRPr="00E021CE">
        <w:rPr>
          <w:rFonts w:ascii="Cambria" w:hAnsi="Cambria"/>
        </w:rPr>
        <w:t xml:space="preserve">ont financés </w:t>
      </w:r>
      <w:r w:rsidRPr="00E021CE">
        <w:rPr>
          <w:rFonts w:ascii="Cambria" w:hAnsi="Cambria"/>
        </w:rPr>
        <w:t>sur</w:t>
      </w:r>
      <w:r w:rsidR="000448E5" w:rsidRPr="00E021CE">
        <w:rPr>
          <w:rFonts w:ascii="Cambria" w:hAnsi="Cambria"/>
        </w:rPr>
        <w:t xml:space="preserve"> fonds propres par </w:t>
      </w:r>
      <w:r w:rsidR="000448E5" w:rsidRPr="00E021CE">
        <w:rPr>
          <w:rFonts w:ascii="Cambria" w:hAnsi="Cambria"/>
          <w:iCs/>
        </w:rPr>
        <w:t>Tahiti Tourisme</w:t>
      </w:r>
      <w:r w:rsidR="000448E5" w:rsidRPr="00E021CE">
        <w:rPr>
          <w:rFonts w:ascii="Cambria" w:hAnsi="Cambria"/>
        </w:rPr>
        <w:t>.</w:t>
      </w:r>
    </w:p>
    <w:p w:rsidR="000448E5" w:rsidRPr="000448E5" w:rsidRDefault="000448E5" w:rsidP="00BD7B99">
      <w:pPr>
        <w:widowControl w:val="0"/>
        <w:autoSpaceDE w:val="0"/>
        <w:autoSpaceDN w:val="0"/>
        <w:adjustRightInd w:val="0"/>
        <w:jc w:val="both"/>
        <w:rPr>
          <w:rFonts w:ascii="Cambria" w:hAnsi="Cambria"/>
        </w:rPr>
      </w:pPr>
    </w:p>
    <w:p w:rsidR="000448E5" w:rsidRPr="000448E5" w:rsidRDefault="000448E5" w:rsidP="00BD7B99">
      <w:pPr>
        <w:widowControl w:val="0"/>
        <w:autoSpaceDE w:val="0"/>
        <w:autoSpaceDN w:val="0"/>
        <w:adjustRightInd w:val="0"/>
        <w:jc w:val="both"/>
        <w:rPr>
          <w:rFonts w:ascii="Cambria" w:hAnsi="Cambria"/>
          <w:b/>
        </w:rPr>
      </w:pPr>
    </w:p>
    <w:p w:rsidR="000448E5" w:rsidRPr="000448E5" w:rsidRDefault="000448E5" w:rsidP="00BD7B99">
      <w:pPr>
        <w:widowControl w:val="0"/>
        <w:autoSpaceDE w:val="0"/>
        <w:autoSpaceDN w:val="0"/>
        <w:adjustRightInd w:val="0"/>
        <w:jc w:val="both"/>
        <w:rPr>
          <w:rFonts w:ascii="Cambria" w:hAnsi="Cambria"/>
          <w:b/>
        </w:rPr>
      </w:pPr>
      <w:r w:rsidRPr="000448E5">
        <w:rPr>
          <w:rFonts w:ascii="Cambria" w:hAnsi="Cambria"/>
          <w:b/>
        </w:rPr>
        <w:t>Subvention de fonctionnement pour le Comité polynésien des maisons familiales rurales</w:t>
      </w:r>
    </w:p>
    <w:p w:rsidR="000448E5" w:rsidRPr="000448E5" w:rsidRDefault="000448E5" w:rsidP="00BD7B99">
      <w:pPr>
        <w:widowControl w:val="0"/>
        <w:autoSpaceDE w:val="0"/>
        <w:autoSpaceDN w:val="0"/>
        <w:adjustRightInd w:val="0"/>
        <w:jc w:val="both"/>
        <w:rPr>
          <w:rFonts w:ascii="Cambria" w:hAnsi="Cambria"/>
        </w:rPr>
      </w:pPr>
    </w:p>
    <w:p w:rsidR="000448E5" w:rsidRPr="000448E5" w:rsidRDefault="000448E5" w:rsidP="000448E5">
      <w:pPr>
        <w:pStyle w:val="-LettreTexteGEDA"/>
        <w:spacing w:before="0" w:after="120"/>
        <w:ind w:firstLine="0"/>
        <w:rPr>
          <w:rFonts w:ascii="Cambria" w:hAnsi="Cambria"/>
          <w:noProof w:val="0"/>
        </w:rPr>
      </w:pPr>
      <w:r w:rsidRPr="000448E5">
        <w:rPr>
          <w:rFonts w:ascii="Cambria" w:hAnsi="Cambria"/>
        </w:rPr>
        <w:t xml:space="preserve">Le Conseil des ministres a octroyé une subvention d’un montant de 87 millions Fcfp au </w:t>
      </w:r>
      <w:r w:rsidRPr="000448E5">
        <w:rPr>
          <w:rFonts w:ascii="Cambria" w:hAnsi="Cambria"/>
          <w:noProof w:val="0"/>
        </w:rPr>
        <w:t>comité polynésien des maisons familiales rurales (CPMFR)</w:t>
      </w:r>
      <w:r w:rsidRPr="000448E5">
        <w:rPr>
          <w:rFonts w:ascii="Cambria" w:hAnsi="Cambria"/>
        </w:rPr>
        <w:t xml:space="preserve"> </w:t>
      </w:r>
      <w:r w:rsidRPr="000448E5">
        <w:rPr>
          <w:rFonts w:ascii="Cambria" w:hAnsi="Cambria"/>
          <w:noProof w:val="0"/>
        </w:rPr>
        <w:t>au titre de l’année 2019 pour ses dépenses de fonctionnement.</w:t>
      </w:r>
    </w:p>
    <w:p w:rsidR="000448E5" w:rsidRPr="000448E5" w:rsidRDefault="000448E5" w:rsidP="000448E5">
      <w:pPr>
        <w:pStyle w:val="-LettreTexteGEDA"/>
        <w:ind w:firstLine="0"/>
        <w:rPr>
          <w:rFonts w:ascii="Cambria" w:hAnsi="Cambria"/>
          <w:noProof w:val="0"/>
        </w:rPr>
      </w:pPr>
      <w:r w:rsidRPr="000448E5">
        <w:rPr>
          <w:rFonts w:ascii="Cambria" w:hAnsi="Cambria"/>
          <w:noProof w:val="0"/>
        </w:rPr>
        <w:t xml:space="preserve">Créé en 1980, le CPMFR, qui fonctionne également sous le régime d’une association de type loi 1901 est, en tant qu’entité fédératrice des huit maisons familiales rurales (MFR), chargé du suivi administratif, financier et pédagogique. </w:t>
      </w:r>
      <w:r w:rsidRPr="000448E5">
        <w:rPr>
          <w:rFonts w:ascii="Cambria" w:hAnsi="Cambria"/>
          <w:color w:val="000000"/>
          <w:szCs w:val="16"/>
        </w:rPr>
        <w:t>En effet, il a notamment pour objet de favoriser une approche globale des questions relatives aux formations dispensées dans les classes de 4e, 3e, CAPA, selon un rythme approprié p</w:t>
      </w:r>
      <w:r w:rsidRPr="000448E5">
        <w:rPr>
          <w:rFonts w:ascii="Cambria" w:hAnsi="Cambria"/>
          <w:szCs w:val="16"/>
        </w:rPr>
        <w:t>ar alternance. Il apporte également un appui logistique aux MFR. Il définit et met en oeuvre, en partenariat avec les MFR, la politique de recrutement, de formation et d'encadrement pédagogique des moniteurs.</w:t>
      </w:r>
      <w:r w:rsidRPr="000448E5">
        <w:rPr>
          <w:rFonts w:ascii="Cambria" w:hAnsi="Cambria"/>
          <w:noProof w:val="0"/>
        </w:rPr>
        <w:t xml:space="preserve"> Le comité est, par ailleurs, l’interlocuteur privilégié de l’union nationale des MFR, d’éducation et d’orientation. </w:t>
      </w:r>
    </w:p>
    <w:p w:rsidR="000448E5" w:rsidRPr="00F72A91" w:rsidRDefault="000448E5" w:rsidP="00F72A91">
      <w:pPr>
        <w:pStyle w:val="-LettreTexteGEDA"/>
        <w:spacing w:after="120"/>
        <w:ind w:firstLine="0"/>
        <w:rPr>
          <w:rFonts w:ascii="Cambria" w:hAnsi="Cambria"/>
          <w:noProof w:val="0"/>
        </w:rPr>
      </w:pPr>
      <w:r w:rsidRPr="000448E5">
        <w:rPr>
          <w:rFonts w:ascii="Cambria" w:hAnsi="Cambria"/>
          <w:noProof w:val="0"/>
        </w:rPr>
        <w:t xml:space="preserve">Constituées en association, les (MFR) comptent huit structures de formations réparties sur l’ensemble de la Polynésie française à savoir, 4 structures sur Tahiti et 1 structure sur les îles de </w:t>
      </w:r>
      <w:proofErr w:type="spellStart"/>
      <w:r w:rsidRPr="000448E5">
        <w:rPr>
          <w:rFonts w:ascii="Cambria" w:hAnsi="Cambria"/>
          <w:noProof w:val="0"/>
        </w:rPr>
        <w:t>Huahine</w:t>
      </w:r>
      <w:proofErr w:type="spellEnd"/>
      <w:r w:rsidRPr="000448E5">
        <w:rPr>
          <w:rFonts w:ascii="Cambria" w:hAnsi="Cambria"/>
          <w:noProof w:val="0"/>
        </w:rPr>
        <w:t xml:space="preserve">, Tahaa, </w:t>
      </w:r>
      <w:proofErr w:type="spellStart"/>
      <w:r w:rsidRPr="000448E5">
        <w:rPr>
          <w:rFonts w:ascii="Cambria" w:hAnsi="Cambria"/>
          <w:noProof w:val="0"/>
        </w:rPr>
        <w:t>Hao</w:t>
      </w:r>
      <w:proofErr w:type="spellEnd"/>
      <w:r w:rsidRPr="000448E5">
        <w:rPr>
          <w:rFonts w:ascii="Cambria" w:hAnsi="Cambria"/>
          <w:noProof w:val="0"/>
        </w:rPr>
        <w:t xml:space="preserve"> et Rurutu. Elles sont directement financées par l’Etat sur la base de leur quota d’élèves fixé à 480, en application de la convention quinquennale 9 juillet 2009 relative au fonctionnement des maisons familiales rurales (MFR) de Polynésie française. Ainsi, entre 2016 et 2019, la population scolaire des MFR s’est élevée en moyenne à 441 élèves. Pour l’année 2018, la subvention de l’Etat s’est élevée à 211 337 211 </w:t>
      </w:r>
      <w:proofErr w:type="spellStart"/>
      <w:r w:rsidRPr="000448E5">
        <w:rPr>
          <w:rFonts w:ascii="Cambria" w:hAnsi="Cambria"/>
          <w:noProof w:val="0"/>
        </w:rPr>
        <w:t>Fcfp</w:t>
      </w:r>
      <w:proofErr w:type="spellEnd"/>
      <w:r w:rsidRPr="000448E5">
        <w:rPr>
          <w:rFonts w:ascii="Cambria" w:hAnsi="Cambria"/>
          <w:noProof w:val="0"/>
        </w:rPr>
        <w:t xml:space="preserve"> pour le fonctionnement des MFR et 47 020 974 </w:t>
      </w:r>
      <w:proofErr w:type="spellStart"/>
      <w:r w:rsidRPr="000448E5">
        <w:rPr>
          <w:rFonts w:ascii="Cambria" w:hAnsi="Cambria"/>
          <w:noProof w:val="0"/>
        </w:rPr>
        <w:t>Fcfp</w:t>
      </w:r>
      <w:proofErr w:type="spellEnd"/>
      <w:r w:rsidRPr="000448E5">
        <w:rPr>
          <w:rFonts w:ascii="Cambria" w:hAnsi="Cambria"/>
          <w:noProof w:val="0"/>
        </w:rPr>
        <w:t xml:space="preserve"> pour les bourses des élèves, soit un montant total de 258 358 185 </w:t>
      </w:r>
      <w:proofErr w:type="spellStart"/>
      <w:r w:rsidRPr="000448E5">
        <w:rPr>
          <w:rFonts w:ascii="Cambria" w:hAnsi="Cambria"/>
          <w:noProof w:val="0"/>
        </w:rPr>
        <w:t>Fcfp</w:t>
      </w:r>
      <w:proofErr w:type="spellEnd"/>
      <w:r w:rsidRPr="000448E5">
        <w:rPr>
          <w:rFonts w:ascii="Cambria" w:hAnsi="Cambria"/>
          <w:noProof w:val="0"/>
        </w:rPr>
        <w:t>.</w:t>
      </w:r>
    </w:p>
    <w:p w:rsidR="00BD7B99" w:rsidRPr="00236474" w:rsidRDefault="00BD7B99" w:rsidP="00264EF2">
      <w:pPr>
        <w:widowControl w:val="0"/>
        <w:autoSpaceDE w:val="0"/>
        <w:autoSpaceDN w:val="0"/>
        <w:adjustRightInd w:val="0"/>
        <w:jc w:val="both"/>
        <w:rPr>
          <w:rFonts w:asciiTheme="majorHAnsi" w:hAnsiTheme="majorHAnsi"/>
        </w:rPr>
      </w:pPr>
    </w:p>
    <w:p w:rsidR="002F733A" w:rsidRDefault="002F733A" w:rsidP="002F733A">
      <w:pPr>
        <w:pStyle w:val="-LettreTexteGEDA"/>
        <w:ind w:firstLine="0"/>
        <w:rPr>
          <w:rFonts w:asciiTheme="majorHAnsi" w:hAnsiTheme="majorHAnsi"/>
          <w:b/>
          <w:noProof w:val="0"/>
          <w:szCs w:val="24"/>
        </w:rPr>
      </w:pPr>
      <w:r w:rsidRPr="002B5710">
        <w:rPr>
          <w:rFonts w:asciiTheme="majorHAnsi" w:hAnsiTheme="majorHAnsi"/>
          <w:b/>
          <w:noProof w:val="0"/>
          <w:szCs w:val="24"/>
        </w:rPr>
        <w:t>Développement de la Grande Plaisance</w:t>
      </w:r>
    </w:p>
    <w:p w:rsidR="00C57F44" w:rsidRPr="002B5710" w:rsidRDefault="00C57F44" w:rsidP="002F733A">
      <w:pPr>
        <w:pStyle w:val="-LettreTexteGEDA"/>
        <w:ind w:firstLine="0"/>
        <w:rPr>
          <w:rFonts w:asciiTheme="majorHAnsi" w:hAnsiTheme="majorHAnsi"/>
          <w:b/>
          <w:noProof w:val="0"/>
          <w:szCs w:val="24"/>
        </w:rPr>
      </w:pPr>
    </w:p>
    <w:p w:rsidR="002F733A" w:rsidRPr="00E57CF3" w:rsidRDefault="002F733A" w:rsidP="002F733A">
      <w:pPr>
        <w:pStyle w:val="-LettreTexteGEDA"/>
        <w:ind w:firstLine="0"/>
        <w:rPr>
          <w:rFonts w:asciiTheme="majorHAnsi" w:hAnsiTheme="majorHAnsi"/>
          <w:noProof w:val="0"/>
        </w:rPr>
      </w:pPr>
      <w:r w:rsidRPr="00E57CF3">
        <w:rPr>
          <w:rFonts w:asciiTheme="majorHAnsi" w:hAnsiTheme="majorHAnsi"/>
          <w:lang w:eastAsia="en-US"/>
        </w:rPr>
        <w:t>Le mi</w:t>
      </w:r>
      <w:r w:rsidR="00C57F44" w:rsidRPr="00E57CF3">
        <w:rPr>
          <w:rFonts w:asciiTheme="majorHAnsi" w:hAnsiTheme="majorHAnsi"/>
          <w:lang w:eastAsia="en-US"/>
        </w:rPr>
        <w:t>nistère du Tourisme entend déve</w:t>
      </w:r>
      <w:r w:rsidRPr="00E57CF3">
        <w:rPr>
          <w:rFonts w:asciiTheme="majorHAnsi" w:hAnsiTheme="majorHAnsi"/>
          <w:lang w:eastAsia="en-US"/>
        </w:rPr>
        <w:t xml:space="preserve">lopper le secteur </w:t>
      </w:r>
      <w:r w:rsidR="00C57F44" w:rsidRPr="00E57CF3">
        <w:rPr>
          <w:rFonts w:asciiTheme="majorHAnsi" w:hAnsiTheme="majorHAnsi"/>
          <w:lang w:eastAsia="en-US"/>
        </w:rPr>
        <w:t xml:space="preserve">de </w:t>
      </w:r>
      <w:r w:rsidRPr="00E57CF3">
        <w:rPr>
          <w:rFonts w:asciiTheme="majorHAnsi" w:hAnsiTheme="majorHAnsi"/>
          <w:lang w:eastAsia="en-US"/>
        </w:rPr>
        <w:t>la Grande Plaisance en Poly</w:t>
      </w:r>
      <w:r w:rsidR="00C57F44" w:rsidRPr="00E57CF3">
        <w:rPr>
          <w:rFonts w:asciiTheme="majorHAnsi" w:hAnsiTheme="majorHAnsi"/>
          <w:lang w:eastAsia="en-US"/>
        </w:rPr>
        <w:t>né</w:t>
      </w:r>
      <w:r w:rsidRPr="00E57CF3">
        <w:rPr>
          <w:rFonts w:asciiTheme="majorHAnsi" w:hAnsiTheme="majorHAnsi"/>
          <w:lang w:eastAsia="en-US"/>
        </w:rPr>
        <w:t xml:space="preserve">sie. </w:t>
      </w:r>
      <w:r w:rsidRPr="00E57CF3">
        <w:rPr>
          <w:rFonts w:asciiTheme="majorHAnsi" w:hAnsiTheme="majorHAnsi"/>
          <w:noProof w:val="0"/>
        </w:rPr>
        <w:t xml:space="preserve">Dans cette perspective, l’une des premières actions de 2019 de Tahiti Tourisme a été le jumelage avec le Yacht Club de Monaco ainsi que leur participation conjointe au Yacht Show de Singapour en mars dernier. </w:t>
      </w:r>
    </w:p>
    <w:p w:rsidR="00F72A91" w:rsidRDefault="002F733A" w:rsidP="00C57F44">
      <w:pPr>
        <w:pStyle w:val="-LettreTexteGEDA"/>
        <w:ind w:firstLine="0"/>
        <w:rPr>
          <w:rFonts w:asciiTheme="majorHAnsi" w:hAnsiTheme="majorHAnsi"/>
        </w:rPr>
      </w:pPr>
      <w:r w:rsidRPr="00E57CF3">
        <w:rPr>
          <w:rFonts w:asciiTheme="majorHAnsi" w:hAnsiTheme="majorHAnsi"/>
          <w:noProof w:val="0"/>
        </w:rPr>
        <w:t xml:space="preserve">Tahiti Tourisme a </w:t>
      </w:r>
      <w:r w:rsidR="00C57F44" w:rsidRPr="00E57CF3">
        <w:rPr>
          <w:rFonts w:asciiTheme="majorHAnsi" w:hAnsiTheme="majorHAnsi"/>
          <w:noProof w:val="0"/>
        </w:rPr>
        <w:t xml:space="preserve">ainsi mis en œuvre </w:t>
      </w:r>
      <w:r w:rsidRPr="00E57CF3">
        <w:rPr>
          <w:rFonts w:asciiTheme="majorHAnsi" w:hAnsiTheme="majorHAnsi"/>
          <w:noProof w:val="0"/>
        </w:rPr>
        <w:t xml:space="preserve">ses actions de développement de la visibilité </w:t>
      </w:r>
      <w:r w:rsidR="00C57F44" w:rsidRPr="00E57CF3">
        <w:rPr>
          <w:rFonts w:asciiTheme="majorHAnsi" w:hAnsiTheme="majorHAnsi"/>
          <w:noProof w:val="0"/>
        </w:rPr>
        <w:t>dans ce secteur</w:t>
      </w:r>
      <w:r w:rsidRPr="00E57CF3">
        <w:rPr>
          <w:rFonts w:asciiTheme="majorHAnsi" w:hAnsiTheme="majorHAnsi"/>
          <w:noProof w:val="0"/>
        </w:rPr>
        <w:t xml:space="preserve"> avec les événements suivants : </w:t>
      </w:r>
      <w:r w:rsidR="00C57F44" w:rsidRPr="00E57CF3">
        <w:rPr>
          <w:rFonts w:asciiTheme="majorHAnsi" w:hAnsiTheme="majorHAnsi"/>
          <w:noProof w:val="0"/>
        </w:rPr>
        <w:t>p</w:t>
      </w:r>
      <w:r w:rsidRPr="00E57CF3">
        <w:rPr>
          <w:rFonts w:asciiTheme="majorHAnsi" w:hAnsiTheme="majorHAnsi"/>
          <w:noProof w:val="0"/>
        </w:rPr>
        <w:t xml:space="preserve">articipation au Monaco Yacht Show du 25 au 28 septembre, participation au séminaire charter de l’International Yacht Broker Association le 9 octobre, </w:t>
      </w:r>
      <w:r w:rsidR="00C57F44" w:rsidRPr="00E57CF3">
        <w:rPr>
          <w:rFonts w:asciiTheme="majorHAnsi" w:hAnsiTheme="majorHAnsi"/>
          <w:noProof w:val="0"/>
        </w:rPr>
        <w:t xml:space="preserve">et </w:t>
      </w:r>
      <w:r w:rsidRPr="00E57CF3">
        <w:rPr>
          <w:rFonts w:asciiTheme="majorHAnsi" w:hAnsiTheme="majorHAnsi"/>
          <w:noProof w:val="0"/>
        </w:rPr>
        <w:t xml:space="preserve">présentation des résultats de l’étude d’impact économique de la Grande Plaisance 2019. </w:t>
      </w:r>
      <w:r w:rsidRPr="00E57CF3">
        <w:rPr>
          <w:rFonts w:asciiTheme="majorHAnsi" w:hAnsiTheme="majorHAnsi"/>
        </w:rPr>
        <w:t xml:space="preserve">Organisé en Principauté de Monaco, le Monaco Yacht Show </w:t>
      </w:r>
      <w:r w:rsidR="00C57F44" w:rsidRPr="00E57CF3">
        <w:rPr>
          <w:rFonts w:asciiTheme="majorHAnsi" w:hAnsiTheme="majorHAnsi"/>
        </w:rPr>
        <w:t>présente, chaque année, plus de 100</w:t>
      </w:r>
      <w:r w:rsidRPr="00E57CF3">
        <w:rPr>
          <w:rFonts w:asciiTheme="majorHAnsi" w:hAnsiTheme="majorHAnsi"/>
        </w:rPr>
        <w:t xml:space="preserve"> superyachts uniques et exceptionnels construits par les plus grands chantiers navals au monde et accueille les acteurs majeurs du yachting.</w:t>
      </w:r>
    </w:p>
    <w:p w:rsidR="00F72A91" w:rsidRPr="00E57CF3" w:rsidRDefault="00F72A91" w:rsidP="00C57F44">
      <w:pPr>
        <w:pStyle w:val="-LettreTexteGEDA"/>
        <w:ind w:firstLine="0"/>
        <w:rPr>
          <w:rFonts w:asciiTheme="majorHAnsi" w:hAnsiTheme="majorHAnsi"/>
        </w:rPr>
      </w:pPr>
    </w:p>
    <w:p w:rsidR="002F733A" w:rsidRPr="00E57CF3" w:rsidRDefault="002F733A" w:rsidP="00E57CF3">
      <w:pPr>
        <w:pStyle w:val="NormalWeb"/>
        <w:shd w:val="clear" w:color="auto" w:fill="FFFFFF"/>
        <w:spacing w:before="0" w:beforeAutospacing="0" w:after="120" w:afterAutospacing="0"/>
        <w:jc w:val="both"/>
        <w:rPr>
          <w:rFonts w:asciiTheme="majorHAnsi" w:hAnsiTheme="majorHAnsi"/>
        </w:rPr>
      </w:pPr>
      <w:r w:rsidRPr="00E57CF3">
        <w:rPr>
          <w:rFonts w:asciiTheme="majorHAnsi" w:hAnsiTheme="majorHAnsi"/>
        </w:rPr>
        <w:t xml:space="preserve">En septembre, l’industrie du yachting s’est réunie </w:t>
      </w:r>
      <w:r w:rsidR="00C57F44" w:rsidRPr="00E57CF3">
        <w:rPr>
          <w:rFonts w:asciiTheme="majorHAnsi" w:hAnsiTheme="majorHAnsi"/>
        </w:rPr>
        <w:t>aussi</w:t>
      </w:r>
      <w:r w:rsidRPr="00E57CF3">
        <w:rPr>
          <w:rFonts w:asciiTheme="majorHAnsi" w:hAnsiTheme="majorHAnsi"/>
        </w:rPr>
        <w:t xml:space="preserve"> </w:t>
      </w:r>
      <w:r w:rsidR="00C57F44" w:rsidRPr="00E57CF3">
        <w:rPr>
          <w:rFonts w:asciiTheme="majorHAnsi" w:hAnsiTheme="majorHAnsi"/>
        </w:rPr>
        <w:t>à Monaco</w:t>
      </w:r>
      <w:r w:rsidRPr="00E57CF3">
        <w:rPr>
          <w:rFonts w:asciiTheme="majorHAnsi" w:hAnsiTheme="majorHAnsi"/>
        </w:rPr>
        <w:t xml:space="preserve"> où une quarantaine de nouveaux lancements sont dévoilés en première mondiale chaque année. 600 sociétés exposantes et partenaires participent à l’événement.</w:t>
      </w:r>
      <w:r w:rsidR="00E57CF3" w:rsidRPr="00E57CF3">
        <w:rPr>
          <w:rFonts w:asciiTheme="majorHAnsi" w:hAnsiTheme="majorHAnsi"/>
        </w:rPr>
        <w:t xml:space="preserve"> </w:t>
      </w:r>
      <w:r w:rsidRPr="00E57CF3">
        <w:rPr>
          <w:rFonts w:asciiTheme="majorHAnsi" w:hAnsiTheme="majorHAnsi"/>
          <w:szCs w:val="28"/>
        </w:rPr>
        <w:t>Cette année, Tahiti Et Ses Iles</w:t>
      </w:r>
      <w:r w:rsidRPr="00E57CF3">
        <w:rPr>
          <w:rFonts w:asciiTheme="majorHAnsi" w:hAnsiTheme="majorHAnsi"/>
          <w:iCs/>
          <w:szCs w:val="28"/>
        </w:rPr>
        <w:t xml:space="preserve"> a disposé pour la première fois d’un stand sur </w:t>
      </w:r>
      <w:r w:rsidR="00E57CF3" w:rsidRPr="00E57CF3">
        <w:rPr>
          <w:rFonts w:asciiTheme="majorHAnsi" w:hAnsiTheme="majorHAnsi"/>
          <w:iCs/>
          <w:szCs w:val="28"/>
        </w:rPr>
        <w:t>le</w:t>
      </w:r>
      <w:r w:rsidRPr="00E57CF3">
        <w:rPr>
          <w:rFonts w:asciiTheme="majorHAnsi" w:hAnsiTheme="majorHAnsi"/>
          <w:iCs/>
          <w:szCs w:val="28"/>
        </w:rPr>
        <w:t xml:space="preserve"> salon professionnel de la Grande Plaisance, partagé avec la marina Port </w:t>
      </w:r>
      <w:proofErr w:type="spellStart"/>
      <w:r w:rsidRPr="00E57CF3">
        <w:rPr>
          <w:rFonts w:asciiTheme="majorHAnsi" w:hAnsiTheme="majorHAnsi"/>
          <w:iCs/>
          <w:szCs w:val="28"/>
        </w:rPr>
        <w:t>Denarau</w:t>
      </w:r>
      <w:proofErr w:type="spellEnd"/>
      <w:r w:rsidRPr="00E57CF3">
        <w:rPr>
          <w:rFonts w:asciiTheme="majorHAnsi" w:hAnsiTheme="majorHAnsi"/>
          <w:iCs/>
          <w:szCs w:val="28"/>
        </w:rPr>
        <w:t xml:space="preserve"> de Fi</w:t>
      </w:r>
      <w:r w:rsidR="00BC3D42">
        <w:rPr>
          <w:rFonts w:asciiTheme="majorHAnsi" w:hAnsiTheme="majorHAnsi"/>
          <w:iCs/>
          <w:szCs w:val="28"/>
        </w:rPr>
        <w:t>d</w:t>
      </w:r>
      <w:r w:rsidRPr="00E57CF3">
        <w:rPr>
          <w:rFonts w:asciiTheme="majorHAnsi" w:hAnsiTheme="majorHAnsi"/>
          <w:iCs/>
          <w:szCs w:val="28"/>
        </w:rPr>
        <w:t xml:space="preserve">ji. </w:t>
      </w:r>
      <w:r w:rsidRPr="00E57CF3">
        <w:rPr>
          <w:rFonts w:asciiTheme="majorHAnsi" w:hAnsiTheme="majorHAnsi"/>
          <w:szCs w:val="28"/>
        </w:rPr>
        <w:t xml:space="preserve">Tahiti Tourisme </w:t>
      </w:r>
      <w:r w:rsidRPr="00E57CF3">
        <w:rPr>
          <w:rFonts w:asciiTheme="majorHAnsi" w:hAnsiTheme="majorHAnsi"/>
          <w:iCs/>
          <w:szCs w:val="28"/>
        </w:rPr>
        <w:t xml:space="preserve">a en effet décidé de s’allier à la marina Port </w:t>
      </w:r>
      <w:proofErr w:type="spellStart"/>
      <w:r w:rsidRPr="00E57CF3">
        <w:rPr>
          <w:rFonts w:asciiTheme="majorHAnsi" w:hAnsiTheme="majorHAnsi"/>
          <w:iCs/>
          <w:szCs w:val="28"/>
        </w:rPr>
        <w:t>Denarau</w:t>
      </w:r>
      <w:proofErr w:type="spellEnd"/>
      <w:r w:rsidRPr="00E57CF3">
        <w:rPr>
          <w:rFonts w:asciiTheme="majorHAnsi" w:hAnsiTheme="majorHAnsi"/>
          <w:iCs/>
          <w:szCs w:val="28"/>
        </w:rPr>
        <w:t xml:space="preserve">, elle-même soutenue par </w:t>
      </w:r>
      <w:proofErr w:type="spellStart"/>
      <w:r w:rsidRPr="00E57CF3">
        <w:rPr>
          <w:rFonts w:asciiTheme="majorHAnsi" w:hAnsiTheme="majorHAnsi"/>
          <w:iCs/>
          <w:szCs w:val="28"/>
        </w:rPr>
        <w:t>Tourism</w:t>
      </w:r>
      <w:proofErr w:type="spellEnd"/>
      <w:r w:rsidRPr="00E57CF3">
        <w:rPr>
          <w:rFonts w:asciiTheme="majorHAnsi" w:hAnsiTheme="majorHAnsi"/>
          <w:iCs/>
          <w:szCs w:val="28"/>
        </w:rPr>
        <w:t xml:space="preserve"> Fiji, afin de promouvoir la région pacifique auprès des </w:t>
      </w:r>
      <w:proofErr w:type="spellStart"/>
      <w:r w:rsidRPr="00E57CF3">
        <w:rPr>
          <w:rFonts w:asciiTheme="majorHAnsi" w:hAnsiTheme="majorHAnsi"/>
          <w:iCs/>
          <w:szCs w:val="28"/>
        </w:rPr>
        <w:t>Superyachts</w:t>
      </w:r>
      <w:proofErr w:type="spellEnd"/>
      <w:r w:rsidRPr="00E57CF3">
        <w:rPr>
          <w:rFonts w:asciiTheme="majorHAnsi" w:hAnsiTheme="majorHAnsi"/>
          <w:iCs/>
          <w:szCs w:val="28"/>
        </w:rPr>
        <w:t xml:space="preserve">. Etant donné l’attention générée par la coupe du monde de </w:t>
      </w:r>
      <w:r w:rsidR="00E57CF3" w:rsidRPr="00E57CF3">
        <w:rPr>
          <w:rFonts w:asciiTheme="majorHAnsi" w:hAnsiTheme="majorHAnsi"/>
          <w:iCs/>
          <w:szCs w:val="28"/>
        </w:rPr>
        <w:t>r</w:t>
      </w:r>
      <w:r w:rsidRPr="00E57CF3">
        <w:rPr>
          <w:rFonts w:asciiTheme="majorHAnsi" w:hAnsiTheme="majorHAnsi"/>
          <w:iCs/>
          <w:szCs w:val="28"/>
        </w:rPr>
        <w:t>ugby au Japon cette année, les Jeux Olympiques de Tokyo en 2020 ainsi que l’</w:t>
      </w:r>
      <w:proofErr w:type="spellStart"/>
      <w:r w:rsidRPr="00E57CF3">
        <w:rPr>
          <w:rFonts w:asciiTheme="majorHAnsi" w:hAnsiTheme="majorHAnsi"/>
          <w:iCs/>
          <w:szCs w:val="28"/>
        </w:rPr>
        <w:t>America’s</w:t>
      </w:r>
      <w:proofErr w:type="spellEnd"/>
      <w:r w:rsidRPr="00E57CF3">
        <w:rPr>
          <w:rFonts w:asciiTheme="majorHAnsi" w:hAnsiTheme="majorHAnsi"/>
          <w:iCs/>
          <w:szCs w:val="28"/>
        </w:rPr>
        <w:t xml:space="preserve"> </w:t>
      </w:r>
      <w:proofErr w:type="spellStart"/>
      <w:r w:rsidRPr="00E57CF3">
        <w:rPr>
          <w:rFonts w:asciiTheme="majorHAnsi" w:hAnsiTheme="majorHAnsi"/>
          <w:iCs/>
          <w:szCs w:val="28"/>
        </w:rPr>
        <w:t>Cup</w:t>
      </w:r>
      <w:proofErr w:type="spellEnd"/>
      <w:r w:rsidRPr="00E57CF3">
        <w:rPr>
          <w:rFonts w:asciiTheme="majorHAnsi" w:hAnsiTheme="majorHAnsi"/>
          <w:iCs/>
          <w:szCs w:val="28"/>
        </w:rPr>
        <w:t xml:space="preserve"> en Nouvelle-Zélande en 2021, la coopération s’av</w:t>
      </w:r>
      <w:r w:rsidR="00E57CF3" w:rsidRPr="00E57CF3">
        <w:rPr>
          <w:rFonts w:asciiTheme="majorHAnsi" w:hAnsiTheme="majorHAnsi"/>
          <w:iCs/>
          <w:szCs w:val="28"/>
        </w:rPr>
        <w:t>ère</w:t>
      </w:r>
      <w:r w:rsidRPr="00E57CF3">
        <w:rPr>
          <w:rFonts w:asciiTheme="majorHAnsi" w:hAnsiTheme="majorHAnsi"/>
          <w:iCs/>
          <w:szCs w:val="28"/>
        </w:rPr>
        <w:t xml:space="preserve"> essentielle afin de pouvoir proposer aux </w:t>
      </w:r>
      <w:proofErr w:type="spellStart"/>
      <w:r w:rsidRPr="00E57CF3">
        <w:rPr>
          <w:rFonts w:asciiTheme="majorHAnsi" w:hAnsiTheme="majorHAnsi"/>
          <w:iCs/>
          <w:szCs w:val="28"/>
        </w:rPr>
        <w:t>Superyachts</w:t>
      </w:r>
      <w:proofErr w:type="spellEnd"/>
      <w:r w:rsidRPr="00E57CF3">
        <w:rPr>
          <w:rFonts w:asciiTheme="majorHAnsi" w:hAnsiTheme="majorHAnsi"/>
          <w:iCs/>
          <w:szCs w:val="28"/>
        </w:rPr>
        <w:t xml:space="preserve"> un itinéraire régional complet.</w:t>
      </w:r>
    </w:p>
    <w:p w:rsidR="002F733A" w:rsidRPr="00E57CF3" w:rsidRDefault="002F733A" w:rsidP="002F733A">
      <w:pPr>
        <w:spacing w:after="120"/>
        <w:jc w:val="both"/>
        <w:rPr>
          <w:rFonts w:asciiTheme="majorHAnsi" w:hAnsiTheme="majorHAnsi"/>
          <w:iCs/>
          <w:szCs w:val="28"/>
        </w:rPr>
      </w:pPr>
      <w:r w:rsidRPr="00E57CF3">
        <w:rPr>
          <w:rFonts w:asciiTheme="majorHAnsi" w:hAnsiTheme="majorHAnsi"/>
          <w:iCs/>
          <w:szCs w:val="28"/>
        </w:rPr>
        <w:t xml:space="preserve">Le 9 octobre, </w:t>
      </w:r>
      <w:r w:rsidRPr="00E57CF3">
        <w:rPr>
          <w:rFonts w:asciiTheme="majorHAnsi" w:hAnsiTheme="majorHAnsi"/>
          <w:szCs w:val="28"/>
        </w:rPr>
        <w:t>Tahiti Tourisme</w:t>
      </w:r>
      <w:r w:rsidRPr="00E57CF3">
        <w:rPr>
          <w:rFonts w:asciiTheme="majorHAnsi" w:hAnsiTheme="majorHAnsi"/>
          <w:iCs/>
          <w:szCs w:val="28"/>
        </w:rPr>
        <w:t xml:space="preserve"> a</w:t>
      </w:r>
      <w:r w:rsidR="00E57CF3" w:rsidRPr="00E57CF3">
        <w:rPr>
          <w:rFonts w:asciiTheme="majorHAnsi" w:hAnsiTheme="majorHAnsi"/>
          <w:iCs/>
          <w:szCs w:val="28"/>
        </w:rPr>
        <w:t xml:space="preserve"> aussi </w:t>
      </w:r>
      <w:r w:rsidRPr="00E57CF3">
        <w:rPr>
          <w:rFonts w:asciiTheme="majorHAnsi" w:hAnsiTheme="majorHAnsi"/>
          <w:iCs/>
          <w:szCs w:val="28"/>
        </w:rPr>
        <w:t>participé au séminaire charter de l’International Yacht Broker Association (IYBA), en Floride</w:t>
      </w:r>
      <w:r w:rsidR="00E57CF3" w:rsidRPr="00E57CF3">
        <w:rPr>
          <w:rFonts w:asciiTheme="majorHAnsi" w:hAnsiTheme="majorHAnsi"/>
          <w:iCs/>
          <w:szCs w:val="28"/>
        </w:rPr>
        <w:t xml:space="preserve">. </w:t>
      </w:r>
      <w:r w:rsidRPr="00E57CF3">
        <w:rPr>
          <w:rFonts w:asciiTheme="majorHAnsi" w:hAnsiTheme="majorHAnsi"/>
          <w:iCs/>
          <w:szCs w:val="28"/>
        </w:rPr>
        <w:t xml:space="preserve">Ce séminaire a également été l’opportunité pour </w:t>
      </w:r>
      <w:r w:rsidRPr="00E57CF3">
        <w:rPr>
          <w:rFonts w:asciiTheme="majorHAnsi" w:hAnsiTheme="majorHAnsi"/>
          <w:szCs w:val="28"/>
        </w:rPr>
        <w:t>Tahiti Tourisme</w:t>
      </w:r>
      <w:r w:rsidRPr="00E57CF3">
        <w:rPr>
          <w:rFonts w:asciiTheme="majorHAnsi" w:hAnsiTheme="majorHAnsi"/>
          <w:iCs/>
          <w:szCs w:val="28"/>
        </w:rPr>
        <w:t xml:space="preserve"> de sensibiliser les professionnels de ce secteur à l’importance de la préservation des ressources marines et à la protection des espèces végétales et animales.  Les </w:t>
      </w:r>
      <w:proofErr w:type="spellStart"/>
      <w:r w:rsidRPr="00E57CF3">
        <w:rPr>
          <w:rFonts w:asciiTheme="majorHAnsi" w:hAnsiTheme="majorHAnsi"/>
          <w:iCs/>
          <w:szCs w:val="28"/>
        </w:rPr>
        <w:t>Coral</w:t>
      </w:r>
      <w:proofErr w:type="spellEnd"/>
      <w:r w:rsidRPr="00E57CF3">
        <w:rPr>
          <w:rFonts w:asciiTheme="majorHAnsi" w:hAnsiTheme="majorHAnsi"/>
          <w:iCs/>
          <w:szCs w:val="28"/>
        </w:rPr>
        <w:t xml:space="preserve"> </w:t>
      </w:r>
      <w:proofErr w:type="spellStart"/>
      <w:r w:rsidRPr="00E57CF3">
        <w:rPr>
          <w:rFonts w:asciiTheme="majorHAnsi" w:hAnsiTheme="majorHAnsi"/>
          <w:iCs/>
          <w:szCs w:val="28"/>
        </w:rPr>
        <w:t>Gardeners</w:t>
      </w:r>
      <w:proofErr w:type="spellEnd"/>
      <w:r w:rsidRPr="00E57CF3">
        <w:rPr>
          <w:rFonts w:asciiTheme="majorHAnsi" w:hAnsiTheme="majorHAnsi"/>
          <w:iCs/>
          <w:szCs w:val="28"/>
        </w:rPr>
        <w:t xml:space="preserve"> se sont joi</w:t>
      </w:r>
      <w:r w:rsidR="00E57CF3" w:rsidRPr="00E57CF3">
        <w:rPr>
          <w:rFonts w:asciiTheme="majorHAnsi" w:hAnsiTheme="majorHAnsi"/>
          <w:iCs/>
          <w:szCs w:val="28"/>
        </w:rPr>
        <w:t>nts</w:t>
      </w:r>
      <w:r w:rsidRPr="00E57CF3">
        <w:rPr>
          <w:rFonts w:asciiTheme="majorHAnsi" w:hAnsiTheme="majorHAnsi"/>
          <w:iCs/>
          <w:szCs w:val="28"/>
        </w:rPr>
        <w:t xml:space="preserve"> à </w:t>
      </w:r>
      <w:r w:rsidRPr="00E57CF3">
        <w:rPr>
          <w:rFonts w:asciiTheme="majorHAnsi" w:hAnsiTheme="majorHAnsi"/>
          <w:szCs w:val="28"/>
        </w:rPr>
        <w:t>Tahiti Tourisme</w:t>
      </w:r>
      <w:r w:rsidRPr="00E57CF3">
        <w:rPr>
          <w:rFonts w:asciiTheme="majorHAnsi" w:hAnsiTheme="majorHAnsi"/>
          <w:iCs/>
          <w:szCs w:val="28"/>
        </w:rPr>
        <w:t xml:space="preserve"> dans cette démarche de sensibilisation, en mettant l’accent sur la préservation des récifs coralliens. De nombreux propriétaires de </w:t>
      </w:r>
      <w:proofErr w:type="spellStart"/>
      <w:r w:rsidRPr="00E57CF3">
        <w:rPr>
          <w:rFonts w:asciiTheme="majorHAnsi" w:hAnsiTheme="majorHAnsi"/>
          <w:iCs/>
          <w:szCs w:val="28"/>
        </w:rPr>
        <w:t>Superyacht</w:t>
      </w:r>
      <w:r w:rsidR="00E57CF3" w:rsidRPr="00E57CF3">
        <w:rPr>
          <w:rFonts w:asciiTheme="majorHAnsi" w:hAnsiTheme="majorHAnsi"/>
          <w:iCs/>
          <w:szCs w:val="28"/>
        </w:rPr>
        <w:t>s</w:t>
      </w:r>
      <w:proofErr w:type="spellEnd"/>
      <w:r w:rsidRPr="00E57CF3">
        <w:rPr>
          <w:rFonts w:asciiTheme="majorHAnsi" w:hAnsiTheme="majorHAnsi"/>
          <w:iCs/>
          <w:szCs w:val="28"/>
        </w:rPr>
        <w:t xml:space="preserve"> ainsi que les clients charter sont très sensibles à cette cause, et cette intervention permettra de positionner </w:t>
      </w:r>
      <w:r w:rsidRPr="00E57CF3">
        <w:rPr>
          <w:rFonts w:asciiTheme="majorHAnsi" w:hAnsiTheme="majorHAnsi"/>
          <w:szCs w:val="28"/>
        </w:rPr>
        <w:t>la destination</w:t>
      </w:r>
      <w:r w:rsidRPr="00E57CF3">
        <w:rPr>
          <w:rFonts w:asciiTheme="majorHAnsi" w:hAnsiTheme="majorHAnsi"/>
          <w:iCs/>
          <w:szCs w:val="28"/>
        </w:rPr>
        <w:t xml:space="preserve"> comme un exemple en la matière.</w:t>
      </w:r>
    </w:p>
    <w:p w:rsidR="002F733A" w:rsidRPr="00E57CF3" w:rsidRDefault="002F733A" w:rsidP="002F733A">
      <w:pPr>
        <w:spacing w:after="120"/>
        <w:jc w:val="both"/>
        <w:rPr>
          <w:rFonts w:asciiTheme="majorHAnsi" w:hAnsiTheme="majorHAnsi"/>
          <w:szCs w:val="28"/>
        </w:rPr>
      </w:pPr>
      <w:r w:rsidRPr="00E57CF3">
        <w:rPr>
          <w:rFonts w:asciiTheme="majorHAnsi" w:hAnsiTheme="majorHAnsi"/>
          <w:szCs w:val="28"/>
        </w:rPr>
        <w:t xml:space="preserve">La réalisation d’une étude sur les retombées économiques de la Grande Plaisance en Polynésie française était </w:t>
      </w:r>
      <w:r w:rsidR="00E57CF3" w:rsidRPr="00E57CF3">
        <w:rPr>
          <w:rFonts w:asciiTheme="majorHAnsi" w:hAnsiTheme="majorHAnsi"/>
          <w:szCs w:val="28"/>
        </w:rPr>
        <w:t xml:space="preserve">aussi </w:t>
      </w:r>
      <w:r w:rsidRPr="00E57CF3">
        <w:rPr>
          <w:rFonts w:asciiTheme="majorHAnsi" w:hAnsiTheme="majorHAnsi"/>
          <w:szCs w:val="28"/>
        </w:rPr>
        <w:t xml:space="preserve">l’une des priorités de </w:t>
      </w:r>
      <w:r w:rsidRPr="00E57CF3">
        <w:rPr>
          <w:rFonts w:asciiTheme="majorHAnsi" w:hAnsiTheme="majorHAnsi"/>
          <w:iCs/>
          <w:szCs w:val="28"/>
        </w:rPr>
        <w:t>Tahiti Tourisme</w:t>
      </w:r>
      <w:r w:rsidRPr="00E57CF3">
        <w:rPr>
          <w:rFonts w:asciiTheme="majorHAnsi" w:hAnsiTheme="majorHAnsi"/>
          <w:szCs w:val="28"/>
        </w:rPr>
        <w:t xml:space="preserve"> pour 2019. Avec l’aide d’un comité de pilotage constitué de l’ISPF</w:t>
      </w:r>
      <w:r w:rsidR="00E57CF3" w:rsidRPr="00E57CF3">
        <w:rPr>
          <w:rFonts w:asciiTheme="majorHAnsi" w:hAnsiTheme="majorHAnsi"/>
          <w:szCs w:val="28"/>
        </w:rPr>
        <w:t xml:space="preserve"> (Institut de la statistique de la Polynésie française)</w:t>
      </w:r>
      <w:r w:rsidRPr="00E57CF3">
        <w:rPr>
          <w:rFonts w:asciiTheme="majorHAnsi" w:hAnsiTheme="majorHAnsi"/>
          <w:szCs w:val="28"/>
        </w:rPr>
        <w:t xml:space="preserve">, du </w:t>
      </w:r>
      <w:r w:rsidR="00E57CF3" w:rsidRPr="00E57CF3">
        <w:rPr>
          <w:rFonts w:asciiTheme="majorHAnsi" w:hAnsiTheme="majorHAnsi"/>
          <w:szCs w:val="28"/>
        </w:rPr>
        <w:t>s</w:t>
      </w:r>
      <w:r w:rsidRPr="00E57CF3">
        <w:rPr>
          <w:rFonts w:asciiTheme="majorHAnsi" w:hAnsiTheme="majorHAnsi"/>
          <w:szCs w:val="28"/>
        </w:rPr>
        <w:t xml:space="preserve">ervice du </w:t>
      </w:r>
      <w:r w:rsidR="00E57CF3" w:rsidRPr="00E57CF3">
        <w:rPr>
          <w:rFonts w:asciiTheme="majorHAnsi" w:hAnsiTheme="majorHAnsi"/>
          <w:szCs w:val="28"/>
        </w:rPr>
        <w:t>t</w:t>
      </w:r>
      <w:r w:rsidRPr="00E57CF3">
        <w:rPr>
          <w:rFonts w:asciiTheme="majorHAnsi" w:hAnsiTheme="majorHAnsi"/>
          <w:szCs w:val="28"/>
        </w:rPr>
        <w:t xml:space="preserve">ourisme, de </w:t>
      </w:r>
      <w:r w:rsidRPr="00E57CF3">
        <w:rPr>
          <w:rFonts w:asciiTheme="majorHAnsi" w:hAnsiTheme="majorHAnsi"/>
          <w:iCs/>
          <w:szCs w:val="28"/>
        </w:rPr>
        <w:t>Tahiti Tourisme</w:t>
      </w:r>
      <w:r w:rsidRPr="00E57CF3">
        <w:rPr>
          <w:rFonts w:asciiTheme="majorHAnsi" w:hAnsiTheme="majorHAnsi"/>
          <w:szCs w:val="28"/>
        </w:rPr>
        <w:t xml:space="preserve"> et de membres du Cluster </w:t>
      </w:r>
      <w:proofErr w:type="spellStart"/>
      <w:r w:rsidRPr="00E57CF3">
        <w:rPr>
          <w:rFonts w:asciiTheme="majorHAnsi" w:hAnsiTheme="majorHAnsi"/>
          <w:szCs w:val="28"/>
        </w:rPr>
        <w:t>Superyacht</w:t>
      </w:r>
      <w:proofErr w:type="spellEnd"/>
      <w:r w:rsidRPr="00E57CF3">
        <w:rPr>
          <w:rFonts w:asciiTheme="majorHAnsi" w:hAnsiTheme="majorHAnsi"/>
          <w:szCs w:val="28"/>
        </w:rPr>
        <w:t xml:space="preserve">, l’agence londonienne The </w:t>
      </w:r>
      <w:proofErr w:type="spellStart"/>
      <w:r w:rsidRPr="00E57CF3">
        <w:rPr>
          <w:rFonts w:asciiTheme="majorHAnsi" w:hAnsiTheme="majorHAnsi"/>
          <w:szCs w:val="28"/>
        </w:rPr>
        <w:t>Superyacht</w:t>
      </w:r>
      <w:proofErr w:type="spellEnd"/>
      <w:r w:rsidRPr="00E57CF3">
        <w:rPr>
          <w:rFonts w:asciiTheme="majorHAnsi" w:hAnsiTheme="majorHAnsi"/>
          <w:szCs w:val="28"/>
        </w:rPr>
        <w:t xml:space="preserve"> Agency a été sélectionnée fin 2018 pour réaliser cette étude.</w:t>
      </w:r>
    </w:p>
    <w:p w:rsidR="002F733A" w:rsidRPr="00E57CF3" w:rsidRDefault="002F733A" w:rsidP="002F733A">
      <w:pPr>
        <w:spacing w:after="120"/>
        <w:jc w:val="both"/>
        <w:rPr>
          <w:rFonts w:asciiTheme="majorHAnsi" w:hAnsiTheme="majorHAnsi"/>
          <w:bCs/>
        </w:rPr>
      </w:pPr>
      <w:r w:rsidRPr="00E57CF3">
        <w:rPr>
          <w:rFonts w:asciiTheme="majorHAnsi" w:hAnsiTheme="majorHAnsi"/>
          <w:szCs w:val="28"/>
        </w:rPr>
        <w:t>Deux as</w:t>
      </w:r>
      <w:r w:rsidR="00E57CF3" w:rsidRPr="00E57CF3">
        <w:rPr>
          <w:rFonts w:asciiTheme="majorHAnsi" w:hAnsiTheme="majorHAnsi"/>
          <w:szCs w:val="28"/>
        </w:rPr>
        <w:t>pects sont abordés dans l’étude :</w:t>
      </w:r>
      <w:r w:rsidRPr="00E57CF3">
        <w:rPr>
          <w:rFonts w:asciiTheme="majorHAnsi" w:hAnsiTheme="majorHAnsi"/>
          <w:szCs w:val="28"/>
        </w:rPr>
        <w:t xml:space="preserve"> d’une part l’impact économique consistant en un </w:t>
      </w:r>
      <w:r w:rsidRPr="00E57CF3">
        <w:rPr>
          <w:rFonts w:asciiTheme="majorHAnsi" w:hAnsiTheme="majorHAnsi"/>
          <w:bCs/>
        </w:rPr>
        <w:t xml:space="preserve">questionnaire envoyé à une base de 325 </w:t>
      </w:r>
      <w:proofErr w:type="spellStart"/>
      <w:r w:rsidRPr="00E57CF3">
        <w:rPr>
          <w:rFonts w:asciiTheme="majorHAnsi" w:hAnsiTheme="majorHAnsi"/>
          <w:bCs/>
        </w:rPr>
        <w:t>superyachts</w:t>
      </w:r>
      <w:proofErr w:type="spellEnd"/>
      <w:r w:rsidRPr="00E57CF3">
        <w:rPr>
          <w:rFonts w:asciiTheme="majorHAnsi" w:hAnsiTheme="majorHAnsi"/>
          <w:bCs/>
        </w:rPr>
        <w:t xml:space="preserve">. </w:t>
      </w:r>
      <w:r w:rsidRPr="00E57CF3">
        <w:rPr>
          <w:rFonts w:asciiTheme="majorHAnsi" w:hAnsiTheme="majorHAnsi"/>
          <w:szCs w:val="28"/>
        </w:rPr>
        <w:t xml:space="preserve">L’étude livrée en juin 2019 démontre que chaque année, la cinquantaine de </w:t>
      </w:r>
      <w:proofErr w:type="spellStart"/>
      <w:r w:rsidRPr="00E57CF3">
        <w:rPr>
          <w:rFonts w:asciiTheme="majorHAnsi" w:hAnsiTheme="majorHAnsi"/>
          <w:szCs w:val="28"/>
        </w:rPr>
        <w:t>Superyachts</w:t>
      </w:r>
      <w:proofErr w:type="spellEnd"/>
      <w:r w:rsidRPr="00E57CF3">
        <w:rPr>
          <w:rFonts w:asciiTheme="majorHAnsi" w:hAnsiTheme="majorHAnsi"/>
          <w:szCs w:val="28"/>
        </w:rPr>
        <w:t xml:space="preserve"> qui visitent les eaux polynésiennes génèrent</w:t>
      </w:r>
      <w:r w:rsidR="00E57CF3" w:rsidRPr="00E57CF3">
        <w:rPr>
          <w:rFonts w:asciiTheme="majorHAnsi" w:hAnsiTheme="majorHAnsi"/>
          <w:szCs w:val="28"/>
        </w:rPr>
        <w:t xml:space="preserve"> un peu plus de 2,8 milliards</w:t>
      </w:r>
      <w:r w:rsidRPr="00E57CF3">
        <w:rPr>
          <w:rFonts w:asciiTheme="majorHAnsi" w:hAnsiTheme="majorHAnsi"/>
          <w:szCs w:val="28"/>
        </w:rPr>
        <w:t xml:space="preserve"> </w:t>
      </w:r>
      <w:proofErr w:type="spellStart"/>
      <w:r w:rsidRPr="00E57CF3">
        <w:rPr>
          <w:rFonts w:asciiTheme="majorHAnsi" w:hAnsiTheme="majorHAnsi"/>
          <w:szCs w:val="28"/>
        </w:rPr>
        <w:t>Fcfp</w:t>
      </w:r>
      <w:proofErr w:type="spellEnd"/>
      <w:r w:rsidRPr="00E57CF3">
        <w:rPr>
          <w:rFonts w:asciiTheme="majorHAnsi" w:hAnsiTheme="majorHAnsi"/>
          <w:szCs w:val="28"/>
        </w:rPr>
        <w:t xml:space="preserve"> de retombées économiqu</w:t>
      </w:r>
      <w:r w:rsidR="00E57CF3" w:rsidRPr="00E57CF3">
        <w:rPr>
          <w:rFonts w:asciiTheme="majorHAnsi" w:hAnsiTheme="majorHAnsi"/>
          <w:szCs w:val="28"/>
        </w:rPr>
        <w:t>es, soit environ 2,8 millions</w:t>
      </w:r>
      <w:r w:rsidRPr="00E57CF3">
        <w:rPr>
          <w:rFonts w:asciiTheme="majorHAnsi" w:hAnsiTheme="majorHAnsi"/>
          <w:szCs w:val="28"/>
        </w:rPr>
        <w:t xml:space="preserve"> </w:t>
      </w:r>
      <w:proofErr w:type="spellStart"/>
      <w:r w:rsidRPr="00E57CF3">
        <w:rPr>
          <w:rFonts w:asciiTheme="majorHAnsi" w:hAnsiTheme="majorHAnsi"/>
          <w:szCs w:val="28"/>
        </w:rPr>
        <w:t>Fcfp</w:t>
      </w:r>
      <w:proofErr w:type="spellEnd"/>
      <w:r w:rsidRPr="00E57CF3">
        <w:rPr>
          <w:rFonts w:asciiTheme="majorHAnsi" w:hAnsiTheme="majorHAnsi"/>
          <w:szCs w:val="28"/>
        </w:rPr>
        <w:t xml:space="preserve"> par visiteur (1 100 visiteurs en moyenne par an). En comparaison, un touriste « terrestre » dépense un budget moyen de 270 000 </w:t>
      </w:r>
      <w:proofErr w:type="spellStart"/>
      <w:r w:rsidRPr="00E57CF3">
        <w:rPr>
          <w:rFonts w:asciiTheme="majorHAnsi" w:hAnsiTheme="majorHAnsi"/>
          <w:szCs w:val="28"/>
        </w:rPr>
        <w:t>Fcfp</w:t>
      </w:r>
      <w:proofErr w:type="spellEnd"/>
      <w:r w:rsidRPr="00E57CF3">
        <w:rPr>
          <w:rFonts w:asciiTheme="majorHAnsi" w:hAnsiTheme="majorHAnsi"/>
          <w:szCs w:val="28"/>
        </w:rPr>
        <w:t xml:space="preserve"> en Polynésie française.</w:t>
      </w:r>
    </w:p>
    <w:p w:rsidR="002F733A" w:rsidRDefault="002F733A" w:rsidP="002F733A">
      <w:pPr>
        <w:spacing w:after="120"/>
        <w:jc w:val="both"/>
        <w:rPr>
          <w:rFonts w:asciiTheme="majorHAnsi" w:hAnsiTheme="majorHAnsi"/>
          <w:bCs/>
        </w:rPr>
      </w:pPr>
      <w:r w:rsidRPr="00E57CF3">
        <w:rPr>
          <w:rFonts w:asciiTheme="majorHAnsi" w:hAnsiTheme="majorHAnsi"/>
          <w:bCs/>
        </w:rPr>
        <w:t xml:space="preserve">Un second questionnaire sur la perception de la destination a été envoyé à un échantillon de professionnels internationaux du secteur composé principalement de capitaines, de propriétaires de yachts, de manager de yachts et de courtiers en charter. Cette enquête </w:t>
      </w:r>
      <w:r w:rsidRPr="00E57CF3">
        <w:rPr>
          <w:rFonts w:asciiTheme="majorHAnsi" w:hAnsiTheme="majorHAnsi"/>
          <w:szCs w:val="28"/>
        </w:rPr>
        <w:t xml:space="preserve">permettra notamment à </w:t>
      </w:r>
      <w:r w:rsidRPr="00E57CF3">
        <w:rPr>
          <w:rFonts w:asciiTheme="majorHAnsi" w:hAnsiTheme="majorHAnsi"/>
          <w:iCs/>
          <w:szCs w:val="28"/>
        </w:rPr>
        <w:t>la destination</w:t>
      </w:r>
      <w:r w:rsidRPr="00E57CF3">
        <w:rPr>
          <w:rFonts w:asciiTheme="majorHAnsi" w:hAnsiTheme="majorHAnsi"/>
          <w:szCs w:val="28"/>
        </w:rPr>
        <w:t xml:space="preserve"> d’ajuster sa stratégie de promotion et de développement de la Grande Plaisance au niveau local.</w:t>
      </w:r>
      <w:r w:rsidR="00E57CF3" w:rsidRPr="00E57CF3">
        <w:rPr>
          <w:rFonts w:asciiTheme="majorHAnsi" w:hAnsiTheme="majorHAnsi"/>
          <w:szCs w:val="28"/>
        </w:rPr>
        <w:t xml:space="preserve"> </w:t>
      </w:r>
      <w:r w:rsidRPr="00E57CF3">
        <w:rPr>
          <w:rFonts w:asciiTheme="majorHAnsi" w:hAnsiTheme="majorHAnsi"/>
          <w:bCs/>
        </w:rPr>
        <w:t xml:space="preserve">A titre d’exemple, pas moins de 120 </w:t>
      </w:r>
      <w:proofErr w:type="spellStart"/>
      <w:r w:rsidRPr="00E57CF3">
        <w:rPr>
          <w:rFonts w:asciiTheme="majorHAnsi" w:hAnsiTheme="majorHAnsi"/>
          <w:bCs/>
        </w:rPr>
        <w:t>superyachts</w:t>
      </w:r>
      <w:proofErr w:type="spellEnd"/>
      <w:r w:rsidRPr="00E57CF3">
        <w:rPr>
          <w:rFonts w:asciiTheme="majorHAnsi" w:hAnsiTheme="majorHAnsi"/>
          <w:bCs/>
        </w:rPr>
        <w:t xml:space="preserve"> ont exprimé à ce jour leur intérêt de se rendre en Nouvelle-Zélande pour l’</w:t>
      </w:r>
      <w:proofErr w:type="spellStart"/>
      <w:r w:rsidRPr="00E57CF3">
        <w:rPr>
          <w:rFonts w:asciiTheme="majorHAnsi" w:hAnsiTheme="majorHAnsi"/>
          <w:bCs/>
        </w:rPr>
        <w:t>America’s</w:t>
      </w:r>
      <w:proofErr w:type="spellEnd"/>
      <w:r w:rsidRPr="00E57CF3">
        <w:rPr>
          <w:rFonts w:asciiTheme="majorHAnsi" w:hAnsiTheme="majorHAnsi"/>
          <w:bCs/>
        </w:rPr>
        <w:t xml:space="preserve"> </w:t>
      </w:r>
      <w:proofErr w:type="spellStart"/>
      <w:r w:rsidRPr="00E57CF3">
        <w:rPr>
          <w:rFonts w:asciiTheme="majorHAnsi" w:hAnsiTheme="majorHAnsi"/>
          <w:bCs/>
        </w:rPr>
        <w:t>Cup</w:t>
      </w:r>
      <w:proofErr w:type="spellEnd"/>
      <w:r w:rsidR="00E57CF3" w:rsidRPr="00E57CF3">
        <w:rPr>
          <w:rFonts w:asciiTheme="majorHAnsi" w:hAnsiTheme="majorHAnsi"/>
          <w:bCs/>
        </w:rPr>
        <w:t> : il s’agit</w:t>
      </w:r>
      <w:r w:rsidRPr="00E57CF3">
        <w:rPr>
          <w:rFonts w:asciiTheme="majorHAnsi" w:hAnsiTheme="majorHAnsi"/>
          <w:bCs/>
        </w:rPr>
        <w:t xml:space="preserve"> </w:t>
      </w:r>
      <w:r w:rsidR="00E57CF3" w:rsidRPr="00E57CF3">
        <w:rPr>
          <w:rFonts w:asciiTheme="majorHAnsi" w:hAnsiTheme="majorHAnsi"/>
          <w:bCs/>
        </w:rPr>
        <w:t>d’</w:t>
      </w:r>
      <w:r w:rsidRPr="00E57CF3">
        <w:rPr>
          <w:rFonts w:asciiTheme="majorHAnsi" w:hAnsiTheme="majorHAnsi"/>
          <w:bCs/>
        </w:rPr>
        <w:t xml:space="preserve">une </w:t>
      </w:r>
      <w:r w:rsidR="00E57CF3" w:rsidRPr="00E57CF3">
        <w:rPr>
          <w:rFonts w:asciiTheme="majorHAnsi" w:hAnsiTheme="majorHAnsi"/>
          <w:bCs/>
        </w:rPr>
        <w:t xml:space="preserve">véritable  </w:t>
      </w:r>
      <w:r w:rsidRPr="00E57CF3">
        <w:rPr>
          <w:rFonts w:asciiTheme="majorHAnsi" w:hAnsiTheme="majorHAnsi"/>
          <w:bCs/>
        </w:rPr>
        <w:t xml:space="preserve">opportunité pour </w:t>
      </w:r>
      <w:r w:rsidRPr="00E57CF3">
        <w:rPr>
          <w:rFonts w:asciiTheme="majorHAnsi" w:hAnsiTheme="majorHAnsi"/>
          <w:bCs/>
          <w:iCs/>
        </w:rPr>
        <w:t>Tahiti Et Ses Iles</w:t>
      </w:r>
      <w:r w:rsidRPr="00E57CF3">
        <w:rPr>
          <w:rFonts w:asciiTheme="majorHAnsi" w:hAnsiTheme="majorHAnsi"/>
          <w:bCs/>
        </w:rPr>
        <w:t xml:space="preserve"> qui se situent sur leur route.</w:t>
      </w:r>
    </w:p>
    <w:p w:rsidR="002F733A" w:rsidRDefault="002F733A" w:rsidP="002B5710">
      <w:pPr>
        <w:spacing w:after="120"/>
        <w:jc w:val="both"/>
        <w:rPr>
          <w:szCs w:val="28"/>
        </w:rPr>
      </w:pPr>
    </w:p>
    <w:p w:rsidR="006D128B" w:rsidRDefault="006D128B" w:rsidP="006D128B">
      <w:pPr>
        <w:widowControl w:val="0"/>
        <w:autoSpaceDE w:val="0"/>
        <w:autoSpaceDN w:val="0"/>
        <w:adjustRightInd w:val="0"/>
        <w:jc w:val="both"/>
        <w:rPr>
          <w:rFonts w:ascii="Cambria" w:hAnsi="Cambria" w:cs="Century Schoolbook"/>
          <w:b/>
        </w:rPr>
      </w:pPr>
      <w:r>
        <w:rPr>
          <w:rFonts w:ascii="Cambria" w:hAnsi="Cambria" w:cs="Century Schoolbook"/>
          <w:b/>
        </w:rPr>
        <w:t>La Polynésie restitue les terres de Rurutu et Rimatara</w:t>
      </w:r>
    </w:p>
    <w:p w:rsidR="006D128B" w:rsidRDefault="006D128B" w:rsidP="006D128B">
      <w:pPr>
        <w:widowControl w:val="0"/>
        <w:autoSpaceDE w:val="0"/>
        <w:autoSpaceDN w:val="0"/>
        <w:adjustRightInd w:val="0"/>
        <w:jc w:val="both"/>
        <w:rPr>
          <w:rFonts w:ascii="Cambria" w:hAnsi="Cambria" w:cs="Century Schoolbook"/>
          <w:b/>
        </w:rPr>
      </w:pPr>
    </w:p>
    <w:p w:rsidR="006D128B" w:rsidRDefault="006D128B" w:rsidP="006D128B">
      <w:pPr>
        <w:widowControl w:val="0"/>
        <w:autoSpaceDE w:val="0"/>
        <w:autoSpaceDN w:val="0"/>
        <w:adjustRightInd w:val="0"/>
        <w:jc w:val="both"/>
        <w:rPr>
          <w:rFonts w:ascii="Cambria" w:hAnsi="Cambria" w:cs="Century Schoolbook"/>
          <w:b/>
        </w:rPr>
      </w:pPr>
    </w:p>
    <w:p w:rsidR="006D128B" w:rsidRDefault="006D128B" w:rsidP="006D128B">
      <w:pPr>
        <w:widowControl w:val="0"/>
        <w:autoSpaceDE w:val="0"/>
        <w:autoSpaceDN w:val="0"/>
        <w:adjustRightInd w:val="0"/>
        <w:jc w:val="both"/>
        <w:rPr>
          <w:rFonts w:ascii="Cambria" w:hAnsi="Cambria" w:cs="Century Schoolbook"/>
        </w:rPr>
      </w:pPr>
      <w:r>
        <w:rPr>
          <w:rFonts w:ascii="Cambria" w:hAnsi="Cambria" w:cs="Century Schoolbook"/>
        </w:rPr>
        <w:t xml:space="preserve">Historiquement, aucune procédure de revendication des terres n’a été mise en place </w:t>
      </w:r>
      <w:r>
        <w:rPr>
          <w:rFonts w:ascii="Cambria" w:hAnsi="Cambria" w:cs="Century Schoolbook"/>
        </w:rPr>
        <w:lastRenderedPageBreak/>
        <w:t>dans les</w:t>
      </w:r>
      <w:r w:rsidRPr="00354253">
        <w:rPr>
          <w:rFonts w:ascii="Cambria" w:hAnsi="Cambria" w:cs="Century Schoolbook"/>
        </w:rPr>
        <w:t xml:space="preserve"> îles de Rurutu et Rimatara.</w:t>
      </w:r>
      <w:r>
        <w:rPr>
          <w:rFonts w:ascii="Cambria" w:hAnsi="Cambria" w:cs="Century Schoolbook"/>
        </w:rPr>
        <w:t xml:space="preserve"> Ainsi, en l’absence de délivrance de t</w:t>
      </w:r>
      <w:r w:rsidRPr="00354253">
        <w:rPr>
          <w:rFonts w:ascii="Cambria" w:hAnsi="Cambria" w:cs="Century Schoolbook"/>
        </w:rPr>
        <w:t xml:space="preserve">itre foncier </w:t>
      </w:r>
      <w:r>
        <w:rPr>
          <w:rFonts w:ascii="Cambria" w:hAnsi="Cambria" w:cs="Century Schoolbook"/>
        </w:rPr>
        <w:t>au profit des</w:t>
      </w:r>
      <w:r w:rsidRPr="00354253">
        <w:rPr>
          <w:rFonts w:ascii="Cambria" w:hAnsi="Cambria" w:cs="Century Schoolbook"/>
        </w:rPr>
        <w:t xml:space="preserve"> h</w:t>
      </w:r>
      <w:r>
        <w:rPr>
          <w:rFonts w:ascii="Cambria" w:hAnsi="Cambria" w:cs="Century Schoolbook"/>
        </w:rPr>
        <w:t>abitants de ces îles, les biens fonciers de Rurutu et Rimatara sont considérés comme des « biens sans maître » intégrés au patrimoine du Pays.</w:t>
      </w:r>
    </w:p>
    <w:p w:rsidR="006D128B" w:rsidRDefault="006D128B" w:rsidP="006D128B">
      <w:pPr>
        <w:widowControl w:val="0"/>
        <w:autoSpaceDE w:val="0"/>
        <w:autoSpaceDN w:val="0"/>
        <w:adjustRightInd w:val="0"/>
        <w:jc w:val="both"/>
        <w:rPr>
          <w:rFonts w:ascii="Cambria" w:hAnsi="Cambria" w:cs="Century Schoolbook"/>
        </w:rPr>
      </w:pPr>
    </w:p>
    <w:p w:rsidR="006D128B" w:rsidRPr="005E32D1" w:rsidRDefault="006D128B" w:rsidP="006D128B">
      <w:pPr>
        <w:widowControl w:val="0"/>
        <w:autoSpaceDE w:val="0"/>
        <w:autoSpaceDN w:val="0"/>
        <w:adjustRightInd w:val="0"/>
        <w:jc w:val="both"/>
        <w:rPr>
          <w:rFonts w:ascii="Cambria" w:hAnsi="Cambria" w:cs="Century Schoolbook"/>
        </w:rPr>
      </w:pPr>
      <w:r>
        <w:rPr>
          <w:rFonts w:ascii="Cambria" w:hAnsi="Cambria" w:cs="Century Schoolbook"/>
        </w:rPr>
        <w:t>Les habitants de Rurutu et Rimatara doivent donc nécessairement recourir à la procédure de</w:t>
      </w:r>
      <w:r w:rsidRPr="00354253">
        <w:rPr>
          <w:rFonts w:ascii="Cambria" w:hAnsi="Cambria" w:cs="Century Schoolbook"/>
        </w:rPr>
        <w:t xml:space="preserve"> reconnaissance de propriété notamment par prescription acquisitive trentenaire</w:t>
      </w:r>
      <w:r>
        <w:rPr>
          <w:rFonts w:ascii="Cambria" w:hAnsi="Cambria" w:cs="Century Schoolbook"/>
        </w:rPr>
        <w:t xml:space="preserve">. Or cette </w:t>
      </w:r>
      <w:r w:rsidRPr="005E32D1">
        <w:rPr>
          <w:rFonts w:ascii="Cambria" w:hAnsi="Cambria" w:cs="Century Schoolbook"/>
        </w:rPr>
        <w:t>procédure s’</w:t>
      </w:r>
      <w:r w:rsidR="00247369">
        <w:rPr>
          <w:rFonts w:ascii="Cambria" w:hAnsi="Cambria" w:cs="Century Schoolbook"/>
        </w:rPr>
        <w:t>avère souvent très longue et coû</w:t>
      </w:r>
      <w:r w:rsidRPr="005E32D1">
        <w:rPr>
          <w:rFonts w:ascii="Cambria" w:hAnsi="Cambria" w:cs="Century Schoolbook"/>
        </w:rPr>
        <w:t xml:space="preserve">teuse, celle-ci passant nécessairement par une procédure devant la justice rendant fréquemment indispensable le recours à un avocat. </w:t>
      </w:r>
    </w:p>
    <w:p w:rsidR="006D128B" w:rsidRPr="005E32D1" w:rsidRDefault="006D128B" w:rsidP="006D128B">
      <w:pPr>
        <w:widowControl w:val="0"/>
        <w:autoSpaceDE w:val="0"/>
        <w:autoSpaceDN w:val="0"/>
        <w:adjustRightInd w:val="0"/>
        <w:jc w:val="both"/>
        <w:rPr>
          <w:rFonts w:ascii="Cambria" w:hAnsi="Cambria" w:cs="Century Schoolbook"/>
        </w:rPr>
      </w:pPr>
    </w:p>
    <w:p w:rsidR="006D128B" w:rsidRPr="005E32D1" w:rsidRDefault="006D128B" w:rsidP="006D128B">
      <w:pPr>
        <w:widowControl w:val="0"/>
        <w:autoSpaceDE w:val="0"/>
        <w:autoSpaceDN w:val="0"/>
        <w:adjustRightInd w:val="0"/>
        <w:jc w:val="both"/>
        <w:rPr>
          <w:rFonts w:ascii="Cambria" w:hAnsi="Cambria" w:cs="Century Schoolbook"/>
        </w:rPr>
      </w:pPr>
      <w:r w:rsidRPr="005E32D1">
        <w:rPr>
          <w:rFonts w:ascii="Cambria" w:hAnsi="Cambria" w:cs="Century Schoolbook"/>
        </w:rPr>
        <w:t>C’est ainsi pour pallier ce « vide juridique historique », qu’il est proposé l’instauration d’une procédure exceptionnelle et temporaire spécifique aux îles de Rurutu et Rimatara tendant à la délivrance de titres de propriété.</w:t>
      </w:r>
    </w:p>
    <w:p w:rsidR="006D128B" w:rsidRPr="005E32D1" w:rsidRDefault="006D128B" w:rsidP="006D128B">
      <w:pPr>
        <w:widowControl w:val="0"/>
        <w:autoSpaceDE w:val="0"/>
        <w:autoSpaceDN w:val="0"/>
        <w:adjustRightInd w:val="0"/>
        <w:jc w:val="both"/>
        <w:rPr>
          <w:rFonts w:ascii="Cambria" w:hAnsi="Cambria" w:cs="Century Schoolbook"/>
        </w:rPr>
      </w:pPr>
    </w:p>
    <w:p w:rsidR="006D128B" w:rsidRPr="005E32D1" w:rsidRDefault="006D128B" w:rsidP="006D128B">
      <w:pPr>
        <w:widowControl w:val="0"/>
        <w:autoSpaceDE w:val="0"/>
        <w:autoSpaceDN w:val="0"/>
        <w:adjustRightInd w:val="0"/>
        <w:jc w:val="both"/>
        <w:rPr>
          <w:rFonts w:ascii="Cambria" w:hAnsi="Cambria" w:cs="Century Schoolbook"/>
        </w:rPr>
      </w:pPr>
      <w:r w:rsidRPr="005E32D1">
        <w:rPr>
          <w:rFonts w:ascii="Cambria" w:hAnsi="Cambria" w:cs="Century Schoolbook"/>
        </w:rPr>
        <w:t xml:space="preserve">Le projet de loi du Pays visant à organiser le </w:t>
      </w:r>
      <w:proofErr w:type="spellStart"/>
      <w:r w:rsidRPr="005E32D1">
        <w:rPr>
          <w:rFonts w:ascii="Cambria" w:hAnsi="Cambria" w:cs="Century Schoolbook"/>
        </w:rPr>
        <w:t>titrement</w:t>
      </w:r>
      <w:proofErr w:type="spellEnd"/>
      <w:r w:rsidRPr="005E32D1">
        <w:rPr>
          <w:rFonts w:ascii="Cambria" w:hAnsi="Cambria" w:cs="Century Schoolbook"/>
        </w:rPr>
        <w:t xml:space="preserve"> de certaines terres sises à Rurutu et Rimatara, archipel des Australes, Polynésie française permettra la cession à titre gratuit de biens relevant du domaine privé de la Polynésie française, en dehors de toute action en revendication de propriété devant le tribunal foncier. </w:t>
      </w:r>
    </w:p>
    <w:p w:rsidR="006D128B" w:rsidRPr="005E32D1" w:rsidRDefault="006D128B" w:rsidP="006D128B">
      <w:pPr>
        <w:widowControl w:val="0"/>
        <w:autoSpaceDE w:val="0"/>
        <w:autoSpaceDN w:val="0"/>
        <w:adjustRightInd w:val="0"/>
        <w:jc w:val="both"/>
        <w:rPr>
          <w:rFonts w:ascii="Cambria" w:hAnsi="Cambria" w:cs="Century Schoolbook"/>
        </w:rPr>
      </w:pPr>
    </w:p>
    <w:p w:rsidR="006D128B" w:rsidRPr="005E32D1" w:rsidRDefault="006D128B" w:rsidP="006D128B">
      <w:pPr>
        <w:widowControl w:val="0"/>
        <w:autoSpaceDE w:val="0"/>
        <w:autoSpaceDN w:val="0"/>
        <w:adjustRightInd w:val="0"/>
        <w:jc w:val="both"/>
        <w:rPr>
          <w:rFonts w:ascii="Cambria" w:hAnsi="Cambria" w:cs="Century Schoolbook"/>
        </w:rPr>
      </w:pPr>
      <w:r w:rsidRPr="005E32D1">
        <w:rPr>
          <w:rFonts w:ascii="Cambria" w:hAnsi="Cambria" w:cs="Century Schoolbook"/>
        </w:rPr>
        <w:t>Ce projet permettra à terme de rendre</w:t>
      </w:r>
      <w:r>
        <w:rPr>
          <w:rFonts w:ascii="Cambria" w:hAnsi="Cambria" w:cs="Century Schoolbook"/>
        </w:rPr>
        <w:t> </w:t>
      </w:r>
      <w:r w:rsidRPr="005E32D1">
        <w:rPr>
          <w:rFonts w:ascii="Cambria" w:hAnsi="Cambria" w:cs="Century Schoolbook"/>
        </w:rPr>
        <w:t>1 882 parcelles cadastrales couvrant une superficie de 14 194 434 m² à Rurutu</w:t>
      </w:r>
      <w:r>
        <w:rPr>
          <w:rFonts w:ascii="Cambria" w:hAnsi="Cambria" w:cs="Century Schoolbook"/>
        </w:rPr>
        <w:t xml:space="preserve"> et </w:t>
      </w:r>
      <w:r w:rsidRPr="005E32D1">
        <w:rPr>
          <w:rFonts w:ascii="Cambria" w:hAnsi="Cambria" w:cs="Century Schoolbook"/>
        </w:rPr>
        <w:t>844 parcelles cadastrales couvrant une superficie totale de 4 422 800 m² à Rimatara. </w:t>
      </w:r>
    </w:p>
    <w:p w:rsidR="006D128B" w:rsidRDefault="006D128B" w:rsidP="006D128B">
      <w:pPr>
        <w:pStyle w:val="-LettreTexteGEDA"/>
        <w:ind w:firstLine="0"/>
        <w:rPr>
          <w:rFonts w:asciiTheme="majorHAnsi" w:hAnsiTheme="majorHAnsi"/>
          <w:noProof w:val="0"/>
          <w:szCs w:val="24"/>
        </w:rPr>
      </w:pPr>
    </w:p>
    <w:p w:rsidR="006D128B" w:rsidRDefault="006D128B" w:rsidP="006D128B">
      <w:pPr>
        <w:pStyle w:val="-LettreTexteGEDA"/>
        <w:ind w:firstLine="0"/>
        <w:rPr>
          <w:rFonts w:ascii="Cambria" w:hAnsi="Cambria"/>
          <w:b/>
          <w:noProof w:val="0"/>
        </w:rPr>
      </w:pPr>
      <w:r w:rsidRPr="00AE654F">
        <w:rPr>
          <w:rFonts w:ascii="Cambria" w:hAnsi="Cambria"/>
          <w:b/>
          <w:noProof w:val="0"/>
        </w:rPr>
        <w:t>Organisation de formations destinées aux professionnels du secteur primaire</w:t>
      </w:r>
    </w:p>
    <w:p w:rsidR="006D128B" w:rsidRDefault="006D128B" w:rsidP="006D128B">
      <w:pPr>
        <w:pStyle w:val="-LettreTexteGEDA"/>
        <w:ind w:firstLine="0"/>
        <w:rPr>
          <w:noProof w:val="0"/>
        </w:rPr>
      </w:pPr>
    </w:p>
    <w:p w:rsidR="006D128B" w:rsidRPr="00AE654F" w:rsidRDefault="006D128B" w:rsidP="006D128B">
      <w:pPr>
        <w:overflowPunct w:val="0"/>
        <w:autoSpaceDE w:val="0"/>
        <w:autoSpaceDN w:val="0"/>
        <w:adjustRightInd w:val="0"/>
        <w:spacing w:before="60" w:after="60"/>
        <w:jc w:val="both"/>
        <w:rPr>
          <w:rFonts w:asciiTheme="majorHAnsi" w:hAnsiTheme="majorHAnsi"/>
          <w:noProof/>
        </w:rPr>
      </w:pPr>
      <w:r w:rsidRPr="00AE654F">
        <w:rPr>
          <w:rFonts w:asciiTheme="majorHAnsi" w:hAnsiTheme="majorHAnsi"/>
          <w:noProof/>
        </w:rPr>
        <w:t xml:space="preserve">L’année dernière, la Chambre de l’agriculture et de la pêche lagonaire (CAPL) </w:t>
      </w:r>
      <w:r>
        <w:rPr>
          <w:rFonts w:asciiTheme="majorHAnsi" w:hAnsiTheme="majorHAnsi"/>
          <w:noProof/>
        </w:rPr>
        <w:t xml:space="preserve">a </w:t>
      </w:r>
      <w:r w:rsidRPr="00AE654F">
        <w:rPr>
          <w:rFonts w:asciiTheme="majorHAnsi" w:hAnsiTheme="majorHAnsi"/>
          <w:noProof/>
        </w:rPr>
        <w:t>organis</w:t>
      </w:r>
      <w:r>
        <w:rPr>
          <w:rFonts w:asciiTheme="majorHAnsi" w:hAnsiTheme="majorHAnsi"/>
          <w:noProof/>
        </w:rPr>
        <w:t>é</w:t>
      </w:r>
      <w:r w:rsidRPr="00AE654F">
        <w:rPr>
          <w:rFonts w:asciiTheme="majorHAnsi" w:hAnsiTheme="majorHAnsi"/>
          <w:noProof/>
        </w:rPr>
        <w:t xml:space="preserve"> dans les cinq archipels de la Polynésie le </w:t>
      </w:r>
      <w:r w:rsidRPr="00C92DA5">
        <w:rPr>
          <w:rFonts w:asciiTheme="majorHAnsi" w:hAnsiTheme="majorHAnsi"/>
          <w:noProof/>
        </w:rPr>
        <w:t xml:space="preserve">séminaire </w:t>
      </w:r>
      <w:r w:rsidRPr="00AE654F">
        <w:rPr>
          <w:rFonts w:asciiTheme="majorHAnsi" w:hAnsiTheme="majorHAnsi"/>
          <w:i/>
          <w:noProof/>
        </w:rPr>
        <w:t>« vers une amélioration de l’efficacité du mouvement participatif »</w:t>
      </w:r>
      <w:r w:rsidRPr="00AE654F">
        <w:rPr>
          <w:rFonts w:asciiTheme="majorHAnsi" w:hAnsiTheme="majorHAnsi"/>
          <w:noProof/>
        </w:rPr>
        <w:t xml:space="preserve">, lequel a permis d’identifier les besoins en matière de formation des professionnels. </w:t>
      </w:r>
    </w:p>
    <w:p w:rsidR="006D128B" w:rsidRPr="00AE654F" w:rsidRDefault="006D128B" w:rsidP="006D128B">
      <w:pPr>
        <w:overflowPunct w:val="0"/>
        <w:autoSpaceDE w:val="0"/>
        <w:autoSpaceDN w:val="0"/>
        <w:adjustRightInd w:val="0"/>
        <w:spacing w:before="60" w:after="60"/>
        <w:jc w:val="both"/>
        <w:rPr>
          <w:rFonts w:asciiTheme="majorHAnsi" w:hAnsiTheme="majorHAnsi"/>
          <w:noProof/>
        </w:rPr>
      </w:pPr>
      <w:r w:rsidRPr="00AE654F">
        <w:rPr>
          <w:rFonts w:asciiTheme="majorHAnsi" w:hAnsiTheme="majorHAnsi"/>
          <w:noProof/>
        </w:rPr>
        <w:t xml:space="preserve">Plusieurs thématiques de formation ont été retenues comme prioritaires par les </w:t>
      </w:r>
      <w:bookmarkStart w:id="0" w:name="_GoBack"/>
      <w:bookmarkEnd w:id="0"/>
      <w:r w:rsidRPr="00AE654F">
        <w:rPr>
          <w:rFonts w:asciiTheme="majorHAnsi" w:hAnsiTheme="majorHAnsi"/>
          <w:noProof/>
        </w:rPr>
        <w:t>agriculteurs.</w:t>
      </w:r>
      <w:r>
        <w:rPr>
          <w:rFonts w:asciiTheme="majorHAnsi" w:hAnsiTheme="majorHAnsi"/>
          <w:noProof/>
        </w:rPr>
        <w:t xml:space="preserve"> </w:t>
      </w:r>
      <w:r w:rsidRPr="00AE654F">
        <w:rPr>
          <w:rFonts w:asciiTheme="majorHAnsi" w:hAnsiTheme="majorHAnsi"/>
          <w:noProof/>
        </w:rPr>
        <w:t xml:space="preserve">La CAPL </w:t>
      </w:r>
      <w:r>
        <w:rPr>
          <w:rFonts w:asciiTheme="majorHAnsi" w:hAnsiTheme="majorHAnsi"/>
          <w:noProof/>
        </w:rPr>
        <w:t>a mis</w:t>
      </w:r>
      <w:r w:rsidRPr="00AE654F">
        <w:rPr>
          <w:rFonts w:asciiTheme="majorHAnsi" w:hAnsiTheme="majorHAnsi"/>
          <w:noProof/>
        </w:rPr>
        <w:t xml:space="preserve"> en place la première sess</w:t>
      </w:r>
      <w:r>
        <w:rPr>
          <w:rFonts w:asciiTheme="majorHAnsi" w:hAnsiTheme="majorHAnsi"/>
          <w:noProof/>
        </w:rPr>
        <w:t>ion de formations au quatrième trimestre</w:t>
      </w:r>
      <w:r w:rsidRPr="00AE654F">
        <w:rPr>
          <w:rFonts w:asciiTheme="majorHAnsi" w:hAnsiTheme="majorHAnsi"/>
          <w:noProof/>
        </w:rPr>
        <w:t xml:space="preserve"> de </w:t>
      </w:r>
      <w:r>
        <w:rPr>
          <w:rFonts w:asciiTheme="majorHAnsi" w:hAnsiTheme="majorHAnsi"/>
          <w:noProof/>
        </w:rPr>
        <w:t>cette année</w:t>
      </w:r>
      <w:r w:rsidRPr="00AE654F">
        <w:rPr>
          <w:rFonts w:asciiTheme="majorHAnsi" w:hAnsiTheme="majorHAnsi"/>
          <w:noProof/>
        </w:rPr>
        <w:t>, en sélectionnant deux thématiques par archipel qui seront dispensées  dans les trois îles comptabilisant le plus d’agriculteurs et pêcheurs lagonaires inscrits au registre de l’agriculture et de la pêche lagonaire.</w:t>
      </w:r>
    </w:p>
    <w:p w:rsidR="006D128B" w:rsidRDefault="006D128B" w:rsidP="006D128B">
      <w:pPr>
        <w:overflowPunct w:val="0"/>
        <w:autoSpaceDE w:val="0"/>
        <w:autoSpaceDN w:val="0"/>
        <w:adjustRightInd w:val="0"/>
        <w:spacing w:before="60" w:after="60"/>
        <w:jc w:val="both"/>
        <w:rPr>
          <w:rFonts w:asciiTheme="majorHAnsi" w:hAnsiTheme="majorHAnsi"/>
          <w:noProof/>
        </w:rPr>
      </w:pPr>
      <w:r w:rsidRPr="00AE654F">
        <w:rPr>
          <w:rFonts w:asciiTheme="majorHAnsi" w:hAnsiTheme="majorHAnsi"/>
          <w:noProof/>
        </w:rPr>
        <w:t>Dispensée à titre onéreux sur la base des tarifs fixés par la chambre, chaque session accueille 12 stagiaires. Les tarifs appl</w:t>
      </w:r>
      <w:r w:rsidR="00247369">
        <w:rPr>
          <w:rFonts w:asciiTheme="majorHAnsi" w:hAnsiTheme="majorHAnsi"/>
          <w:noProof/>
        </w:rPr>
        <w:t>iqués sont de l’ordre de 2</w:t>
      </w:r>
      <w:r>
        <w:rPr>
          <w:rFonts w:asciiTheme="majorHAnsi" w:hAnsiTheme="majorHAnsi"/>
          <w:noProof/>
        </w:rPr>
        <w:t>000 Fcfp</w:t>
      </w:r>
      <w:r w:rsidRPr="005E32D1">
        <w:rPr>
          <w:rFonts w:asciiTheme="majorHAnsi" w:hAnsiTheme="majorHAnsi"/>
          <w:noProof/>
        </w:rPr>
        <w:t xml:space="preserve"> pour les titul</w:t>
      </w:r>
      <w:r>
        <w:rPr>
          <w:rFonts w:asciiTheme="majorHAnsi" w:hAnsiTheme="majorHAnsi"/>
          <w:noProof/>
        </w:rPr>
        <w:t xml:space="preserve">aires de carte professionnelle et de </w:t>
      </w:r>
      <w:r w:rsidR="00247369">
        <w:rPr>
          <w:rFonts w:asciiTheme="majorHAnsi" w:hAnsiTheme="majorHAnsi"/>
          <w:noProof/>
        </w:rPr>
        <w:t>10.</w:t>
      </w:r>
      <w:r w:rsidRPr="005E32D1">
        <w:rPr>
          <w:rFonts w:asciiTheme="majorHAnsi" w:hAnsiTheme="majorHAnsi"/>
          <w:noProof/>
        </w:rPr>
        <w:t>000 F</w:t>
      </w:r>
      <w:r>
        <w:rPr>
          <w:rFonts w:asciiTheme="majorHAnsi" w:hAnsiTheme="majorHAnsi"/>
          <w:noProof/>
        </w:rPr>
        <w:t>cfp</w:t>
      </w:r>
      <w:r w:rsidRPr="005E32D1">
        <w:rPr>
          <w:rFonts w:asciiTheme="majorHAnsi" w:hAnsiTheme="majorHAnsi"/>
          <w:noProof/>
        </w:rPr>
        <w:t xml:space="preserve"> pour les non titulaires de carte professionnelle.</w:t>
      </w:r>
      <w:r>
        <w:rPr>
          <w:rFonts w:asciiTheme="majorHAnsi" w:hAnsiTheme="majorHAnsi"/>
          <w:noProof/>
        </w:rPr>
        <w:t xml:space="preserve"> </w:t>
      </w:r>
      <w:r w:rsidRPr="00AE654F">
        <w:rPr>
          <w:rFonts w:asciiTheme="majorHAnsi" w:hAnsiTheme="majorHAnsi"/>
          <w:noProof/>
        </w:rPr>
        <w:t>La durée de chaque formation sera de 24 heures</w:t>
      </w:r>
      <w:r>
        <w:rPr>
          <w:rFonts w:asciiTheme="majorHAnsi" w:hAnsiTheme="majorHAnsi"/>
          <w:noProof/>
        </w:rPr>
        <w:t>,</w:t>
      </w:r>
      <w:r w:rsidRPr="00AE654F">
        <w:rPr>
          <w:rFonts w:asciiTheme="majorHAnsi" w:hAnsiTheme="majorHAnsi"/>
          <w:noProof/>
        </w:rPr>
        <w:t xml:space="preserve"> étalée sur 3 à 4 jours. </w:t>
      </w:r>
    </w:p>
    <w:p w:rsidR="006D128B" w:rsidRDefault="006D128B" w:rsidP="006D128B">
      <w:pPr>
        <w:overflowPunct w:val="0"/>
        <w:autoSpaceDE w:val="0"/>
        <w:autoSpaceDN w:val="0"/>
        <w:adjustRightInd w:val="0"/>
        <w:spacing w:before="60" w:after="60"/>
        <w:jc w:val="both"/>
        <w:rPr>
          <w:rFonts w:asciiTheme="majorHAnsi" w:hAnsiTheme="majorHAnsi"/>
          <w:b/>
          <w:noProof/>
        </w:rPr>
      </w:pPr>
    </w:p>
    <w:p w:rsidR="006D128B" w:rsidRPr="005E32D1" w:rsidRDefault="006D128B" w:rsidP="006D128B">
      <w:pPr>
        <w:overflowPunct w:val="0"/>
        <w:autoSpaceDE w:val="0"/>
        <w:autoSpaceDN w:val="0"/>
        <w:adjustRightInd w:val="0"/>
        <w:spacing w:before="60" w:after="60"/>
        <w:jc w:val="both"/>
        <w:rPr>
          <w:rFonts w:asciiTheme="majorHAnsi" w:hAnsiTheme="majorHAnsi"/>
          <w:i/>
          <w:noProof/>
        </w:rPr>
      </w:pPr>
      <w:r w:rsidRPr="005E32D1">
        <w:rPr>
          <w:rFonts w:asciiTheme="majorHAnsi" w:hAnsiTheme="majorHAnsi"/>
          <w:i/>
          <w:noProof/>
        </w:rPr>
        <w:t xml:space="preserve">Formations à la transformation </w:t>
      </w:r>
    </w:p>
    <w:p w:rsidR="006D128B" w:rsidRDefault="006D128B" w:rsidP="006D128B">
      <w:pPr>
        <w:overflowPunct w:val="0"/>
        <w:autoSpaceDE w:val="0"/>
        <w:autoSpaceDN w:val="0"/>
        <w:adjustRightInd w:val="0"/>
        <w:spacing w:before="60" w:after="60"/>
        <w:jc w:val="both"/>
        <w:rPr>
          <w:rFonts w:asciiTheme="majorHAnsi" w:hAnsiTheme="majorHAnsi"/>
          <w:szCs w:val="20"/>
        </w:rPr>
      </w:pPr>
      <w:r>
        <w:rPr>
          <w:rFonts w:asciiTheme="majorHAnsi" w:hAnsiTheme="majorHAnsi"/>
          <w:noProof/>
        </w:rPr>
        <w:t>Les formations porteront</w:t>
      </w:r>
      <w:r w:rsidRPr="00CC21D5">
        <w:rPr>
          <w:rFonts w:asciiTheme="majorHAnsi" w:hAnsiTheme="majorHAnsi"/>
          <w:noProof/>
        </w:rPr>
        <w:t xml:space="preserve"> sur la transformation des fruits et légumes, des produits de la pêche et de la cocoteraie. Les participants découvriront de nouvelles possibilités pour transformer et valoriser leurs produits. </w:t>
      </w:r>
      <w:r>
        <w:rPr>
          <w:rFonts w:asciiTheme="majorHAnsi" w:hAnsiTheme="majorHAnsi"/>
          <w:noProof/>
        </w:rPr>
        <w:t xml:space="preserve">(Inscription </w:t>
      </w:r>
      <w:r w:rsidRPr="00655CF4">
        <w:rPr>
          <w:rFonts w:asciiTheme="majorHAnsi" w:hAnsiTheme="majorHAnsi"/>
          <w:noProof/>
        </w:rPr>
        <w:t xml:space="preserve">auprès de </w:t>
      </w:r>
      <w:proofErr w:type="spellStart"/>
      <w:r w:rsidRPr="00655CF4">
        <w:rPr>
          <w:rFonts w:asciiTheme="majorHAnsi" w:hAnsiTheme="majorHAnsi"/>
          <w:szCs w:val="20"/>
        </w:rPr>
        <w:t>Food&amp;CookLab</w:t>
      </w:r>
      <w:proofErr w:type="spellEnd"/>
      <w:r w:rsidRPr="00655CF4">
        <w:rPr>
          <w:rFonts w:asciiTheme="majorHAnsi" w:hAnsiTheme="majorHAnsi"/>
          <w:szCs w:val="20"/>
        </w:rPr>
        <w:t>)</w:t>
      </w:r>
    </w:p>
    <w:p w:rsidR="006D128B" w:rsidRPr="00CC21D5" w:rsidRDefault="006D128B" w:rsidP="006D128B">
      <w:pPr>
        <w:overflowPunct w:val="0"/>
        <w:autoSpaceDE w:val="0"/>
        <w:autoSpaceDN w:val="0"/>
        <w:adjustRightInd w:val="0"/>
        <w:spacing w:before="60" w:after="60"/>
        <w:jc w:val="both"/>
        <w:rPr>
          <w:rFonts w:asciiTheme="majorHAnsi" w:hAnsiTheme="majorHAnsi"/>
          <w:noProof/>
        </w:rPr>
      </w:pPr>
    </w:p>
    <w:tbl>
      <w:tblPr>
        <w:tblW w:w="8889"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6"/>
        <w:gridCol w:w="5103"/>
      </w:tblGrid>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Île</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Dates</w:t>
            </w:r>
          </w:p>
        </w:tc>
      </w:tr>
      <w:tr w:rsidR="006D128B" w:rsidRPr="00BE6473" w:rsidTr="00717A71">
        <w:trPr>
          <w:trHeight w:val="300"/>
        </w:trPr>
        <w:tc>
          <w:tcPr>
            <w:tcW w:w="8889" w:type="dxa"/>
            <w:gridSpan w:val="2"/>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jc w:val="center"/>
              <w:rPr>
                <w:rFonts w:asciiTheme="majorHAnsi" w:hAnsiTheme="majorHAnsi" w:cs="Times New Roman"/>
                <w:sz w:val="24"/>
                <w:szCs w:val="24"/>
              </w:rPr>
            </w:pPr>
            <w:r w:rsidRPr="005E32D1">
              <w:rPr>
                <w:rFonts w:asciiTheme="majorHAnsi" w:hAnsiTheme="majorHAnsi" w:cs="Times New Roman"/>
                <w:sz w:val="24"/>
                <w:szCs w:val="24"/>
              </w:rPr>
              <w:lastRenderedPageBreak/>
              <w:t>Transformation des fruits et légumes</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Rurutu</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28, 29 et 30 Octobre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Tahaa</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05, 06 et 7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Tubuai</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05, 06 et 07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Raiatea</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08, 09 et 11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Huahine</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13, 14 et 15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Ua</w:t>
            </w:r>
            <w:proofErr w:type="spellEnd"/>
            <w:r w:rsidRPr="00BE6473">
              <w:rPr>
                <w:rFonts w:asciiTheme="majorHAnsi" w:hAnsiTheme="majorHAnsi" w:cs="Times New Roman"/>
                <w:sz w:val="24"/>
                <w:szCs w:val="24"/>
              </w:rPr>
              <w:t xml:space="preserve"> Pou</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18, 19 et 20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Rimatara</w:t>
            </w: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19, 20 et 21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Nuku</w:t>
            </w:r>
            <w:proofErr w:type="spellEnd"/>
            <w:r w:rsidRPr="00BE6473">
              <w:rPr>
                <w:rFonts w:asciiTheme="majorHAnsi" w:hAnsiTheme="majorHAnsi" w:cs="Times New Roman"/>
                <w:sz w:val="24"/>
                <w:szCs w:val="24"/>
              </w:rPr>
              <w:t xml:space="preserve"> </w:t>
            </w:r>
            <w:proofErr w:type="spellStart"/>
            <w:r w:rsidRPr="00BE6473">
              <w:rPr>
                <w:rFonts w:asciiTheme="majorHAnsi" w:hAnsiTheme="majorHAnsi" w:cs="Times New Roman"/>
                <w:sz w:val="24"/>
                <w:szCs w:val="24"/>
              </w:rPr>
              <w:t>Hiva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03, 04 et 05 Décembre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Hiva</w:t>
            </w:r>
            <w:proofErr w:type="spellEnd"/>
            <w:r w:rsidRPr="00BE6473">
              <w:rPr>
                <w:rFonts w:asciiTheme="majorHAnsi" w:hAnsiTheme="majorHAnsi" w:cs="Times New Roman"/>
                <w:sz w:val="24"/>
                <w:szCs w:val="24"/>
              </w:rPr>
              <w:t xml:space="preserve"> </w:t>
            </w:r>
            <w:proofErr w:type="spellStart"/>
            <w:r w:rsidRPr="00BE6473">
              <w:rPr>
                <w:rFonts w:asciiTheme="majorHAnsi" w:hAnsiTheme="majorHAnsi" w:cs="Times New Roman"/>
                <w:sz w:val="24"/>
                <w:szCs w:val="24"/>
              </w:rPr>
              <w:t>Oa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06 ap-m, 07, 09 et 10 mat Décembre</w:t>
            </w:r>
          </w:p>
        </w:tc>
      </w:tr>
      <w:tr w:rsidR="006D128B" w:rsidRPr="00BE6473" w:rsidTr="00717A71">
        <w:trPr>
          <w:trHeight w:val="4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
        </w:tc>
      </w:tr>
      <w:tr w:rsidR="006D128B" w:rsidRPr="00BE6473" w:rsidTr="00717A71">
        <w:trPr>
          <w:trHeight w:val="300"/>
        </w:trPr>
        <w:tc>
          <w:tcPr>
            <w:tcW w:w="8889" w:type="dxa"/>
            <w:gridSpan w:val="2"/>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jc w:val="center"/>
              <w:rPr>
                <w:rFonts w:asciiTheme="majorHAnsi" w:hAnsiTheme="majorHAnsi" w:cs="Times New Roman"/>
                <w:sz w:val="24"/>
                <w:szCs w:val="24"/>
              </w:rPr>
            </w:pPr>
            <w:r w:rsidRPr="005E32D1">
              <w:rPr>
                <w:rFonts w:asciiTheme="majorHAnsi" w:hAnsiTheme="majorHAnsi" w:cs="Times New Roman"/>
                <w:sz w:val="24"/>
                <w:szCs w:val="24"/>
              </w:rPr>
              <w:t>Transformation des produits de la pêche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Fakarava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02, 04 et 05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Rangiroa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07, 08 et 09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Kaukura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02, 03 et 04 Décembre</w:t>
            </w:r>
          </w:p>
        </w:tc>
      </w:tr>
      <w:tr w:rsidR="006D128B" w:rsidRPr="00BE6473" w:rsidTr="00717A71">
        <w:trPr>
          <w:trHeight w:val="12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
        </w:tc>
      </w:tr>
      <w:tr w:rsidR="006D128B" w:rsidRPr="00BE6473" w:rsidTr="00717A71">
        <w:trPr>
          <w:trHeight w:val="300"/>
        </w:trPr>
        <w:tc>
          <w:tcPr>
            <w:tcW w:w="8889" w:type="dxa"/>
            <w:gridSpan w:val="2"/>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jc w:val="center"/>
              <w:rPr>
                <w:rFonts w:asciiTheme="majorHAnsi" w:hAnsiTheme="majorHAnsi" w:cs="Times New Roman"/>
                <w:sz w:val="24"/>
                <w:szCs w:val="24"/>
              </w:rPr>
            </w:pPr>
            <w:r w:rsidRPr="005E32D1">
              <w:rPr>
                <w:rFonts w:asciiTheme="majorHAnsi" w:hAnsiTheme="majorHAnsi" w:cs="Times New Roman"/>
                <w:sz w:val="24"/>
                <w:szCs w:val="24"/>
              </w:rPr>
              <w:t>Transformation des produits issus du cocotier</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Kaukura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28, 29 et 30 Novembre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Rangiroa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09, 10 et 11 Décembre</w:t>
            </w:r>
          </w:p>
        </w:tc>
      </w:tr>
      <w:tr w:rsidR="006D128B" w:rsidRPr="00BE6473" w:rsidTr="00717A71">
        <w:trPr>
          <w:trHeight w:val="300"/>
        </w:trPr>
        <w:tc>
          <w:tcPr>
            <w:tcW w:w="3786"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proofErr w:type="spellStart"/>
            <w:r w:rsidRPr="00BE6473">
              <w:rPr>
                <w:rFonts w:asciiTheme="majorHAnsi" w:hAnsiTheme="majorHAnsi" w:cs="Times New Roman"/>
                <w:sz w:val="24"/>
                <w:szCs w:val="24"/>
              </w:rPr>
              <w:t>Fakarava</w:t>
            </w:r>
            <w:proofErr w:type="spellEnd"/>
          </w:p>
        </w:tc>
        <w:tc>
          <w:tcPr>
            <w:tcW w:w="5103" w:type="dxa"/>
            <w:shd w:val="clear" w:color="auto" w:fill="FFFFFF" w:themeFill="background1"/>
            <w:tcMar>
              <w:top w:w="40" w:type="dxa"/>
              <w:left w:w="40" w:type="dxa"/>
              <w:bottom w:w="40" w:type="dxa"/>
              <w:right w:w="40" w:type="dxa"/>
            </w:tcMar>
            <w:vAlign w:val="bottom"/>
          </w:tcPr>
          <w:p w:rsidR="006D128B" w:rsidRPr="00BE6473" w:rsidRDefault="006D128B" w:rsidP="00717A71">
            <w:pPr>
              <w:pStyle w:val="Normal1"/>
              <w:widowControl w:val="0"/>
              <w:rPr>
                <w:rFonts w:asciiTheme="majorHAnsi" w:hAnsiTheme="majorHAnsi" w:cs="Times New Roman"/>
                <w:sz w:val="24"/>
                <w:szCs w:val="24"/>
              </w:rPr>
            </w:pPr>
            <w:r w:rsidRPr="00BE6473">
              <w:rPr>
                <w:rFonts w:asciiTheme="majorHAnsi" w:hAnsiTheme="majorHAnsi" w:cs="Times New Roman"/>
                <w:sz w:val="24"/>
                <w:szCs w:val="24"/>
              </w:rPr>
              <w:t>12, 13 et 14 Décembre</w:t>
            </w:r>
          </w:p>
        </w:tc>
      </w:tr>
    </w:tbl>
    <w:p w:rsidR="006D128B" w:rsidRPr="00AE654F" w:rsidRDefault="006D128B" w:rsidP="006D128B">
      <w:pPr>
        <w:overflowPunct w:val="0"/>
        <w:autoSpaceDE w:val="0"/>
        <w:autoSpaceDN w:val="0"/>
        <w:adjustRightInd w:val="0"/>
        <w:spacing w:before="60" w:after="60"/>
        <w:jc w:val="both"/>
        <w:rPr>
          <w:rFonts w:asciiTheme="majorHAnsi" w:hAnsiTheme="majorHAnsi"/>
          <w:noProof/>
        </w:rPr>
      </w:pPr>
    </w:p>
    <w:p w:rsidR="006D128B" w:rsidRPr="005E32D1" w:rsidRDefault="006D128B" w:rsidP="006D128B">
      <w:pPr>
        <w:overflowPunct w:val="0"/>
        <w:autoSpaceDE w:val="0"/>
        <w:autoSpaceDN w:val="0"/>
        <w:adjustRightInd w:val="0"/>
        <w:spacing w:before="60" w:after="60"/>
        <w:jc w:val="both"/>
        <w:rPr>
          <w:rFonts w:asciiTheme="majorHAnsi" w:hAnsiTheme="majorHAnsi"/>
          <w:i/>
          <w:noProof/>
        </w:rPr>
      </w:pPr>
      <w:r w:rsidRPr="005E32D1">
        <w:rPr>
          <w:rFonts w:asciiTheme="majorHAnsi" w:hAnsiTheme="majorHAnsi"/>
          <w:i/>
          <w:noProof/>
        </w:rPr>
        <w:t xml:space="preserve">Formations à la gestion de l’exploitation et de groupement agricole  </w:t>
      </w:r>
    </w:p>
    <w:p w:rsidR="006D128B" w:rsidRPr="005E32D1" w:rsidRDefault="006D128B" w:rsidP="006D128B">
      <w:pPr>
        <w:overflowPunct w:val="0"/>
        <w:autoSpaceDE w:val="0"/>
        <w:autoSpaceDN w:val="0"/>
        <w:adjustRightInd w:val="0"/>
        <w:spacing w:before="60" w:after="60"/>
        <w:jc w:val="both"/>
        <w:rPr>
          <w:rFonts w:ascii="Cambria" w:hAnsi="Cambria"/>
          <w:b/>
          <w:noProof/>
        </w:rPr>
      </w:pPr>
    </w:p>
    <w:p w:rsidR="006D128B" w:rsidRPr="005E32D1" w:rsidRDefault="006D128B" w:rsidP="006D128B">
      <w:pPr>
        <w:pStyle w:val="Normal1"/>
        <w:shd w:val="clear" w:color="auto" w:fill="FFFFFF" w:themeFill="background1"/>
        <w:jc w:val="both"/>
        <w:rPr>
          <w:rFonts w:ascii="Cambria" w:eastAsia="Times New Roman" w:hAnsi="Cambria" w:cs="Times New Roman"/>
          <w:sz w:val="24"/>
          <w:szCs w:val="20"/>
          <w:lang w:val="fr-FR"/>
        </w:rPr>
      </w:pPr>
      <w:r w:rsidRPr="005E32D1">
        <w:rPr>
          <w:rFonts w:ascii="Cambria" w:eastAsia="Times New Roman" w:hAnsi="Cambria" w:cs="Times New Roman"/>
          <w:sz w:val="24"/>
          <w:szCs w:val="20"/>
          <w:lang w:val="fr-FR"/>
        </w:rPr>
        <w:t xml:space="preserve">Les formations portent sur les outils pour améliorer la gestion de son exploitation, et assurer un fonctionnement efficace d’un groupement agricole. (Inscription auprès du CFPA de </w:t>
      </w:r>
      <w:proofErr w:type="spellStart"/>
      <w:r w:rsidRPr="005E32D1">
        <w:rPr>
          <w:rFonts w:ascii="Cambria" w:eastAsia="Times New Roman" w:hAnsi="Cambria" w:cs="Times New Roman"/>
          <w:sz w:val="24"/>
          <w:szCs w:val="20"/>
          <w:lang w:val="fr-FR"/>
        </w:rPr>
        <w:t>Opunohu</w:t>
      </w:r>
      <w:proofErr w:type="spellEnd"/>
      <w:r w:rsidRPr="005E32D1">
        <w:rPr>
          <w:rFonts w:ascii="Cambria" w:eastAsia="Times New Roman" w:hAnsi="Cambria" w:cs="Times New Roman"/>
          <w:sz w:val="24"/>
          <w:szCs w:val="20"/>
          <w:lang w:val="fr-FR"/>
        </w:rPr>
        <w:t xml:space="preserve"> - Moorea)</w:t>
      </w:r>
    </w:p>
    <w:p w:rsidR="006D128B" w:rsidRPr="005E32D1" w:rsidRDefault="006D128B" w:rsidP="006D128B">
      <w:pPr>
        <w:pStyle w:val="Normal1"/>
        <w:shd w:val="clear" w:color="auto" w:fill="FFFFFF" w:themeFill="background1"/>
        <w:jc w:val="both"/>
        <w:rPr>
          <w:rFonts w:ascii="Cambria" w:eastAsia="Times New Roman" w:hAnsi="Cambria" w:cs="Times New Roman"/>
          <w:sz w:val="24"/>
          <w:szCs w:val="20"/>
          <w:lang w:val="fr-FR"/>
        </w:rPr>
      </w:pPr>
    </w:p>
    <w:p w:rsidR="006D128B" w:rsidRPr="005E32D1" w:rsidRDefault="006D128B" w:rsidP="006D128B">
      <w:pPr>
        <w:pStyle w:val="-LettreTexteGEDA"/>
        <w:shd w:val="clear" w:color="auto" w:fill="FFFFFF" w:themeFill="background1"/>
        <w:ind w:firstLine="0"/>
        <w:rPr>
          <w:rFonts w:ascii="Cambria" w:hAnsi="Cambria"/>
          <w:noProof w:val="0"/>
          <w:szCs w:val="24"/>
        </w:rPr>
      </w:pPr>
    </w:p>
    <w:tbl>
      <w:tblPr>
        <w:tblpPr w:leftFromText="141" w:rightFromText="141" w:vertAnchor="text" w:horzAnchor="page" w:tblpXSpec="center" w:tblpY="-341"/>
        <w:tblW w:w="5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3336"/>
      </w:tblGrid>
      <w:tr w:rsidR="006D128B" w:rsidRPr="005E32D1" w:rsidTr="00717A71">
        <w:trPr>
          <w:trHeight w:val="300"/>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Île</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Dates</w:t>
            </w:r>
          </w:p>
        </w:tc>
      </w:tr>
      <w:tr w:rsidR="006D128B" w:rsidRPr="005E32D1" w:rsidTr="00717A71">
        <w:trPr>
          <w:trHeight w:val="300"/>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Tahaa</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28 au 31 Octobre</w:t>
            </w:r>
          </w:p>
        </w:tc>
      </w:tr>
      <w:tr w:rsidR="006D128B" w:rsidRPr="005E32D1" w:rsidTr="00717A71">
        <w:trPr>
          <w:trHeight w:val="300"/>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Raiatea</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4 au 7 Novembre</w:t>
            </w:r>
          </w:p>
        </w:tc>
      </w:tr>
      <w:tr w:rsidR="006D128B" w:rsidRPr="005E32D1" w:rsidTr="00717A71">
        <w:trPr>
          <w:trHeight w:val="300"/>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proofErr w:type="spellStart"/>
            <w:r w:rsidRPr="005E32D1">
              <w:rPr>
                <w:rFonts w:ascii="Cambria" w:hAnsi="Cambria" w:cs="Times New Roman"/>
                <w:sz w:val="24"/>
                <w:szCs w:val="24"/>
              </w:rPr>
              <w:t>Hiva</w:t>
            </w:r>
            <w:proofErr w:type="spellEnd"/>
            <w:r w:rsidRPr="005E32D1">
              <w:rPr>
                <w:rFonts w:ascii="Cambria" w:hAnsi="Cambria" w:cs="Times New Roman"/>
                <w:sz w:val="24"/>
                <w:szCs w:val="24"/>
              </w:rPr>
              <w:t xml:space="preserve"> </w:t>
            </w:r>
            <w:proofErr w:type="spellStart"/>
            <w:r w:rsidRPr="005E32D1">
              <w:rPr>
                <w:rFonts w:ascii="Cambria" w:hAnsi="Cambria" w:cs="Times New Roman"/>
                <w:sz w:val="24"/>
                <w:szCs w:val="24"/>
              </w:rPr>
              <w:t>Oa</w:t>
            </w:r>
            <w:proofErr w:type="spellEnd"/>
            <w:r w:rsidRPr="005E32D1">
              <w:rPr>
                <w:rFonts w:ascii="Cambria" w:hAnsi="Cambria" w:cs="Times New Roman"/>
                <w:sz w:val="24"/>
                <w:szCs w:val="24"/>
              </w:rPr>
              <w:t xml:space="preserve"> du </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25 au 29 Novembre</w:t>
            </w:r>
          </w:p>
        </w:tc>
      </w:tr>
      <w:tr w:rsidR="006D128B" w:rsidRPr="005E32D1" w:rsidTr="00717A71">
        <w:trPr>
          <w:trHeight w:val="300"/>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proofErr w:type="spellStart"/>
            <w:r w:rsidRPr="005E32D1">
              <w:rPr>
                <w:rFonts w:ascii="Cambria" w:hAnsi="Cambria" w:cs="Times New Roman"/>
                <w:sz w:val="24"/>
                <w:szCs w:val="24"/>
              </w:rPr>
              <w:t>Ua</w:t>
            </w:r>
            <w:proofErr w:type="spellEnd"/>
            <w:r w:rsidRPr="005E32D1">
              <w:rPr>
                <w:rFonts w:ascii="Cambria" w:hAnsi="Cambria" w:cs="Times New Roman"/>
                <w:sz w:val="24"/>
                <w:szCs w:val="24"/>
              </w:rPr>
              <w:t xml:space="preserve"> Pou</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2 au 6 Décembre</w:t>
            </w:r>
          </w:p>
        </w:tc>
      </w:tr>
      <w:tr w:rsidR="006D128B" w:rsidRPr="005E32D1" w:rsidTr="00717A71">
        <w:trPr>
          <w:trHeight w:val="242"/>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proofErr w:type="spellStart"/>
            <w:r w:rsidRPr="005E32D1">
              <w:rPr>
                <w:rFonts w:ascii="Cambria" w:hAnsi="Cambria" w:cs="Times New Roman"/>
                <w:sz w:val="24"/>
                <w:szCs w:val="24"/>
              </w:rPr>
              <w:t>Nuku</w:t>
            </w:r>
            <w:proofErr w:type="spellEnd"/>
            <w:r w:rsidRPr="005E32D1">
              <w:rPr>
                <w:rFonts w:ascii="Cambria" w:hAnsi="Cambria" w:cs="Times New Roman"/>
                <w:sz w:val="24"/>
                <w:szCs w:val="24"/>
              </w:rPr>
              <w:t xml:space="preserve"> </w:t>
            </w:r>
            <w:proofErr w:type="spellStart"/>
            <w:r w:rsidRPr="005E32D1">
              <w:rPr>
                <w:rFonts w:ascii="Cambria" w:hAnsi="Cambria" w:cs="Times New Roman"/>
                <w:sz w:val="24"/>
                <w:szCs w:val="24"/>
              </w:rPr>
              <w:t>Hiva</w:t>
            </w:r>
            <w:proofErr w:type="spellEnd"/>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shd w:val="clear" w:color="auto" w:fill="FFFFFF" w:themeFill="background1"/>
              <w:rPr>
                <w:rFonts w:ascii="Cambria" w:hAnsi="Cambria" w:cs="Times New Roman"/>
                <w:sz w:val="24"/>
                <w:szCs w:val="24"/>
              </w:rPr>
            </w:pPr>
            <w:r w:rsidRPr="005E32D1">
              <w:rPr>
                <w:rFonts w:ascii="Cambria" w:hAnsi="Cambria" w:cs="Times New Roman"/>
                <w:sz w:val="24"/>
                <w:szCs w:val="24"/>
              </w:rPr>
              <w:t>9 au 13 Décembre</w:t>
            </w:r>
          </w:p>
        </w:tc>
      </w:tr>
    </w:tbl>
    <w:p w:rsidR="006D128B" w:rsidRPr="005E32D1" w:rsidRDefault="006D128B" w:rsidP="006D128B">
      <w:pPr>
        <w:pStyle w:val="Normal1"/>
        <w:shd w:val="clear" w:color="auto" w:fill="FFFFFF" w:themeFill="background1"/>
        <w:jc w:val="center"/>
        <w:rPr>
          <w:rFonts w:ascii="Cambria" w:hAnsi="Cambria" w:cs="Times New Roman"/>
          <w:sz w:val="24"/>
          <w:szCs w:val="24"/>
        </w:rPr>
      </w:pPr>
    </w:p>
    <w:p w:rsidR="006D128B" w:rsidRPr="005E32D1" w:rsidRDefault="006D128B" w:rsidP="006D128B">
      <w:pPr>
        <w:pStyle w:val="Normal1"/>
        <w:shd w:val="clear" w:color="auto" w:fill="FFFFFF" w:themeFill="background1"/>
        <w:jc w:val="center"/>
        <w:rPr>
          <w:rFonts w:ascii="Cambria" w:hAnsi="Cambria" w:cs="Times New Roman"/>
          <w:sz w:val="24"/>
          <w:szCs w:val="24"/>
        </w:rPr>
      </w:pPr>
    </w:p>
    <w:p w:rsidR="006D128B" w:rsidRPr="005E32D1" w:rsidRDefault="006D128B" w:rsidP="006D128B">
      <w:pPr>
        <w:pStyle w:val="Normal1"/>
        <w:shd w:val="clear" w:color="auto" w:fill="FFFFFF" w:themeFill="background1"/>
        <w:jc w:val="center"/>
        <w:rPr>
          <w:rFonts w:ascii="Cambria" w:hAnsi="Cambria" w:cs="Times New Roman"/>
          <w:sz w:val="24"/>
          <w:szCs w:val="24"/>
        </w:rPr>
      </w:pPr>
    </w:p>
    <w:p w:rsidR="006D128B" w:rsidRPr="005E32D1" w:rsidRDefault="006D128B" w:rsidP="006D128B">
      <w:pPr>
        <w:pStyle w:val="Normal1"/>
        <w:shd w:val="clear" w:color="auto" w:fill="FFFFFF" w:themeFill="background1"/>
        <w:jc w:val="center"/>
        <w:rPr>
          <w:rFonts w:ascii="Cambria" w:hAnsi="Cambria" w:cs="Times New Roman"/>
          <w:sz w:val="24"/>
          <w:szCs w:val="24"/>
        </w:rPr>
      </w:pPr>
    </w:p>
    <w:p w:rsidR="006D128B" w:rsidRPr="005E32D1" w:rsidRDefault="006D128B" w:rsidP="006D128B">
      <w:pPr>
        <w:pStyle w:val="-LettreTexteGEDA"/>
        <w:ind w:firstLine="0"/>
        <w:rPr>
          <w:rFonts w:ascii="Cambria" w:hAnsi="Cambria"/>
          <w:noProof w:val="0"/>
        </w:rPr>
      </w:pPr>
    </w:p>
    <w:p w:rsidR="006D128B" w:rsidRPr="005E32D1" w:rsidRDefault="006D128B" w:rsidP="006D128B">
      <w:pPr>
        <w:pStyle w:val="-LettreTexteGEDA"/>
        <w:ind w:firstLine="0"/>
        <w:rPr>
          <w:rFonts w:ascii="Cambria" w:hAnsi="Cambria"/>
          <w:noProof w:val="0"/>
        </w:rPr>
      </w:pPr>
    </w:p>
    <w:p w:rsidR="006D128B" w:rsidRPr="005E32D1" w:rsidRDefault="006D128B" w:rsidP="006D128B">
      <w:pPr>
        <w:overflowPunct w:val="0"/>
        <w:autoSpaceDE w:val="0"/>
        <w:autoSpaceDN w:val="0"/>
        <w:adjustRightInd w:val="0"/>
        <w:spacing w:before="60" w:after="60"/>
        <w:jc w:val="both"/>
        <w:rPr>
          <w:rFonts w:ascii="Cambria" w:hAnsi="Cambria"/>
          <w:b/>
          <w:noProof/>
        </w:rPr>
      </w:pPr>
    </w:p>
    <w:p w:rsidR="006D128B" w:rsidRPr="005E32D1" w:rsidRDefault="006D128B" w:rsidP="006D128B">
      <w:pPr>
        <w:overflowPunct w:val="0"/>
        <w:autoSpaceDE w:val="0"/>
        <w:autoSpaceDN w:val="0"/>
        <w:adjustRightInd w:val="0"/>
        <w:spacing w:before="60" w:after="60"/>
        <w:jc w:val="both"/>
        <w:rPr>
          <w:rFonts w:ascii="Cambria" w:hAnsi="Cambria"/>
          <w:b/>
          <w:noProof/>
        </w:rPr>
      </w:pPr>
    </w:p>
    <w:p w:rsidR="006D128B" w:rsidRDefault="006D128B" w:rsidP="006D128B">
      <w:pPr>
        <w:overflowPunct w:val="0"/>
        <w:autoSpaceDE w:val="0"/>
        <w:autoSpaceDN w:val="0"/>
        <w:adjustRightInd w:val="0"/>
        <w:spacing w:before="60" w:after="60"/>
        <w:jc w:val="both"/>
        <w:rPr>
          <w:rFonts w:ascii="Cambria" w:hAnsi="Cambria"/>
          <w:i/>
          <w:noProof/>
        </w:rPr>
      </w:pPr>
      <w:r w:rsidRPr="005E32D1">
        <w:rPr>
          <w:rFonts w:ascii="Cambria" w:hAnsi="Cambria"/>
          <w:i/>
          <w:noProof/>
        </w:rPr>
        <w:t>Formations à l’agriculture biologique</w:t>
      </w:r>
    </w:p>
    <w:p w:rsidR="006D128B" w:rsidRPr="005E32D1" w:rsidRDefault="006D128B" w:rsidP="006D128B">
      <w:pPr>
        <w:overflowPunct w:val="0"/>
        <w:autoSpaceDE w:val="0"/>
        <w:autoSpaceDN w:val="0"/>
        <w:adjustRightInd w:val="0"/>
        <w:spacing w:before="60" w:after="60"/>
        <w:jc w:val="both"/>
        <w:rPr>
          <w:rFonts w:ascii="Cambria" w:hAnsi="Cambria"/>
          <w:i/>
          <w:noProof/>
        </w:rPr>
      </w:pPr>
    </w:p>
    <w:p w:rsidR="006D128B" w:rsidRPr="005E32D1" w:rsidRDefault="006D128B" w:rsidP="006D128B">
      <w:pPr>
        <w:pStyle w:val="Normal1"/>
        <w:shd w:val="clear" w:color="auto" w:fill="FFFFFF" w:themeFill="background1"/>
        <w:jc w:val="both"/>
        <w:rPr>
          <w:rFonts w:ascii="Cambria" w:eastAsia="Times New Roman" w:hAnsi="Cambria" w:cs="Times New Roman"/>
          <w:sz w:val="24"/>
          <w:szCs w:val="20"/>
          <w:lang w:val="fr-FR"/>
        </w:rPr>
      </w:pPr>
      <w:r w:rsidRPr="005E32D1">
        <w:rPr>
          <w:rFonts w:ascii="Cambria" w:eastAsia="Times New Roman" w:hAnsi="Cambria" w:cs="Times New Roman"/>
          <w:sz w:val="24"/>
          <w:szCs w:val="20"/>
          <w:lang w:val="fr-FR"/>
        </w:rPr>
        <w:t xml:space="preserve">Les formations portent sur l’agriculture biologique, les techniques et les démarches pour devenir agriculteurs bio. (Inscription auprès du CFPA de </w:t>
      </w:r>
      <w:proofErr w:type="spellStart"/>
      <w:r w:rsidRPr="005E32D1">
        <w:rPr>
          <w:rFonts w:ascii="Cambria" w:eastAsia="Times New Roman" w:hAnsi="Cambria" w:cs="Times New Roman"/>
          <w:sz w:val="24"/>
          <w:szCs w:val="20"/>
          <w:lang w:val="fr-FR"/>
        </w:rPr>
        <w:t>Opunohu</w:t>
      </w:r>
      <w:proofErr w:type="spellEnd"/>
      <w:r w:rsidRPr="005E32D1">
        <w:rPr>
          <w:rFonts w:ascii="Cambria" w:eastAsia="Times New Roman" w:hAnsi="Cambria" w:cs="Times New Roman"/>
          <w:sz w:val="24"/>
          <w:szCs w:val="20"/>
          <w:lang w:val="fr-FR"/>
        </w:rPr>
        <w:t xml:space="preserve"> - Moorea)</w:t>
      </w:r>
    </w:p>
    <w:p w:rsidR="006D128B" w:rsidRPr="005E32D1" w:rsidRDefault="006D128B" w:rsidP="006D128B">
      <w:pPr>
        <w:pStyle w:val="Normal1"/>
        <w:shd w:val="clear" w:color="auto" w:fill="FFFFFF" w:themeFill="background1"/>
        <w:jc w:val="both"/>
        <w:rPr>
          <w:rFonts w:ascii="Cambria" w:eastAsia="Times New Roman" w:hAnsi="Cambria" w:cs="Times New Roman"/>
          <w:sz w:val="24"/>
          <w:szCs w:val="20"/>
          <w:lang w:val="fr-FR"/>
        </w:rPr>
      </w:pPr>
    </w:p>
    <w:p w:rsidR="006D128B" w:rsidRPr="005E32D1" w:rsidRDefault="006D128B" w:rsidP="006D128B">
      <w:pPr>
        <w:pStyle w:val="Normal1"/>
        <w:jc w:val="both"/>
        <w:rPr>
          <w:rStyle w:val="textexposedshow"/>
          <w:rFonts w:ascii="Cambria" w:hAnsi="Cambria" w:cs="Times New Roman"/>
        </w:rPr>
      </w:pPr>
    </w:p>
    <w:tbl>
      <w:tblPr>
        <w:tblW w:w="5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3336"/>
      </w:tblGrid>
      <w:tr w:rsidR="006D128B" w:rsidRPr="005E32D1" w:rsidTr="00717A71">
        <w:trPr>
          <w:trHeight w:val="300"/>
          <w:jc w:val="center"/>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Île</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Dates</w:t>
            </w:r>
          </w:p>
        </w:tc>
      </w:tr>
      <w:tr w:rsidR="006D128B" w:rsidRPr="005E32D1" w:rsidTr="00717A71">
        <w:trPr>
          <w:trHeight w:val="300"/>
          <w:jc w:val="center"/>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Rimatara</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25 au 28 Novembre</w:t>
            </w:r>
          </w:p>
        </w:tc>
      </w:tr>
      <w:tr w:rsidR="006D128B" w:rsidRPr="005E32D1" w:rsidTr="00717A71">
        <w:trPr>
          <w:trHeight w:val="300"/>
          <w:jc w:val="center"/>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Rurutu</w:t>
            </w:r>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2 au 6 Décembre</w:t>
            </w:r>
          </w:p>
        </w:tc>
      </w:tr>
      <w:tr w:rsidR="006D128B" w:rsidRPr="005E32D1" w:rsidTr="00717A71">
        <w:trPr>
          <w:trHeight w:val="300"/>
          <w:jc w:val="center"/>
        </w:trPr>
        <w:tc>
          <w:tcPr>
            <w:tcW w:w="2265"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proofErr w:type="spellStart"/>
            <w:r w:rsidRPr="005E32D1">
              <w:rPr>
                <w:rFonts w:ascii="Cambria" w:hAnsi="Cambria" w:cs="Times New Roman"/>
                <w:sz w:val="24"/>
                <w:szCs w:val="24"/>
              </w:rPr>
              <w:t>Tubuai</w:t>
            </w:r>
            <w:proofErr w:type="spellEnd"/>
          </w:p>
        </w:tc>
        <w:tc>
          <w:tcPr>
            <w:tcW w:w="3336" w:type="dxa"/>
            <w:shd w:val="clear" w:color="auto" w:fill="FFFFFF" w:themeFill="background1"/>
            <w:tcMar>
              <w:top w:w="40" w:type="dxa"/>
              <w:left w:w="40" w:type="dxa"/>
              <w:bottom w:w="40" w:type="dxa"/>
              <w:right w:w="40" w:type="dxa"/>
            </w:tcMar>
            <w:vAlign w:val="bottom"/>
          </w:tcPr>
          <w:p w:rsidR="006D128B" w:rsidRPr="005E32D1" w:rsidRDefault="006D128B" w:rsidP="00717A71">
            <w:pPr>
              <w:pStyle w:val="Normal1"/>
              <w:widowControl w:val="0"/>
              <w:rPr>
                <w:rFonts w:ascii="Cambria" w:hAnsi="Cambria" w:cs="Times New Roman"/>
                <w:sz w:val="24"/>
                <w:szCs w:val="24"/>
              </w:rPr>
            </w:pPr>
            <w:r w:rsidRPr="005E32D1">
              <w:rPr>
                <w:rFonts w:ascii="Cambria" w:hAnsi="Cambria" w:cs="Times New Roman"/>
                <w:sz w:val="24"/>
                <w:szCs w:val="24"/>
              </w:rPr>
              <w:t>9 au 13 Décembre</w:t>
            </w:r>
          </w:p>
        </w:tc>
      </w:tr>
    </w:tbl>
    <w:p w:rsidR="006D128B" w:rsidRDefault="006D128B" w:rsidP="006D128B">
      <w:pPr>
        <w:pStyle w:val="-LettreTexteGEDA"/>
        <w:ind w:firstLine="0"/>
        <w:rPr>
          <w:rFonts w:asciiTheme="majorHAnsi" w:hAnsiTheme="majorHAnsi"/>
          <w:noProof w:val="0"/>
          <w:szCs w:val="24"/>
        </w:rPr>
      </w:pPr>
    </w:p>
    <w:p w:rsidR="006D128B" w:rsidRDefault="006D128B" w:rsidP="006D128B">
      <w:pPr>
        <w:jc w:val="both"/>
        <w:rPr>
          <w:rFonts w:ascii="Cambria" w:hAnsi="Cambria"/>
          <w:b/>
        </w:rPr>
      </w:pPr>
    </w:p>
    <w:p w:rsidR="006D128B" w:rsidRPr="005E32D1" w:rsidRDefault="006D128B" w:rsidP="006D128B">
      <w:pPr>
        <w:jc w:val="both"/>
        <w:rPr>
          <w:rFonts w:ascii="Cambria" w:hAnsi="Cambria"/>
          <w:b/>
        </w:rPr>
      </w:pPr>
      <w:r>
        <w:rPr>
          <w:rFonts w:ascii="Cambria" w:hAnsi="Cambria"/>
          <w:b/>
        </w:rPr>
        <w:t xml:space="preserve">Complément à la </w:t>
      </w:r>
      <w:r w:rsidRPr="005E32D1">
        <w:rPr>
          <w:rFonts w:ascii="Cambria" w:hAnsi="Cambria"/>
          <w:b/>
        </w:rPr>
        <w:t xml:space="preserve">liste des produits utilisés en agriculture biologique exonérés de droits et </w:t>
      </w:r>
      <w:r>
        <w:rPr>
          <w:rFonts w:ascii="Cambria" w:hAnsi="Cambria"/>
          <w:b/>
        </w:rPr>
        <w:t>taxes à l’importation</w:t>
      </w:r>
    </w:p>
    <w:p w:rsidR="006D128B" w:rsidRPr="005E32D1" w:rsidRDefault="006D128B" w:rsidP="006D128B">
      <w:pPr>
        <w:rPr>
          <w:rFonts w:ascii="Cambria" w:hAnsi="Cambria"/>
        </w:rPr>
      </w:pPr>
    </w:p>
    <w:p w:rsidR="006D128B" w:rsidRPr="005E32D1" w:rsidRDefault="006D128B" w:rsidP="006D128B">
      <w:pPr>
        <w:jc w:val="both"/>
        <w:rPr>
          <w:rFonts w:ascii="Cambria" w:hAnsi="Cambria"/>
        </w:rPr>
      </w:pPr>
      <w:r w:rsidRPr="005E32D1">
        <w:rPr>
          <w:rFonts w:ascii="Cambria" w:hAnsi="Cambria"/>
        </w:rPr>
        <w:t xml:space="preserve">La volonté du gouvernement est de développer et de promouvoir l’agriculture biologique pour assurer à </w:t>
      </w:r>
      <w:r>
        <w:rPr>
          <w:rFonts w:ascii="Cambria" w:hAnsi="Cambria"/>
        </w:rPr>
        <w:t>la</w:t>
      </w:r>
      <w:r w:rsidRPr="005E32D1">
        <w:rPr>
          <w:rFonts w:ascii="Cambria" w:hAnsi="Cambria"/>
        </w:rPr>
        <w:t xml:space="preserve"> population une alimentation plus saine et de qualité.</w:t>
      </w:r>
      <w:r>
        <w:rPr>
          <w:rFonts w:ascii="Cambria" w:hAnsi="Cambria"/>
        </w:rPr>
        <w:t xml:space="preserve"> </w:t>
      </w:r>
      <w:r w:rsidRPr="005E32D1">
        <w:rPr>
          <w:rFonts w:ascii="Cambria" w:hAnsi="Cambria"/>
        </w:rPr>
        <w:t xml:space="preserve">En complément des aides financières consenties aux agriculteurs engagés dans une démarche d’agriculture biologique, le Conseil des ministres a souhaité exonérer de droits et taxes à l’importation certains produits utilisables dans ce mode de production Bio. </w:t>
      </w:r>
    </w:p>
    <w:p w:rsidR="006D128B" w:rsidRPr="005E32D1" w:rsidRDefault="006D128B" w:rsidP="006D128B">
      <w:pPr>
        <w:pStyle w:val="-LettreTexteGEDA"/>
        <w:ind w:firstLine="0"/>
        <w:rPr>
          <w:rFonts w:ascii="Cambria" w:hAnsi="Cambria"/>
          <w:noProof w:val="0"/>
        </w:rPr>
      </w:pPr>
      <w:r w:rsidRPr="005E32D1">
        <w:rPr>
          <w:rFonts w:ascii="Cambria" w:hAnsi="Cambria"/>
          <w:noProof w:val="0"/>
          <w:szCs w:val="24"/>
        </w:rPr>
        <w:t>La liste des produits importés utilisés en agriculture biologique a ainsi été complétée par de nouveaux</w:t>
      </w:r>
      <w:r w:rsidRPr="005E32D1">
        <w:rPr>
          <w:rFonts w:ascii="Cambria" w:hAnsi="Cambria"/>
          <w:noProof w:val="0"/>
        </w:rPr>
        <w:t xml:space="preserve"> insecticides et herbicides composés d’extraits de végétaux afin d’inciter le remplacement de pesticides chimiques par d’autres, moins nocifs à la fois pour l’utilisateur et l’environnement. </w:t>
      </w:r>
      <w:r w:rsidRPr="005E32D1">
        <w:rPr>
          <w:rFonts w:ascii="Cambria" w:hAnsi="Cambria"/>
        </w:rPr>
        <w:t xml:space="preserve">Près d’une </w:t>
      </w:r>
      <w:r w:rsidR="00247369">
        <w:rPr>
          <w:rFonts w:ascii="Cambria" w:hAnsi="Cambria"/>
        </w:rPr>
        <w:t>vingtaine</w:t>
      </w:r>
      <w:r w:rsidRPr="005E32D1">
        <w:rPr>
          <w:rFonts w:ascii="Cambria" w:hAnsi="Cambria"/>
        </w:rPr>
        <w:t xml:space="preserve"> de catégories de produits biologiques (semences, engrais, pesticides, insecticides, herbicides, matériels…) proposés dans les commerces sont d</w:t>
      </w:r>
      <w:r w:rsidR="00247369">
        <w:rPr>
          <w:rFonts w:ascii="Cambria" w:hAnsi="Cambria"/>
        </w:rPr>
        <w:t>’</w:t>
      </w:r>
      <w:r w:rsidRPr="005E32D1">
        <w:rPr>
          <w:rFonts w:ascii="Cambria" w:hAnsi="Cambria"/>
        </w:rPr>
        <w:t>ores et déjà exonérés de droits et taxes à l’importation, afin d’en baisser le coût d’achat pour les agriculteurs.</w:t>
      </w:r>
    </w:p>
    <w:p w:rsidR="006D128B" w:rsidRDefault="006D128B" w:rsidP="006D128B">
      <w:pPr>
        <w:pStyle w:val="-LettreTexteGEDA"/>
        <w:ind w:firstLine="0"/>
        <w:rPr>
          <w:rFonts w:asciiTheme="majorHAnsi" w:hAnsiTheme="majorHAnsi"/>
          <w:noProof w:val="0"/>
          <w:szCs w:val="24"/>
        </w:rPr>
      </w:pPr>
    </w:p>
    <w:p w:rsidR="006D128B" w:rsidRPr="005E32D1" w:rsidRDefault="006D128B" w:rsidP="006D128B">
      <w:pPr>
        <w:pStyle w:val="-LettreTexteGEDA"/>
        <w:ind w:firstLine="0"/>
        <w:rPr>
          <w:rFonts w:ascii="Cambria" w:hAnsi="Cambria"/>
          <w:b/>
          <w:noProof w:val="0"/>
          <w:szCs w:val="24"/>
        </w:rPr>
      </w:pPr>
      <w:r w:rsidRPr="005E32D1">
        <w:rPr>
          <w:rFonts w:ascii="Cambria" w:hAnsi="Cambria"/>
          <w:b/>
          <w:noProof w:val="0"/>
          <w:szCs w:val="24"/>
        </w:rPr>
        <w:t>Convention avec l’Institut national de l’origine et de la qualité (INAO)</w:t>
      </w:r>
    </w:p>
    <w:p w:rsidR="006D128B" w:rsidRDefault="006D128B" w:rsidP="006D128B">
      <w:pPr>
        <w:pStyle w:val="-LettreTexteGEDA"/>
        <w:ind w:firstLine="0"/>
        <w:rPr>
          <w:rFonts w:ascii="Cambria" w:hAnsi="Cambria"/>
        </w:rPr>
      </w:pPr>
    </w:p>
    <w:p w:rsidR="006D128B" w:rsidRPr="005E32D1" w:rsidRDefault="006D128B" w:rsidP="006D128B">
      <w:pPr>
        <w:pStyle w:val="-LettreTexteGEDA"/>
        <w:ind w:firstLine="0"/>
        <w:rPr>
          <w:rFonts w:ascii="Cambria" w:hAnsi="Cambria"/>
        </w:rPr>
      </w:pPr>
      <w:r w:rsidRPr="005E32D1">
        <w:rPr>
          <w:rFonts w:ascii="Cambria" w:hAnsi="Cambria"/>
        </w:rPr>
        <w:t>La Polynésie française possède des produits du terroirs et des savoir-faire uniques qu’</w:t>
      </w:r>
      <w:r>
        <w:rPr>
          <w:rFonts w:ascii="Cambria" w:hAnsi="Cambria"/>
        </w:rPr>
        <w:t xml:space="preserve">il faut valoriser et protéger. </w:t>
      </w:r>
      <w:r w:rsidRPr="005E32D1">
        <w:rPr>
          <w:rFonts w:ascii="Cambria" w:hAnsi="Cambria"/>
        </w:rPr>
        <w:t>Des</w:t>
      </w:r>
      <w:r>
        <w:rPr>
          <w:rFonts w:ascii="Cambria" w:hAnsi="Cambria"/>
        </w:rPr>
        <w:t xml:space="preserve"> logos ajoutés sur l’emballage </w:t>
      </w:r>
      <w:r w:rsidRPr="005E32D1">
        <w:rPr>
          <w:rFonts w:ascii="Cambria" w:hAnsi="Cambria"/>
        </w:rPr>
        <w:t xml:space="preserve">aident le consommateur à identifier ces produits originaux ou de qualité. </w:t>
      </w:r>
    </w:p>
    <w:p w:rsidR="006D128B" w:rsidRPr="005E32D1" w:rsidRDefault="006D128B" w:rsidP="006D128B">
      <w:pPr>
        <w:pStyle w:val="-LettreTexteGEDA"/>
        <w:ind w:firstLine="0"/>
        <w:rPr>
          <w:rFonts w:ascii="Cambria" w:hAnsi="Cambria"/>
        </w:rPr>
      </w:pPr>
      <w:r>
        <w:rPr>
          <w:rFonts w:ascii="Cambria" w:hAnsi="Cambria"/>
        </w:rPr>
        <w:t>Un projet de loi du P</w:t>
      </w:r>
      <w:r w:rsidRPr="005E32D1">
        <w:rPr>
          <w:rFonts w:ascii="Cambria" w:hAnsi="Cambria"/>
        </w:rPr>
        <w:t>ays est en cours d’adoption, visant à instaurer en Polynésie française, pour les produits agricoles, forestiers, de l’artisanat traditionnel ou alimentaires et les produits de la mer, trois signes d’identification de la qualité et de l’origine, </w:t>
      </w:r>
      <w:r w:rsidRPr="005E32D1">
        <w:rPr>
          <w:rFonts w:ascii="Cambria" w:hAnsi="Cambria"/>
          <w:i/>
        </w:rPr>
        <w:t>appellation d’origine</w:t>
      </w:r>
      <w:r w:rsidRPr="005E32D1">
        <w:rPr>
          <w:rFonts w:ascii="Cambria" w:hAnsi="Cambria"/>
        </w:rPr>
        <w:t>,</w:t>
      </w:r>
      <w:r w:rsidRPr="005E32D1">
        <w:rPr>
          <w:rFonts w:ascii="Cambria" w:hAnsi="Cambria"/>
          <w:i/>
        </w:rPr>
        <w:t xml:space="preserve"> indication géographique, </w:t>
      </w:r>
      <w:r w:rsidRPr="005E32D1">
        <w:rPr>
          <w:rFonts w:ascii="Cambria" w:hAnsi="Cambria"/>
        </w:rPr>
        <w:t xml:space="preserve">et </w:t>
      </w:r>
      <w:r w:rsidRPr="005E32D1">
        <w:rPr>
          <w:rFonts w:ascii="Cambria" w:hAnsi="Cambria"/>
          <w:i/>
        </w:rPr>
        <w:t xml:space="preserve">label qualité supérieure » </w:t>
      </w:r>
      <w:r w:rsidRPr="005E32D1">
        <w:rPr>
          <w:rFonts w:ascii="Cambria" w:hAnsi="Cambria"/>
        </w:rPr>
        <w:t>équivalent du  « label rouge » en métropole par exemple.</w:t>
      </w:r>
    </w:p>
    <w:p w:rsidR="006D128B" w:rsidRPr="005E32D1" w:rsidRDefault="006D128B" w:rsidP="006D128B">
      <w:pPr>
        <w:pStyle w:val="-LettreTexteGEDA"/>
        <w:ind w:firstLine="0"/>
        <w:rPr>
          <w:rFonts w:ascii="Cambria" w:hAnsi="Cambria"/>
          <w:szCs w:val="24"/>
        </w:rPr>
      </w:pPr>
      <w:r w:rsidRPr="005E32D1">
        <w:rPr>
          <w:rFonts w:ascii="Cambria" w:hAnsi="Cambria"/>
          <w:szCs w:val="24"/>
        </w:rPr>
        <w:t>Au titre du soutien de l’Etat</w:t>
      </w:r>
      <w:r w:rsidRPr="005E32D1">
        <w:rPr>
          <w:rFonts w:ascii="Cambria" w:hAnsi="Cambria"/>
        </w:rPr>
        <w:t xml:space="preserve"> pour le développement de l’agriculture en Polynésie française</w:t>
      </w:r>
      <w:r w:rsidRPr="005E32D1">
        <w:rPr>
          <w:rFonts w:ascii="Cambria" w:hAnsi="Cambria"/>
          <w:szCs w:val="24"/>
        </w:rPr>
        <w:t>, des discussions ont été engagé</w:t>
      </w:r>
      <w:r>
        <w:rPr>
          <w:rFonts w:ascii="Cambria" w:hAnsi="Cambria"/>
          <w:szCs w:val="24"/>
        </w:rPr>
        <w:t>e</w:t>
      </w:r>
      <w:r w:rsidRPr="005E32D1">
        <w:rPr>
          <w:rFonts w:ascii="Cambria" w:hAnsi="Cambria"/>
          <w:szCs w:val="24"/>
        </w:rPr>
        <w:t xml:space="preserve">s avec </w:t>
      </w:r>
      <w:r w:rsidRPr="005E32D1">
        <w:rPr>
          <w:rFonts w:ascii="Cambria" w:hAnsi="Cambria"/>
          <w:noProof w:val="0"/>
          <w:szCs w:val="24"/>
        </w:rPr>
        <w:t xml:space="preserve">l’Institut national de l’origine et de la </w:t>
      </w:r>
      <w:r w:rsidRPr="005E32D1">
        <w:rPr>
          <w:rFonts w:ascii="Cambria" w:hAnsi="Cambria"/>
          <w:noProof w:val="0"/>
          <w:szCs w:val="24"/>
        </w:rPr>
        <w:lastRenderedPageBreak/>
        <w:t xml:space="preserve">qualité (INAO) afin </w:t>
      </w:r>
      <w:r w:rsidRPr="005E32D1">
        <w:rPr>
          <w:rFonts w:ascii="Cambria" w:hAnsi="Cambria"/>
          <w:szCs w:val="24"/>
        </w:rPr>
        <w:t xml:space="preserve">d’arrêter les principes d’une collaboration avec les services techniques du </w:t>
      </w:r>
      <w:r>
        <w:rPr>
          <w:rFonts w:ascii="Cambria" w:hAnsi="Cambria"/>
          <w:szCs w:val="24"/>
        </w:rPr>
        <w:t>m</w:t>
      </w:r>
      <w:r w:rsidRPr="005E32D1">
        <w:rPr>
          <w:rFonts w:ascii="Cambria" w:hAnsi="Cambria"/>
          <w:szCs w:val="24"/>
        </w:rPr>
        <w:t>inistère de l’Economie verte.</w:t>
      </w:r>
    </w:p>
    <w:p w:rsidR="006D128B" w:rsidRPr="005E32D1" w:rsidRDefault="006D128B" w:rsidP="006D128B">
      <w:pPr>
        <w:pStyle w:val="-LettreTexteGEDA"/>
        <w:ind w:firstLine="0"/>
        <w:rPr>
          <w:rFonts w:ascii="Cambria" w:hAnsi="Cambria"/>
          <w:szCs w:val="24"/>
        </w:rPr>
      </w:pPr>
      <w:r w:rsidRPr="005E32D1">
        <w:rPr>
          <w:rFonts w:ascii="Cambria" w:hAnsi="Cambria"/>
          <w:szCs w:val="24"/>
        </w:rPr>
        <w:t xml:space="preserve">En ce sens, le Conseil des ministres a approuvé un projet de </w:t>
      </w:r>
      <w:r>
        <w:rPr>
          <w:rFonts w:ascii="Cambria" w:hAnsi="Cambria"/>
          <w:szCs w:val="24"/>
        </w:rPr>
        <w:t>c</w:t>
      </w:r>
      <w:r w:rsidRPr="005E32D1">
        <w:rPr>
          <w:rFonts w:ascii="Cambria" w:hAnsi="Cambria"/>
          <w:szCs w:val="24"/>
        </w:rPr>
        <w:t>onvention-cadre fixant 4 axes prioritaires d’intervention :</w:t>
      </w:r>
    </w:p>
    <w:p w:rsidR="006D128B" w:rsidRPr="005E32D1" w:rsidRDefault="006D128B" w:rsidP="006D128B">
      <w:pPr>
        <w:numPr>
          <w:ilvl w:val="0"/>
          <w:numId w:val="13"/>
        </w:numPr>
        <w:spacing w:before="120"/>
        <w:ind w:right="-142"/>
        <w:jc w:val="both"/>
        <w:rPr>
          <w:rFonts w:ascii="Cambria" w:hAnsi="Cambria"/>
        </w:rPr>
      </w:pPr>
      <w:r w:rsidRPr="005E32D1">
        <w:rPr>
          <w:rFonts w:ascii="Cambria" w:hAnsi="Cambria"/>
        </w:rPr>
        <w:t>Conseil juridique sur la démarche « signe de qualité » menée par la Polynésie française</w:t>
      </w:r>
    </w:p>
    <w:p w:rsidR="006D128B" w:rsidRPr="005E32D1" w:rsidRDefault="006D128B" w:rsidP="006D128B">
      <w:pPr>
        <w:numPr>
          <w:ilvl w:val="0"/>
          <w:numId w:val="13"/>
        </w:numPr>
        <w:ind w:right="-142"/>
        <w:jc w:val="both"/>
        <w:rPr>
          <w:rFonts w:ascii="Cambria" w:hAnsi="Cambria"/>
        </w:rPr>
      </w:pPr>
      <w:r w:rsidRPr="005E32D1">
        <w:rPr>
          <w:rFonts w:ascii="Cambria" w:hAnsi="Cambria"/>
        </w:rPr>
        <w:t xml:space="preserve">Veille juridique sur les marchés extérieurs à la Polynésie française, des produits disposant de signes de qualité officialisés  (le seul produit concerné actuellement est le monoï de Tahiti) </w:t>
      </w:r>
    </w:p>
    <w:p w:rsidR="006D128B" w:rsidRPr="005E32D1" w:rsidRDefault="006D128B" w:rsidP="006D128B">
      <w:pPr>
        <w:numPr>
          <w:ilvl w:val="0"/>
          <w:numId w:val="13"/>
        </w:numPr>
        <w:ind w:right="-142"/>
        <w:jc w:val="both"/>
        <w:rPr>
          <w:rFonts w:ascii="Cambria" w:hAnsi="Cambria"/>
        </w:rPr>
      </w:pPr>
      <w:r w:rsidRPr="005E32D1">
        <w:rPr>
          <w:rFonts w:ascii="Cambria" w:hAnsi="Cambria"/>
        </w:rPr>
        <w:t>Expertise et proposition d’actualisation du signe de qualité « appellation d’origine » existant pour le monoï de Tahiti</w:t>
      </w:r>
    </w:p>
    <w:p w:rsidR="00BC3D42" w:rsidRDefault="006D128B" w:rsidP="00BC3D42">
      <w:pPr>
        <w:numPr>
          <w:ilvl w:val="0"/>
          <w:numId w:val="13"/>
        </w:numPr>
        <w:ind w:right="-142"/>
        <w:jc w:val="both"/>
        <w:rPr>
          <w:rFonts w:ascii="Cambria" w:hAnsi="Cambria"/>
        </w:rPr>
      </w:pPr>
      <w:r w:rsidRPr="005E32D1">
        <w:rPr>
          <w:rFonts w:ascii="Cambria" w:hAnsi="Cambria"/>
        </w:rPr>
        <w:t xml:space="preserve">Appui à la création de « signes de qualité » de type AOP/IGP sur les filières Vanille de Tahiti (AOP), Rhum (IGP) et autres filières à fort potentiel, tel que notre huile de coco vierge, le miel ou encore le </w:t>
      </w:r>
      <w:proofErr w:type="spellStart"/>
      <w:r w:rsidRPr="005E32D1">
        <w:rPr>
          <w:rFonts w:ascii="Cambria" w:hAnsi="Cambria"/>
        </w:rPr>
        <w:t>tamanu</w:t>
      </w:r>
      <w:proofErr w:type="spellEnd"/>
      <w:r w:rsidRPr="005E32D1">
        <w:rPr>
          <w:rFonts w:ascii="Cambria" w:hAnsi="Cambria"/>
        </w:rPr>
        <w:t>.</w:t>
      </w:r>
    </w:p>
    <w:p w:rsidR="00BC3D42" w:rsidRDefault="00BC3D42" w:rsidP="00BC3D42">
      <w:pPr>
        <w:ind w:left="1004" w:right="-142"/>
        <w:jc w:val="both"/>
        <w:rPr>
          <w:rFonts w:ascii="Cambria" w:hAnsi="Cambria"/>
        </w:rPr>
      </w:pPr>
    </w:p>
    <w:p w:rsidR="00BC3D42" w:rsidRDefault="00BC3D42" w:rsidP="00BC3D42">
      <w:pPr>
        <w:ind w:left="1004" w:right="-142"/>
        <w:jc w:val="both"/>
        <w:rPr>
          <w:rFonts w:ascii="Cambria" w:hAnsi="Cambria"/>
        </w:rPr>
      </w:pPr>
    </w:p>
    <w:p w:rsidR="00BC3D42" w:rsidRPr="00BC3D42" w:rsidRDefault="00BC3D42" w:rsidP="00BC3D42">
      <w:pPr>
        <w:ind w:left="1004" w:right="-142"/>
        <w:jc w:val="both"/>
        <w:rPr>
          <w:rFonts w:ascii="Cambria" w:hAnsi="Cambria"/>
        </w:rPr>
      </w:pPr>
    </w:p>
    <w:p w:rsidR="006D128B" w:rsidRPr="005E32D1" w:rsidRDefault="006D128B" w:rsidP="006D128B">
      <w:pPr>
        <w:pStyle w:val="-LettreObjetGEDA"/>
        <w:tabs>
          <w:tab w:val="left" w:pos="709"/>
        </w:tabs>
        <w:rPr>
          <w:rFonts w:ascii="Cambria" w:hAnsi="Cambria"/>
          <w:b/>
          <w:noProof w:val="0"/>
        </w:rPr>
      </w:pPr>
      <w:r w:rsidRPr="005E32D1">
        <w:rPr>
          <w:rFonts w:ascii="Cambria" w:hAnsi="Cambria"/>
          <w:b/>
          <w:noProof w:val="0"/>
        </w:rPr>
        <w:t>Noël des solidarités</w:t>
      </w:r>
      <w:r>
        <w:rPr>
          <w:rFonts w:ascii="Cambria" w:hAnsi="Cambria"/>
          <w:b/>
          <w:noProof w:val="0"/>
        </w:rPr>
        <w:t xml:space="preserve"> le 7 décembre dans les Jardins de </w:t>
      </w:r>
      <w:proofErr w:type="spellStart"/>
      <w:r>
        <w:rPr>
          <w:rFonts w:ascii="Cambria" w:hAnsi="Cambria"/>
          <w:b/>
          <w:noProof w:val="0"/>
        </w:rPr>
        <w:t>Paofai</w:t>
      </w:r>
      <w:proofErr w:type="spellEnd"/>
    </w:p>
    <w:p w:rsidR="006D128B" w:rsidRPr="005E32D1" w:rsidRDefault="006D128B" w:rsidP="006D128B">
      <w:pPr>
        <w:jc w:val="both"/>
        <w:rPr>
          <w:rFonts w:ascii="Cambria" w:hAnsi="Cambria"/>
          <w:lang w:eastAsia="fr-FR"/>
        </w:rPr>
      </w:pPr>
    </w:p>
    <w:p w:rsidR="006D128B" w:rsidRPr="00640822" w:rsidRDefault="006D128B" w:rsidP="006D128B">
      <w:pPr>
        <w:pStyle w:val="Paragraphedeliste"/>
        <w:spacing w:after="240"/>
        <w:ind w:left="0"/>
        <w:jc w:val="both"/>
        <w:rPr>
          <w:rFonts w:ascii="Cambria" w:eastAsia="Times New Roman" w:hAnsi="Cambria"/>
          <w:sz w:val="24"/>
          <w:szCs w:val="24"/>
          <w:lang w:eastAsia="es-ES"/>
        </w:rPr>
      </w:pPr>
      <w:r w:rsidRPr="00640822">
        <w:rPr>
          <w:rFonts w:ascii="Cambria" w:eastAsia="Times New Roman" w:hAnsi="Cambria"/>
          <w:sz w:val="24"/>
          <w:szCs w:val="24"/>
          <w:lang w:eastAsia="es-ES"/>
        </w:rPr>
        <w:t xml:space="preserve">Sur proposition du ministre de la Famille et des Solidarités, en charge de l’égalité des chances, la Direction des solidarités, de la famille et de l’égalité (DSFE) organisera en décembre prochain, le « Noël des solidarités ». Cet événement sera ouvert à tous, dans les jardins de </w:t>
      </w:r>
      <w:proofErr w:type="spellStart"/>
      <w:r w:rsidRPr="00640822">
        <w:rPr>
          <w:rFonts w:ascii="Cambria" w:eastAsia="Times New Roman" w:hAnsi="Cambria"/>
          <w:sz w:val="24"/>
          <w:szCs w:val="24"/>
          <w:lang w:eastAsia="es-ES"/>
        </w:rPr>
        <w:t>Paofai</w:t>
      </w:r>
      <w:proofErr w:type="spellEnd"/>
      <w:r w:rsidRPr="00640822">
        <w:rPr>
          <w:rFonts w:ascii="Cambria" w:eastAsia="Times New Roman" w:hAnsi="Cambria"/>
          <w:sz w:val="24"/>
          <w:szCs w:val="24"/>
          <w:lang w:eastAsia="es-ES"/>
        </w:rPr>
        <w:t>, le samedi 7 décembre, de 12h30 à 17h30.</w:t>
      </w:r>
    </w:p>
    <w:p w:rsidR="006D128B" w:rsidRPr="00640822" w:rsidRDefault="006D128B" w:rsidP="006D128B">
      <w:pPr>
        <w:pStyle w:val="Paragraphedeliste"/>
        <w:spacing w:after="240"/>
        <w:ind w:left="0"/>
        <w:jc w:val="both"/>
        <w:rPr>
          <w:rFonts w:ascii="Cambria" w:eastAsia="Times New Roman" w:hAnsi="Cambria"/>
          <w:sz w:val="24"/>
          <w:szCs w:val="24"/>
          <w:lang w:eastAsia="es-ES"/>
        </w:rPr>
      </w:pPr>
    </w:p>
    <w:p w:rsidR="006D128B" w:rsidRPr="00640822" w:rsidRDefault="006D128B" w:rsidP="006D128B">
      <w:pPr>
        <w:pStyle w:val="Paragraphedeliste"/>
        <w:spacing w:after="240"/>
        <w:ind w:left="0"/>
        <w:jc w:val="both"/>
        <w:rPr>
          <w:rFonts w:ascii="Cambria" w:eastAsia="Times New Roman" w:hAnsi="Cambria"/>
          <w:sz w:val="24"/>
          <w:szCs w:val="24"/>
          <w:lang w:eastAsia="es-ES"/>
        </w:rPr>
      </w:pPr>
      <w:r w:rsidRPr="00640822">
        <w:rPr>
          <w:rFonts w:ascii="Cambria" w:eastAsia="Times New Roman" w:hAnsi="Cambria"/>
          <w:sz w:val="24"/>
          <w:szCs w:val="24"/>
          <w:lang w:eastAsia="es-ES"/>
        </w:rPr>
        <w:t>En 2017 l’évènement a rassemblé près de 750 enfants placés en foyers et familles d’accue</w:t>
      </w:r>
      <w:r w:rsidR="00A633A2">
        <w:rPr>
          <w:rFonts w:ascii="Cambria" w:eastAsia="Times New Roman" w:hAnsi="Cambria"/>
          <w:sz w:val="24"/>
          <w:szCs w:val="24"/>
          <w:lang w:eastAsia="es-ES"/>
        </w:rPr>
        <w:t>il et, en 2018, ce sont plus de 1</w:t>
      </w:r>
      <w:r w:rsidRPr="00640822">
        <w:rPr>
          <w:rFonts w:ascii="Cambria" w:eastAsia="Times New Roman" w:hAnsi="Cambria"/>
          <w:sz w:val="24"/>
          <w:szCs w:val="24"/>
          <w:lang w:eastAsia="es-ES"/>
        </w:rPr>
        <w:t xml:space="preserve">500 enfants qui ont répondu présents pour ce rassemblement.  La DSFE réitère donc cette année l’opération Noël des Solidarités, sous la thématique du développement durable et de l’éducation au respect de notre </w:t>
      </w:r>
      <w:proofErr w:type="spellStart"/>
      <w:r w:rsidRPr="00640822">
        <w:rPr>
          <w:rFonts w:ascii="Cambria" w:eastAsia="Times New Roman" w:hAnsi="Cambria"/>
          <w:sz w:val="24"/>
          <w:szCs w:val="24"/>
          <w:lang w:eastAsia="es-ES"/>
        </w:rPr>
        <w:t>fenua</w:t>
      </w:r>
      <w:proofErr w:type="spellEnd"/>
      <w:r w:rsidRPr="00640822">
        <w:rPr>
          <w:rFonts w:ascii="Cambria" w:eastAsia="Times New Roman" w:hAnsi="Cambria"/>
          <w:sz w:val="24"/>
          <w:szCs w:val="24"/>
          <w:lang w:eastAsia="es-ES"/>
        </w:rPr>
        <w:t xml:space="preserve">. Les enfants seront accompagnés par leurs familles ou des accompagnateurs (accueillant familial agréé, encadrant institutionnel, familles d’accueil tiers, </w:t>
      </w:r>
      <w:proofErr w:type="spellStart"/>
      <w:r w:rsidRPr="00640822">
        <w:rPr>
          <w:rFonts w:ascii="Cambria" w:eastAsia="Times New Roman" w:hAnsi="Cambria"/>
          <w:sz w:val="24"/>
          <w:szCs w:val="24"/>
          <w:lang w:eastAsia="es-ES"/>
        </w:rPr>
        <w:t>feti’i</w:t>
      </w:r>
      <w:proofErr w:type="spellEnd"/>
      <w:r w:rsidRPr="00640822">
        <w:rPr>
          <w:rFonts w:ascii="Cambria" w:eastAsia="Times New Roman" w:hAnsi="Cambria"/>
          <w:sz w:val="24"/>
          <w:szCs w:val="24"/>
          <w:lang w:eastAsia="es-ES"/>
        </w:rPr>
        <w:t>).</w:t>
      </w:r>
    </w:p>
    <w:p w:rsidR="006D128B" w:rsidRPr="00640822" w:rsidRDefault="006D128B" w:rsidP="006D128B">
      <w:pPr>
        <w:spacing w:after="240"/>
        <w:jc w:val="both"/>
        <w:rPr>
          <w:rFonts w:ascii="Cambria" w:hAnsi="Cambria"/>
        </w:rPr>
      </w:pPr>
      <w:r w:rsidRPr="00640822">
        <w:rPr>
          <w:rFonts w:ascii="Cambria" w:hAnsi="Cambria"/>
        </w:rPr>
        <w:t xml:space="preserve">Des activités adaptées seront proposées par tranche d’âge. Pour les 0 à 6 ans : manèges, ateliers de maquillage, ateliers créatifs, jeux de pêche aux canards, jeux de balles, ateliers créatifs, bouée gonflable, cible de football géante, </w:t>
      </w:r>
      <w:proofErr w:type="spellStart"/>
      <w:r w:rsidRPr="00640822">
        <w:rPr>
          <w:rFonts w:ascii="Cambria" w:hAnsi="Cambria"/>
        </w:rPr>
        <w:t>bubble</w:t>
      </w:r>
      <w:proofErr w:type="spellEnd"/>
      <w:r w:rsidRPr="00640822">
        <w:rPr>
          <w:rFonts w:ascii="Cambria" w:hAnsi="Cambria"/>
        </w:rPr>
        <w:t xml:space="preserve"> foot sur l’espace du « </w:t>
      </w:r>
      <w:proofErr w:type="spellStart"/>
      <w:r w:rsidRPr="00640822">
        <w:rPr>
          <w:rFonts w:ascii="Cambria" w:hAnsi="Cambria"/>
        </w:rPr>
        <w:t>beach</w:t>
      </w:r>
      <w:proofErr w:type="spellEnd"/>
      <w:r w:rsidRPr="00640822">
        <w:rPr>
          <w:rFonts w:ascii="Cambria" w:hAnsi="Cambria"/>
        </w:rPr>
        <w:t xml:space="preserve"> soccer », pouponnière. Pour les 7 à 12 ans : ateliers de maquillage, atelier de </w:t>
      </w:r>
      <w:proofErr w:type="spellStart"/>
      <w:r w:rsidRPr="00640822">
        <w:rPr>
          <w:rFonts w:ascii="Cambria" w:hAnsi="Cambria"/>
        </w:rPr>
        <w:t>tawashi</w:t>
      </w:r>
      <w:proofErr w:type="spellEnd"/>
      <w:r w:rsidRPr="00640822">
        <w:rPr>
          <w:rFonts w:ascii="Cambria" w:hAnsi="Cambria"/>
        </w:rPr>
        <w:t>, ateliers créatifs, stand de « ‘</w:t>
      </w:r>
      <w:proofErr w:type="spellStart"/>
      <w:r w:rsidRPr="00640822">
        <w:rPr>
          <w:rFonts w:ascii="Cambria" w:hAnsi="Cambria"/>
        </w:rPr>
        <w:t>aumoa</w:t>
      </w:r>
      <w:proofErr w:type="spellEnd"/>
      <w:r w:rsidRPr="00640822">
        <w:rPr>
          <w:rFonts w:ascii="Cambria" w:hAnsi="Cambria"/>
        </w:rPr>
        <w:t> », jeu de piste, activités de sensibilisation sur la préservation de l’environnement, tatouage pailleté éphémère, stand d’</w:t>
      </w:r>
      <w:proofErr w:type="spellStart"/>
      <w:r w:rsidRPr="00640822">
        <w:rPr>
          <w:rFonts w:ascii="Cambria" w:hAnsi="Cambria"/>
        </w:rPr>
        <w:t>onglerie</w:t>
      </w:r>
      <w:proofErr w:type="spellEnd"/>
      <w:r w:rsidRPr="00640822">
        <w:rPr>
          <w:rFonts w:ascii="Cambria" w:hAnsi="Cambria"/>
        </w:rPr>
        <w:t xml:space="preserve">. Pour les 13 à 21 ans : stand de boxe anglaise, d’escrime, de boxe </w:t>
      </w:r>
      <w:proofErr w:type="spellStart"/>
      <w:r w:rsidRPr="00640822">
        <w:rPr>
          <w:rFonts w:ascii="Cambria" w:hAnsi="Cambria"/>
        </w:rPr>
        <w:t>thai</w:t>
      </w:r>
      <w:proofErr w:type="spellEnd"/>
      <w:r w:rsidRPr="00640822">
        <w:rPr>
          <w:rFonts w:ascii="Cambria" w:hAnsi="Cambria"/>
        </w:rPr>
        <w:t xml:space="preserve"> « </w:t>
      </w:r>
      <w:proofErr w:type="spellStart"/>
      <w:r w:rsidRPr="00640822">
        <w:rPr>
          <w:rFonts w:ascii="Cambria" w:hAnsi="Cambria"/>
        </w:rPr>
        <w:t>vahine</w:t>
      </w:r>
      <w:proofErr w:type="spellEnd"/>
      <w:r w:rsidRPr="00640822">
        <w:rPr>
          <w:rFonts w:ascii="Cambria" w:hAnsi="Cambria"/>
        </w:rPr>
        <w:t> », d’</w:t>
      </w:r>
      <w:proofErr w:type="spellStart"/>
      <w:r w:rsidRPr="00640822">
        <w:rPr>
          <w:rFonts w:ascii="Cambria" w:hAnsi="Cambria"/>
        </w:rPr>
        <w:t>onglerie</w:t>
      </w:r>
      <w:proofErr w:type="spellEnd"/>
      <w:r w:rsidRPr="00640822">
        <w:rPr>
          <w:rFonts w:ascii="Cambria" w:hAnsi="Cambria"/>
        </w:rPr>
        <w:t xml:space="preserve">, de MMA, de </w:t>
      </w:r>
      <w:proofErr w:type="spellStart"/>
      <w:r w:rsidRPr="00640822">
        <w:rPr>
          <w:rFonts w:ascii="Cambria" w:hAnsi="Cambria"/>
        </w:rPr>
        <w:t>ju</w:t>
      </w:r>
      <w:proofErr w:type="spellEnd"/>
      <w:r w:rsidRPr="00640822">
        <w:rPr>
          <w:rFonts w:ascii="Cambria" w:hAnsi="Cambria"/>
        </w:rPr>
        <w:t xml:space="preserve"> </w:t>
      </w:r>
      <w:proofErr w:type="spellStart"/>
      <w:r w:rsidRPr="00640822">
        <w:rPr>
          <w:rFonts w:ascii="Cambria" w:hAnsi="Cambria"/>
        </w:rPr>
        <w:t>jit</w:t>
      </w:r>
      <w:proofErr w:type="spellEnd"/>
      <w:r w:rsidRPr="00640822">
        <w:rPr>
          <w:rFonts w:ascii="Cambria" w:hAnsi="Cambria"/>
        </w:rPr>
        <w:t xml:space="preserve"> su, de slackline, de fitness et de parcours du combattant proposé et animé par le RSMA.</w:t>
      </w:r>
    </w:p>
    <w:p w:rsidR="006D128B" w:rsidRPr="00640822" w:rsidRDefault="006D128B" w:rsidP="006D128B">
      <w:pPr>
        <w:pStyle w:val="Paragraphedeliste"/>
        <w:spacing w:after="240"/>
        <w:ind w:left="0"/>
        <w:jc w:val="both"/>
        <w:rPr>
          <w:rFonts w:ascii="Cambria" w:eastAsia="Times New Roman" w:hAnsi="Cambria"/>
          <w:sz w:val="24"/>
          <w:szCs w:val="24"/>
          <w:lang w:eastAsia="es-ES"/>
        </w:rPr>
      </w:pPr>
      <w:r w:rsidRPr="00640822">
        <w:rPr>
          <w:rFonts w:ascii="Cambria" w:eastAsia="Times New Roman" w:hAnsi="Cambria"/>
          <w:sz w:val="24"/>
          <w:szCs w:val="24"/>
          <w:lang w:eastAsia="es-ES"/>
        </w:rPr>
        <w:t xml:space="preserve">De plus, une animation continue sera programmée sur la scène centrale. Il y sera présenté des tours de magie, de clown, de chant, des prestations de danse hip-hop/jazz, avec l’orchestre du Conservatoire artistique de Polynésie française et un groupe de musique. </w:t>
      </w:r>
      <w:r w:rsidRPr="00640822">
        <w:rPr>
          <w:rFonts w:ascii="Cambria" w:hAnsi="Cambria"/>
          <w:sz w:val="24"/>
          <w:szCs w:val="24"/>
        </w:rPr>
        <w:t xml:space="preserve">L’organisation de cette manifestation est possible grâce à la mobilisation d’un </w:t>
      </w:r>
      <w:r w:rsidRPr="00640822">
        <w:rPr>
          <w:rFonts w:ascii="Cambria" w:hAnsi="Cambria"/>
          <w:sz w:val="24"/>
          <w:szCs w:val="24"/>
        </w:rPr>
        <w:lastRenderedPageBreak/>
        <w:t xml:space="preserve">grand nombre d’acteurs de la société polynésienne, tant du secteur privé que de la société civile. </w:t>
      </w:r>
    </w:p>
    <w:p w:rsidR="00264EF2" w:rsidRPr="0066212B" w:rsidRDefault="00264EF2" w:rsidP="00264EF2">
      <w:pPr>
        <w:jc w:val="both"/>
        <w:rPr>
          <w:rFonts w:asciiTheme="majorHAnsi" w:hAnsiTheme="majorHAnsi"/>
        </w:rPr>
      </w:pPr>
    </w:p>
    <w:p w:rsidR="004A0C8B" w:rsidRPr="0008367C" w:rsidRDefault="004A0C8B" w:rsidP="004A0C8B">
      <w:pPr>
        <w:spacing w:after="200" w:line="276" w:lineRule="auto"/>
        <w:rPr>
          <w:rFonts w:asciiTheme="majorHAnsi" w:hAnsiTheme="majorHAnsi"/>
          <w:b/>
          <w:noProof/>
          <w:lang w:eastAsia="fr-FR"/>
        </w:rPr>
      </w:pPr>
      <w:r w:rsidRPr="0008367C">
        <w:rPr>
          <w:rFonts w:asciiTheme="majorHAnsi" w:hAnsiTheme="majorHAnsi"/>
          <w:b/>
        </w:rPr>
        <w:t>Présentation du plan pour la paix  « </w:t>
      </w:r>
      <w:proofErr w:type="spellStart"/>
      <w:r w:rsidRPr="0008367C">
        <w:rPr>
          <w:rFonts w:asciiTheme="majorHAnsi" w:hAnsiTheme="majorHAnsi"/>
          <w:b/>
        </w:rPr>
        <w:t>Nuna’a</w:t>
      </w:r>
      <w:proofErr w:type="spellEnd"/>
      <w:r w:rsidRPr="0008367C">
        <w:rPr>
          <w:rFonts w:asciiTheme="majorHAnsi" w:hAnsiTheme="majorHAnsi"/>
          <w:b/>
        </w:rPr>
        <w:t xml:space="preserve"> </w:t>
      </w:r>
      <w:proofErr w:type="spellStart"/>
      <w:r w:rsidRPr="0008367C">
        <w:rPr>
          <w:rFonts w:asciiTheme="majorHAnsi" w:hAnsiTheme="majorHAnsi"/>
          <w:b/>
        </w:rPr>
        <w:t>Ma’ohi</w:t>
      </w:r>
      <w:proofErr w:type="spellEnd"/>
      <w:r w:rsidRPr="0008367C">
        <w:rPr>
          <w:rFonts w:asciiTheme="majorHAnsi" w:hAnsiTheme="majorHAnsi"/>
          <w:b/>
        </w:rPr>
        <w:t xml:space="preserve"> ‘</w:t>
      </w:r>
      <w:proofErr w:type="spellStart"/>
      <w:r w:rsidRPr="0008367C">
        <w:rPr>
          <w:rFonts w:asciiTheme="majorHAnsi" w:hAnsiTheme="majorHAnsi"/>
          <w:b/>
        </w:rPr>
        <w:t>Aihau</w:t>
      </w:r>
      <w:proofErr w:type="spellEnd"/>
      <w:r w:rsidRPr="0008367C">
        <w:rPr>
          <w:rFonts w:asciiTheme="majorHAnsi" w:hAnsiTheme="majorHAnsi"/>
          <w:b/>
        </w:rPr>
        <w:t>, Polynésiens artisans de paix »</w:t>
      </w:r>
    </w:p>
    <w:p w:rsidR="004A0C8B" w:rsidRPr="0008367C" w:rsidRDefault="004A0C8B" w:rsidP="004A0C8B">
      <w:pPr>
        <w:spacing w:before="240"/>
        <w:jc w:val="both"/>
        <w:rPr>
          <w:rFonts w:asciiTheme="majorHAnsi" w:hAnsiTheme="majorHAnsi"/>
        </w:rPr>
      </w:pPr>
      <w:r w:rsidRPr="0008367C">
        <w:rPr>
          <w:rFonts w:asciiTheme="majorHAnsi" w:hAnsiTheme="majorHAnsi"/>
        </w:rPr>
        <w:t xml:space="preserve">La ministre de la Famille et des </w:t>
      </w:r>
      <w:r>
        <w:rPr>
          <w:rFonts w:asciiTheme="majorHAnsi" w:hAnsiTheme="majorHAnsi"/>
        </w:rPr>
        <w:t>s</w:t>
      </w:r>
      <w:r w:rsidRPr="0008367C">
        <w:rPr>
          <w:rFonts w:asciiTheme="majorHAnsi" w:hAnsiTheme="majorHAnsi"/>
        </w:rPr>
        <w:t>olidarités a présenté en Conseil des ministres le plan pour la paix baptisé « </w:t>
      </w:r>
      <w:proofErr w:type="spellStart"/>
      <w:r w:rsidRPr="0008367C">
        <w:rPr>
          <w:rFonts w:asciiTheme="majorHAnsi" w:hAnsiTheme="majorHAnsi"/>
        </w:rPr>
        <w:t>Nuna’a</w:t>
      </w:r>
      <w:proofErr w:type="spellEnd"/>
      <w:r w:rsidRPr="0008367C">
        <w:rPr>
          <w:rFonts w:asciiTheme="majorHAnsi" w:hAnsiTheme="majorHAnsi"/>
        </w:rPr>
        <w:t xml:space="preserve"> </w:t>
      </w:r>
      <w:proofErr w:type="spellStart"/>
      <w:r w:rsidRPr="0008367C">
        <w:rPr>
          <w:rFonts w:asciiTheme="majorHAnsi" w:hAnsiTheme="majorHAnsi"/>
        </w:rPr>
        <w:t>Mao’hi</w:t>
      </w:r>
      <w:proofErr w:type="spellEnd"/>
      <w:r w:rsidRPr="0008367C">
        <w:rPr>
          <w:rFonts w:asciiTheme="majorHAnsi" w:hAnsiTheme="majorHAnsi"/>
        </w:rPr>
        <w:t xml:space="preserve"> ‘</w:t>
      </w:r>
      <w:proofErr w:type="spellStart"/>
      <w:r w:rsidRPr="0008367C">
        <w:rPr>
          <w:rFonts w:asciiTheme="majorHAnsi" w:hAnsiTheme="majorHAnsi"/>
        </w:rPr>
        <w:t>Aihau</w:t>
      </w:r>
      <w:proofErr w:type="spellEnd"/>
      <w:r w:rsidRPr="0008367C">
        <w:rPr>
          <w:rFonts w:asciiTheme="majorHAnsi" w:hAnsiTheme="majorHAnsi"/>
        </w:rPr>
        <w:t>, Polynésiens artisans de paix ». Le but est de remettre au cœur de la société des valeurs telles que la dignité, la famille, la qualité des relations humaines et du cadre de vie, l’équité et la paix.</w:t>
      </w:r>
      <w:r w:rsidRPr="0008367C">
        <w:rPr>
          <w:rFonts w:asciiTheme="majorHAnsi" w:hAnsiTheme="majorHAnsi"/>
          <w:b/>
        </w:rPr>
        <w:t xml:space="preserve"> </w:t>
      </w:r>
      <w:r w:rsidRPr="0008367C">
        <w:rPr>
          <w:rFonts w:asciiTheme="majorHAnsi" w:hAnsiTheme="majorHAnsi"/>
        </w:rPr>
        <w:t>Pour atteindre cet objectif, le plan « </w:t>
      </w:r>
      <w:proofErr w:type="spellStart"/>
      <w:r w:rsidRPr="0008367C">
        <w:rPr>
          <w:rFonts w:asciiTheme="majorHAnsi" w:hAnsiTheme="majorHAnsi"/>
        </w:rPr>
        <w:t>Nuna’a</w:t>
      </w:r>
      <w:proofErr w:type="spellEnd"/>
      <w:r w:rsidRPr="0008367C">
        <w:rPr>
          <w:rFonts w:asciiTheme="majorHAnsi" w:hAnsiTheme="majorHAnsi"/>
        </w:rPr>
        <w:t xml:space="preserve"> </w:t>
      </w:r>
      <w:proofErr w:type="spellStart"/>
      <w:r w:rsidRPr="0008367C">
        <w:rPr>
          <w:rFonts w:asciiTheme="majorHAnsi" w:hAnsiTheme="majorHAnsi"/>
        </w:rPr>
        <w:t>Mao’hi</w:t>
      </w:r>
      <w:proofErr w:type="spellEnd"/>
      <w:r w:rsidRPr="0008367C">
        <w:rPr>
          <w:rFonts w:asciiTheme="majorHAnsi" w:hAnsiTheme="majorHAnsi"/>
        </w:rPr>
        <w:t xml:space="preserve"> ‘</w:t>
      </w:r>
      <w:proofErr w:type="spellStart"/>
      <w:r w:rsidRPr="0008367C">
        <w:rPr>
          <w:rFonts w:asciiTheme="majorHAnsi" w:hAnsiTheme="majorHAnsi"/>
        </w:rPr>
        <w:t>Aihau</w:t>
      </w:r>
      <w:proofErr w:type="spellEnd"/>
      <w:r w:rsidRPr="0008367C">
        <w:rPr>
          <w:rFonts w:asciiTheme="majorHAnsi" w:hAnsiTheme="majorHAnsi"/>
        </w:rPr>
        <w:t>, Polynésiens artisans de paix » se déploie selon les orientations stratégiques suivantes :</w:t>
      </w:r>
    </w:p>
    <w:p w:rsidR="004A0C8B" w:rsidRPr="0008367C" w:rsidRDefault="004A0C8B" w:rsidP="004A0C8B">
      <w:pPr>
        <w:pStyle w:val="-LettreTexteGEDA"/>
        <w:numPr>
          <w:ilvl w:val="0"/>
          <w:numId w:val="10"/>
        </w:numPr>
        <w:rPr>
          <w:rFonts w:asciiTheme="majorHAnsi" w:hAnsiTheme="majorHAnsi"/>
          <w:szCs w:val="24"/>
          <w:lang w:eastAsia="en-US"/>
        </w:rPr>
      </w:pPr>
      <w:r w:rsidRPr="0008367C">
        <w:rPr>
          <w:rFonts w:asciiTheme="majorHAnsi" w:hAnsiTheme="majorHAnsi"/>
          <w:i/>
          <w:szCs w:val="24"/>
          <w:lang w:eastAsia="en-US"/>
        </w:rPr>
        <w:t>Un plan d’urgence sociale pour la dignité de tous</w:t>
      </w:r>
      <w:r w:rsidRPr="0008367C">
        <w:rPr>
          <w:rFonts w:asciiTheme="majorHAnsi" w:hAnsiTheme="majorHAnsi"/>
          <w:szCs w:val="24"/>
          <w:lang w:eastAsia="en-US"/>
        </w:rPr>
        <w:t>. Il s’agit d’actions visant à répondre aux besoins urgents des personnes en situation de vulnérabilité afin de leur permettre, par un accompagnement adapté, de prendre ou reprendre leur vie en main et apporter, eux aussi, leur contribution active et personnelle à la vie de la société.</w:t>
      </w:r>
    </w:p>
    <w:p w:rsidR="004A0C8B" w:rsidRPr="00236474" w:rsidRDefault="004A0C8B" w:rsidP="004A0C8B">
      <w:pPr>
        <w:pStyle w:val="-LettreTexteGEDA"/>
        <w:numPr>
          <w:ilvl w:val="0"/>
          <w:numId w:val="10"/>
        </w:numPr>
        <w:rPr>
          <w:rFonts w:asciiTheme="majorHAnsi" w:hAnsiTheme="majorHAnsi"/>
          <w:szCs w:val="24"/>
          <w:lang w:eastAsia="en-US"/>
        </w:rPr>
      </w:pPr>
      <w:r w:rsidRPr="0008367C">
        <w:rPr>
          <w:rFonts w:asciiTheme="majorHAnsi" w:hAnsiTheme="majorHAnsi"/>
          <w:i/>
          <w:szCs w:val="24"/>
          <w:lang w:eastAsia="en-US"/>
        </w:rPr>
        <w:t>Un plan</w:t>
      </w:r>
      <w:r w:rsidRPr="00236474">
        <w:rPr>
          <w:rFonts w:asciiTheme="majorHAnsi" w:hAnsiTheme="majorHAnsi"/>
          <w:i/>
          <w:szCs w:val="24"/>
          <w:lang w:eastAsia="en-US"/>
        </w:rPr>
        <w:t xml:space="preserve"> de développement humain</w:t>
      </w:r>
      <w:r w:rsidRPr="00236474">
        <w:rPr>
          <w:rFonts w:asciiTheme="majorHAnsi" w:hAnsiTheme="majorHAnsi"/>
          <w:szCs w:val="24"/>
          <w:lang w:eastAsia="en-US"/>
        </w:rPr>
        <w:t xml:space="preserve"> pour déployer le plein potentiel de chaque vie humaine et ancrer les racines du peuple polynésien dans ses valeurs et son identité. Des besoins de repères se font durement sentir dans l’éducation des enfants et dans la construction confiante de l’avenir </w:t>
      </w:r>
      <w:r>
        <w:rPr>
          <w:rFonts w:asciiTheme="majorHAnsi" w:hAnsiTheme="majorHAnsi"/>
          <w:szCs w:val="24"/>
          <w:lang w:eastAsia="en-US"/>
        </w:rPr>
        <w:t>des</w:t>
      </w:r>
      <w:r w:rsidRPr="00236474">
        <w:rPr>
          <w:rFonts w:asciiTheme="majorHAnsi" w:hAnsiTheme="majorHAnsi"/>
          <w:szCs w:val="24"/>
          <w:lang w:eastAsia="en-US"/>
        </w:rPr>
        <w:t xml:space="preserve"> jeunes </w:t>
      </w:r>
      <w:r>
        <w:rPr>
          <w:rFonts w:asciiTheme="majorHAnsi" w:hAnsiTheme="majorHAnsi"/>
          <w:szCs w:val="24"/>
          <w:lang w:eastAsia="en-US"/>
        </w:rPr>
        <w:t>avec un</w:t>
      </w:r>
      <w:r w:rsidRPr="00236474">
        <w:rPr>
          <w:rFonts w:asciiTheme="majorHAnsi" w:hAnsiTheme="majorHAnsi"/>
          <w:szCs w:val="24"/>
          <w:lang w:eastAsia="en-US"/>
        </w:rPr>
        <w:t xml:space="preserve"> besoin urgent d’équité et de solidarité pour les personnes discriminées. Ce plan sera mis en place par une</w:t>
      </w:r>
      <w:r>
        <w:rPr>
          <w:rFonts w:asciiTheme="majorHAnsi" w:hAnsiTheme="majorHAnsi"/>
          <w:szCs w:val="24"/>
          <w:lang w:eastAsia="en-US"/>
        </w:rPr>
        <w:t xml:space="preserve"> </w:t>
      </w:r>
      <w:r w:rsidRPr="00236474">
        <w:rPr>
          <w:rFonts w:asciiTheme="majorHAnsi" w:hAnsiTheme="majorHAnsi"/>
          <w:szCs w:val="24"/>
          <w:lang w:eastAsia="en-US"/>
        </w:rPr>
        <w:t xml:space="preserve">importante campagne de communication et de formation et par des évènements porteurs. </w:t>
      </w:r>
    </w:p>
    <w:p w:rsidR="004A0C8B" w:rsidRPr="00236474" w:rsidRDefault="004A0C8B" w:rsidP="004A0C8B">
      <w:pPr>
        <w:pStyle w:val="-LettreTexteGEDA"/>
        <w:numPr>
          <w:ilvl w:val="0"/>
          <w:numId w:val="10"/>
        </w:numPr>
        <w:rPr>
          <w:rFonts w:asciiTheme="majorHAnsi" w:hAnsiTheme="majorHAnsi"/>
          <w:szCs w:val="24"/>
          <w:lang w:eastAsia="en-US"/>
        </w:rPr>
      </w:pPr>
      <w:r w:rsidRPr="00236474">
        <w:rPr>
          <w:rFonts w:asciiTheme="majorHAnsi" w:hAnsiTheme="majorHAnsi"/>
          <w:i/>
          <w:szCs w:val="24"/>
          <w:lang w:eastAsia="en-US"/>
        </w:rPr>
        <w:t>Un plan pour l’égalité des chances</w:t>
      </w:r>
      <w:r>
        <w:rPr>
          <w:rFonts w:asciiTheme="majorHAnsi" w:hAnsiTheme="majorHAnsi"/>
          <w:szCs w:val="24"/>
          <w:lang w:eastAsia="en-US"/>
        </w:rPr>
        <w:t xml:space="preserve"> </w:t>
      </w:r>
      <w:r w:rsidRPr="00236474">
        <w:rPr>
          <w:rFonts w:asciiTheme="majorHAnsi" w:hAnsiTheme="majorHAnsi"/>
          <w:szCs w:val="24"/>
          <w:lang w:eastAsia="en-US"/>
        </w:rPr>
        <w:t>afin de lutter contre t</w:t>
      </w:r>
      <w:r>
        <w:rPr>
          <w:rFonts w:asciiTheme="majorHAnsi" w:hAnsiTheme="majorHAnsi"/>
          <w:szCs w:val="24"/>
          <w:lang w:eastAsia="en-US"/>
        </w:rPr>
        <w:t xml:space="preserve">oute discrimination, parce que </w:t>
      </w:r>
      <w:r w:rsidRPr="00236474">
        <w:rPr>
          <w:rFonts w:asciiTheme="majorHAnsi" w:hAnsiTheme="majorHAnsi"/>
          <w:szCs w:val="24"/>
          <w:lang w:eastAsia="en-US"/>
        </w:rPr>
        <w:t>l’égalité des chances qui progresse peu à peu a besoin d’être promue avec force pour être effective partout et tout le temps. Trop de personnes souffrent encore de discriminations les empêchant de prendre la place qui leur revient au sein de la société.</w:t>
      </w:r>
    </w:p>
    <w:p w:rsidR="004A0C8B" w:rsidRPr="00236474" w:rsidRDefault="004A0C8B" w:rsidP="004A0C8B">
      <w:pPr>
        <w:pStyle w:val="-LettreTexteGEDA"/>
        <w:numPr>
          <w:ilvl w:val="0"/>
          <w:numId w:val="10"/>
        </w:numPr>
        <w:rPr>
          <w:rFonts w:asciiTheme="majorHAnsi" w:hAnsiTheme="majorHAnsi"/>
          <w:szCs w:val="24"/>
          <w:lang w:eastAsia="en-US"/>
        </w:rPr>
      </w:pPr>
      <w:r w:rsidRPr="00236474">
        <w:rPr>
          <w:rFonts w:asciiTheme="majorHAnsi" w:hAnsiTheme="majorHAnsi"/>
          <w:i/>
          <w:szCs w:val="24"/>
          <w:lang w:eastAsia="en-US"/>
        </w:rPr>
        <w:t>Un plan de bonne collaboration</w:t>
      </w:r>
      <w:r w:rsidRPr="00236474">
        <w:rPr>
          <w:rFonts w:asciiTheme="majorHAnsi" w:hAnsiTheme="majorHAnsi"/>
          <w:szCs w:val="24"/>
          <w:lang w:eastAsia="en-US"/>
        </w:rPr>
        <w:t xml:space="preserve"> avec les acteurs sociaux dont l’objectif est de recentrer leurs tâches vers leur cœur de métier, le suivi et l’accompagnement des familles dans leur diversité. Cet axe implique une réorganisation, une optimisation de la formation des professionnels et un développement des partenariats.  </w:t>
      </w:r>
    </w:p>
    <w:p w:rsidR="00264EF2" w:rsidRPr="004A0C8B" w:rsidRDefault="004A0C8B" w:rsidP="004A0C8B">
      <w:pPr>
        <w:pStyle w:val="-LettreTexteGEDA"/>
        <w:numPr>
          <w:ilvl w:val="0"/>
          <w:numId w:val="10"/>
        </w:numPr>
        <w:rPr>
          <w:rFonts w:asciiTheme="majorHAnsi" w:hAnsiTheme="majorHAnsi"/>
          <w:szCs w:val="24"/>
          <w:lang w:eastAsia="en-US"/>
        </w:rPr>
      </w:pPr>
      <w:r w:rsidRPr="00236474">
        <w:rPr>
          <w:rFonts w:asciiTheme="majorHAnsi" w:hAnsiTheme="majorHAnsi"/>
          <w:i/>
          <w:szCs w:val="24"/>
          <w:lang w:eastAsia="en-US"/>
        </w:rPr>
        <w:t>Agir en interministérialité</w:t>
      </w:r>
      <w:r w:rsidRPr="00236474">
        <w:rPr>
          <w:rFonts w:asciiTheme="majorHAnsi" w:hAnsiTheme="majorHAnsi"/>
          <w:szCs w:val="24"/>
          <w:lang w:eastAsia="en-US"/>
        </w:rPr>
        <w:t xml:space="preserve"> pour une mise en œuvre optimale des politiques publiques. </w:t>
      </w:r>
      <w:r>
        <w:rPr>
          <w:rFonts w:asciiTheme="majorHAnsi" w:hAnsiTheme="majorHAnsi"/>
          <w:szCs w:val="24"/>
          <w:lang w:eastAsia="en-US"/>
        </w:rPr>
        <w:t>L</w:t>
      </w:r>
      <w:r w:rsidRPr="00236474">
        <w:rPr>
          <w:rFonts w:asciiTheme="majorHAnsi" w:hAnsiTheme="majorHAnsi"/>
          <w:szCs w:val="24"/>
          <w:lang w:eastAsia="en-US"/>
        </w:rPr>
        <w:t xml:space="preserve">’importance de la collaboration entre </w:t>
      </w:r>
      <w:r>
        <w:rPr>
          <w:rFonts w:asciiTheme="majorHAnsi" w:hAnsiTheme="majorHAnsi"/>
          <w:szCs w:val="24"/>
          <w:lang w:eastAsia="en-US"/>
        </w:rPr>
        <w:t>les</w:t>
      </w:r>
      <w:r w:rsidRPr="00236474">
        <w:rPr>
          <w:rFonts w:asciiTheme="majorHAnsi" w:hAnsiTheme="majorHAnsi"/>
          <w:szCs w:val="24"/>
          <w:lang w:eastAsia="en-US"/>
        </w:rPr>
        <w:t xml:space="preserve"> ministères et entre </w:t>
      </w:r>
      <w:r>
        <w:rPr>
          <w:rFonts w:asciiTheme="majorHAnsi" w:hAnsiTheme="majorHAnsi"/>
          <w:szCs w:val="24"/>
          <w:lang w:eastAsia="en-US"/>
        </w:rPr>
        <w:t>le</w:t>
      </w:r>
      <w:r w:rsidRPr="00236474">
        <w:rPr>
          <w:rFonts w:asciiTheme="majorHAnsi" w:hAnsiTheme="majorHAnsi"/>
          <w:szCs w:val="24"/>
          <w:lang w:eastAsia="en-US"/>
        </w:rPr>
        <w:t xml:space="preserve">s services </w:t>
      </w:r>
      <w:r>
        <w:rPr>
          <w:rFonts w:asciiTheme="majorHAnsi" w:hAnsiTheme="majorHAnsi"/>
          <w:szCs w:val="24"/>
          <w:lang w:eastAsia="en-US"/>
        </w:rPr>
        <w:t xml:space="preserve">est réaffirmée pour répondre de façon la plus adéquate </w:t>
      </w:r>
      <w:r w:rsidRPr="00236474">
        <w:rPr>
          <w:rFonts w:asciiTheme="majorHAnsi" w:hAnsiTheme="majorHAnsi"/>
          <w:szCs w:val="24"/>
          <w:lang w:eastAsia="en-US"/>
        </w:rPr>
        <w:t>et la plus com</w:t>
      </w:r>
      <w:r>
        <w:rPr>
          <w:rFonts w:asciiTheme="majorHAnsi" w:hAnsiTheme="majorHAnsi"/>
          <w:szCs w:val="24"/>
          <w:lang w:eastAsia="en-US"/>
        </w:rPr>
        <w:t>plète possible aux besoins des P</w:t>
      </w:r>
      <w:r w:rsidRPr="00236474">
        <w:rPr>
          <w:rFonts w:asciiTheme="majorHAnsi" w:hAnsiTheme="majorHAnsi"/>
          <w:szCs w:val="24"/>
          <w:lang w:eastAsia="en-US"/>
        </w:rPr>
        <w:t xml:space="preserve">olynésiens. </w:t>
      </w:r>
      <w:r>
        <w:rPr>
          <w:rFonts w:asciiTheme="majorHAnsi" w:hAnsiTheme="majorHAnsi"/>
          <w:szCs w:val="24"/>
          <w:lang w:eastAsia="en-US"/>
        </w:rPr>
        <w:t>Cette</w:t>
      </w:r>
      <w:r w:rsidRPr="00236474">
        <w:rPr>
          <w:rFonts w:asciiTheme="majorHAnsi" w:hAnsiTheme="majorHAnsi"/>
          <w:szCs w:val="24"/>
          <w:lang w:eastAsia="en-US"/>
        </w:rPr>
        <w:t xml:space="preserve"> feuille de route comporte plusieurs actions qui demandent l’intervention conjuguée </w:t>
      </w:r>
      <w:r>
        <w:rPr>
          <w:rFonts w:asciiTheme="majorHAnsi" w:hAnsiTheme="majorHAnsi"/>
          <w:szCs w:val="24"/>
          <w:lang w:eastAsia="en-US"/>
        </w:rPr>
        <w:t>des</w:t>
      </w:r>
      <w:r w:rsidRPr="00236474">
        <w:rPr>
          <w:rFonts w:asciiTheme="majorHAnsi" w:hAnsiTheme="majorHAnsi"/>
          <w:szCs w:val="24"/>
          <w:lang w:eastAsia="en-US"/>
        </w:rPr>
        <w:t xml:space="preserve"> compétences respectives</w:t>
      </w:r>
      <w:r>
        <w:rPr>
          <w:rFonts w:asciiTheme="majorHAnsi" w:hAnsiTheme="majorHAnsi"/>
          <w:szCs w:val="24"/>
          <w:lang w:eastAsia="en-US"/>
        </w:rPr>
        <w:t xml:space="preserve"> de différentes entités</w:t>
      </w:r>
      <w:r w:rsidRPr="00236474">
        <w:rPr>
          <w:rFonts w:asciiTheme="majorHAnsi" w:hAnsiTheme="majorHAnsi"/>
          <w:szCs w:val="24"/>
          <w:lang w:eastAsia="en-US"/>
        </w:rPr>
        <w:t xml:space="preserve">. </w:t>
      </w:r>
    </w:p>
    <w:p w:rsidR="00264EF2" w:rsidRDefault="00264EF2" w:rsidP="00264EF2">
      <w:pPr>
        <w:pStyle w:val="-LettreTexteGEDA"/>
        <w:ind w:firstLine="0"/>
        <w:rPr>
          <w:rFonts w:asciiTheme="majorHAnsi" w:hAnsiTheme="majorHAnsi"/>
          <w:noProof w:val="0"/>
          <w:szCs w:val="24"/>
        </w:rPr>
      </w:pPr>
    </w:p>
    <w:p w:rsidR="00E021CE" w:rsidRDefault="00E021CE" w:rsidP="00264EF2">
      <w:pPr>
        <w:pStyle w:val="-LettreTexteGEDA"/>
        <w:ind w:firstLine="0"/>
        <w:rPr>
          <w:rFonts w:asciiTheme="majorHAnsi" w:hAnsiTheme="majorHAnsi"/>
          <w:noProof w:val="0"/>
          <w:szCs w:val="24"/>
        </w:rPr>
      </w:pPr>
    </w:p>
    <w:p w:rsidR="00E021CE" w:rsidRPr="001A726D" w:rsidRDefault="00E021CE" w:rsidP="00264EF2">
      <w:pPr>
        <w:pStyle w:val="-LettreTexteGEDA"/>
        <w:ind w:firstLine="0"/>
        <w:rPr>
          <w:rFonts w:asciiTheme="majorHAnsi" w:hAnsiTheme="majorHAnsi"/>
          <w:noProof w:val="0"/>
          <w:szCs w:val="24"/>
        </w:rPr>
      </w:pPr>
    </w:p>
    <w:p w:rsidR="00264EF2" w:rsidRPr="00B83D50" w:rsidRDefault="00264EF2" w:rsidP="00264EF2">
      <w:pPr>
        <w:pStyle w:val="-LettreTexteGEDA"/>
        <w:ind w:firstLine="0"/>
        <w:jc w:val="center"/>
        <w:rPr>
          <w:rFonts w:asciiTheme="majorHAnsi" w:hAnsiTheme="majorHAnsi"/>
          <w:noProof w:val="0"/>
          <w:szCs w:val="24"/>
          <w:lang w:val="en-US"/>
        </w:rPr>
      </w:pPr>
      <w:r w:rsidRPr="00B83D50">
        <w:rPr>
          <w:rFonts w:asciiTheme="majorHAnsi" w:hAnsiTheme="majorHAnsi"/>
          <w:noProof w:val="0"/>
          <w:szCs w:val="24"/>
          <w:lang w:val="en-US"/>
        </w:rPr>
        <w:lastRenderedPageBreak/>
        <w:t>-o-o-o-o-o-</w:t>
      </w: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264EF2" w:rsidRPr="00B83D50" w:rsidRDefault="00264EF2" w:rsidP="006A3579">
      <w:pPr>
        <w:widowControl w:val="0"/>
        <w:autoSpaceDE w:val="0"/>
        <w:autoSpaceDN w:val="0"/>
        <w:adjustRightInd w:val="0"/>
        <w:jc w:val="center"/>
        <w:rPr>
          <w:rFonts w:ascii="Cambria" w:hAnsi="Cambria" w:cs="Century Schoolbook"/>
          <w:lang w:val="en-US"/>
        </w:rPr>
      </w:pPr>
    </w:p>
    <w:p w:rsidR="008059E4" w:rsidRPr="00B83D50" w:rsidRDefault="008059E4" w:rsidP="006A3579">
      <w:pPr>
        <w:widowControl w:val="0"/>
        <w:autoSpaceDE w:val="0"/>
        <w:autoSpaceDN w:val="0"/>
        <w:adjustRightInd w:val="0"/>
        <w:jc w:val="center"/>
        <w:rPr>
          <w:rFonts w:ascii="Cambria" w:hAnsi="Cambria" w:cs="Century Schoolbook"/>
          <w:lang w:val="en-US"/>
        </w:rPr>
      </w:pPr>
    </w:p>
    <w:sectPr w:rsidR="008059E4" w:rsidRPr="00B83D5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0A" w:rsidRDefault="00954A0A">
      <w:r>
        <w:separator/>
      </w:r>
    </w:p>
  </w:endnote>
  <w:endnote w:type="continuationSeparator" w:id="0">
    <w:p w:rsidR="00954A0A" w:rsidRDefault="0095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Default="00922ABB"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2ABB" w:rsidRDefault="00954A0A" w:rsidP="00922ABB">
    <w:pPr>
      <w:pStyle w:val="Pieddepage"/>
      <w:ind w:right="360"/>
    </w:pPr>
    <w:sdt>
      <w:sdtPr>
        <w:id w:val="969400743"/>
        <w:temporary/>
        <w:showingPlcHdr/>
      </w:sdtPr>
      <w:sdtEndPr/>
      <w:sdtContent>
        <w:r w:rsidR="00922ABB">
          <w:t>[Tapez le texte]</w:t>
        </w:r>
      </w:sdtContent>
    </w:sdt>
    <w:r w:rsidR="00922ABB">
      <w:ptab w:relativeTo="margin" w:alignment="center" w:leader="none"/>
    </w:r>
    <w:sdt>
      <w:sdtPr>
        <w:id w:val="969400748"/>
        <w:temporary/>
        <w:showingPlcHdr/>
      </w:sdtPr>
      <w:sdtEndPr/>
      <w:sdtContent>
        <w:r w:rsidR="00922ABB">
          <w:t>[Tapez le texte]</w:t>
        </w:r>
      </w:sdtContent>
    </w:sdt>
    <w:r w:rsidR="00922ABB">
      <w:ptab w:relativeTo="margin" w:alignment="right" w:leader="none"/>
    </w:r>
    <w:sdt>
      <w:sdtPr>
        <w:id w:val="969400753"/>
        <w:temporary/>
        <w:showingPlcHdr/>
      </w:sdtPr>
      <w:sdtEndPr/>
      <w:sdtContent>
        <w:r w:rsidR="00922ABB">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Pr="00BA209E" w:rsidRDefault="00922ABB" w:rsidP="00922ABB">
    <w:pPr>
      <w:pStyle w:val="Pieddepage"/>
      <w:jc w:val="center"/>
      <w:rPr>
        <w:i/>
        <w:sz w:val="20"/>
        <w:szCs w:val="20"/>
      </w:rPr>
    </w:pPr>
    <w:r w:rsidRPr="00BA209E">
      <w:rPr>
        <w:i/>
        <w:sz w:val="20"/>
        <w:szCs w:val="20"/>
      </w:rPr>
      <w:t>Présidence de la Polynésie Française</w:t>
    </w:r>
  </w:p>
  <w:p w:rsidR="00922ABB" w:rsidRPr="00BA209E" w:rsidRDefault="00922ABB" w:rsidP="00922ABB">
    <w:pPr>
      <w:pStyle w:val="Pieddepage"/>
      <w:jc w:val="center"/>
      <w:rPr>
        <w:i/>
        <w:sz w:val="20"/>
        <w:szCs w:val="20"/>
      </w:rPr>
    </w:pPr>
    <w:r w:rsidRPr="00BA209E">
      <w:rPr>
        <w:i/>
        <w:sz w:val="20"/>
        <w:szCs w:val="20"/>
      </w:rPr>
      <w:t xml:space="preserve">Service </w:t>
    </w:r>
    <w:r>
      <w:rPr>
        <w:i/>
        <w:sz w:val="20"/>
        <w:szCs w:val="20"/>
      </w:rPr>
      <w:t>de la communication</w:t>
    </w:r>
  </w:p>
  <w:p w:rsidR="00922ABB" w:rsidRPr="00BA209E" w:rsidRDefault="00954A0A" w:rsidP="00922ABB">
    <w:pPr>
      <w:pStyle w:val="Pieddepage"/>
      <w:jc w:val="center"/>
      <w:rPr>
        <w:sz w:val="20"/>
        <w:szCs w:val="20"/>
      </w:rPr>
    </w:pPr>
    <w:hyperlink r:id="rId1" w:history="1">
      <w:r w:rsidR="00922ABB" w:rsidRPr="00E264FC">
        <w:rPr>
          <w:rStyle w:val="Lienhypertexte"/>
          <w:sz w:val="20"/>
        </w:rPr>
        <w:t>communication@presidence.pf</w:t>
      </w:r>
    </w:hyperlink>
    <w:r w:rsidR="00922ABB" w:rsidRPr="00BA209E">
      <w:rPr>
        <w:sz w:val="20"/>
        <w:szCs w:val="20"/>
      </w:rPr>
      <w:t xml:space="preserve"> – </w:t>
    </w:r>
    <w:r w:rsidR="00922ABB">
      <w:rPr>
        <w:sz w:val="20"/>
        <w:szCs w:val="20"/>
      </w:rPr>
      <w:t xml:space="preserve">40 </w:t>
    </w:r>
    <w:r w:rsidR="00922ABB" w:rsidRPr="00BA209E">
      <w:rPr>
        <w:sz w:val="20"/>
        <w:szCs w:val="20"/>
      </w:rPr>
      <w:t>47 20 00</w:t>
    </w:r>
  </w:p>
  <w:p w:rsidR="00922ABB" w:rsidRDefault="00922A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0A" w:rsidRDefault="00954A0A">
      <w:r>
        <w:separator/>
      </w:r>
    </w:p>
  </w:footnote>
  <w:footnote w:type="continuationSeparator" w:id="0">
    <w:p w:rsidR="00954A0A" w:rsidRDefault="00954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4">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5">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F90D8A"/>
    <w:multiLevelType w:val="hybridMultilevel"/>
    <w:tmpl w:val="47BEA9DE"/>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3"/>
  </w:num>
  <w:num w:numId="2">
    <w:abstractNumId w:val="4"/>
  </w:num>
  <w:num w:numId="3">
    <w:abstractNumId w:val="12"/>
  </w:num>
  <w:num w:numId="4">
    <w:abstractNumId w:val="10"/>
  </w:num>
  <w:num w:numId="5">
    <w:abstractNumId w:val="2"/>
  </w:num>
  <w:num w:numId="6">
    <w:abstractNumId w:val="1"/>
  </w:num>
  <w:num w:numId="7">
    <w:abstractNumId w:val="6"/>
  </w:num>
  <w:num w:numId="8">
    <w:abstractNumId w:val="11"/>
  </w:num>
  <w:num w:numId="9">
    <w:abstractNumId w:val="5"/>
  </w:num>
  <w:num w:numId="10">
    <w:abstractNumId w:val="0"/>
  </w:num>
  <w:num w:numId="11">
    <w:abstractNumId w:val="8"/>
  </w:num>
  <w:num w:numId="12">
    <w:abstractNumId w:val="9"/>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CE"/>
    <w:rsid w:val="00033658"/>
    <w:rsid w:val="000448E5"/>
    <w:rsid w:val="000508C8"/>
    <w:rsid w:val="00064A61"/>
    <w:rsid w:val="0008409F"/>
    <w:rsid w:val="0009440F"/>
    <w:rsid w:val="00094FC4"/>
    <w:rsid w:val="000A7995"/>
    <w:rsid w:val="000B0B49"/>
    <w:rsid w:val="000B77CD"/>
    <w:rsid w:val="000C3FED"/>
    <w:rsid w:val="00112BB8"/>
    <w:rsid w:val="001260E1"/>
    <w:rsid w:val="001775EE"/>
    <w:rsid w:val="001A2D2F"/>
    <w:rsid w:val="001A5551"/>
    <w:rsid w:val="001A5B63"/>
    <w:rsid w:val="001B28FD"/>
    <w:rsid w:val="001C6C5E"/>
    <w:rsid w:val="001C74FC"/>
    <w:rsid w:val="001D6BE1"/>
    <w:rsid w:val="001E2C77"/>
    <w:rsid w:val="001E5D7F"/>
    <w:rsid w:val="001F02DD"/>
    <w:rsid w:val="00247369"/>
    <w:rsid w:val="00247536"/>
    <w:rsid w:val="002512C5"/>
    <w:rsid w:val="00264EF2"/>
    <w:rsid w:val="00270AE2"/>
    <w:rsid w:val="00286FFA"/>
    <w:rsid w:val="002B5710"/>
    <w:rsid w:val="002E1D40"/>
    <w:rsid w:val="002E42D2"/>
    <w:rsid w:val="002F733A"/>
    <w:rsid w:val="003175DF"/>
    <w:rsid w:val="0032141A"/>
    <w:rsid w:val="00335461"/>
    <w:rsid w:val="0033691B"/>
    <w:rsid w:val="003444A6"/>
    <w:rsid w:val="0035386E"/>
    <w:rsid w:val="003625D8"/>
    <w:rsid w:val="00375466"/>
    <w:rsid w:val="003B14D7"/>
    <w:rsid w:val="003B5A14"/>
    <w:rsid w:val="003D62F0"/>
    <w:rsid w:val="003E44BD"/>
    <w:rsid w:val="003F0DC9"/>
    <w:rsid w:val="003F3E11"/>
    <w:rsid w:val="00415AE9"/>
    <w:rsid w:val="0042162D"/>
    <w:rsid w:val="0042227C"/>
    <w:rsid w:val="00424B02"/>
    <w:rsid w:val="004443F9"/>
    <w:rsid w:val="00447307"/>
    <w:rsid w:val="00464DBA"/>
    <w:rsid w:val="00477702"/>
    <w:rsid w:val="004824BE"/>
    <w:rsid w:val="004945F1"/>
    <w:rsid w:val="004A0C8B"/>
    <w:rsid w:val="004B281C"/>
    <w:rsid w:val="004C0B54"/>
    <w:rsid w:val="004E59E4"/>
    <w:rsid w:val="004F2666"/>
    <w:rsid w:val="004F6AB0"/>
    <w:rsid w:val="005117FB"/>
    <w:rsid w:val="00535EB0"/>
    <w:rsid w:val="00537381"/>
    <w:rsid w:val="0054277A"/>
    <w:rsid w:val="0057103B"/>
    <w:rsid w:val="0057273D"/>
    <w:rsid w:val="00580ED3"/>
    <w:rsid w:val="00582D1E"/>
    <w:rsid w:val="005E3D2E"/>
    <w:rsid w:val="005F5786"/>
    <w:rsid w:val="005F67A7"/>
    <w:rsid w:val="00620349"/>
    <w:rsid w:val="006351F3"/>
    <w:rsid w:val="00636B0B"/>
    <w:rsid w:val="00643F5E"/>
    <w:rsid w:val="0064491E"/>
    <w:rsid w:val="00646D25"/>
    <w:rsid w:val="006661EC"/>
    <w:rsid w:val="00672ED4"/>
    <w:rsid w:val="00683D1F"/>
    <w:rsid w:val="00691CAE"/>
    <w:rsid w:val="00697133"/>
    <w:rsid w:val="006A3579"/>
    <w:rsid w:val="006B623F"/>
    <w:rsid w:val="006D128B"/>
    <w:rsid w:val="006E411F"/>
    <w:rsid w:val="006E478C"/>
    <w:rsid w:val="006E76C6"/>
    <w:rsid w:val="006F3B1B"/>
    <w:rsid w:val="007052A3"/>
    <w:rsid w:val="00711F71"/>
    <w:rsid w:val="00716A05"/>
    <w:rsid w:val="00734600"/>
    <w:rsid w:val="00744311"/>
    <w:rsid w:val="00745751"/>
    <w:rsid w:val="007503DC"/>
    <w:rsid w:val="00767E72"/>
    <w:rsid w:val="007A6288"/>
    <w:rsid w:val="007A6645"/>
    <w:rsid w:val="007A6D8A"/>
    <w:rsid w:val="007B3B1E"/>
    <w:rsid w:val="007D57D7"/>
    <w:rsid w:val="007D7D62"/>
    <w:rsid w:val="007E5AD4"/>
    <w:rsid w:val="007E6573"/>
    <w:rsid w:val="008059E4"/>
    <w:rsid w:val="00822799"/>
    <w:rsid w:val="00822FDE"/>
    <w:rsid w:val="0082621E"/>
    <w:rsid w:val="008276FE"/>
    <w:rsid w:val="00852F12"/>
    <w:rsid w:val="008537CB"/>
    <w:rsid w:val="0086475C"/>
    <w:rsid w:val="00866990"/>
    <w:rsid w:val="00887D74"/>
    <w:rsid w:val="00891EDE"/>
    <w:rsid w:val="008A241A"/>
    <w:rsid w:val="008C255E"/>
    <w:rsid w:val="008D6C23"/>
    <w:rsid w:val="008E053C"/>
    <w:rsid w:val="008E4691"/>
    <w:rsid w:val="008F245A"/>
    <w:rsid w:val="00906A19"/>
    <w:rsid w:val="00906D50"/>
    <w:rsid w:val="00922ABB"/>
    <w:rsid w:val="009401EA"/>
    <w:rsid w:val="00950864"/>
    <w:rsid w:val="00954182"/>
    <w:rsid w:val="00954A0A"/>
    <w:rsid w:val="009740B4"/>
    <w:rsid w:val="00994824"/>
    <w:rsid w:val="009A0987"/>
    <w:rsid w:val="009B11A7"/>
    <w:rsid w:val="009B73C8"/>
    <w:rsid w:val="009B778E"/>
    <w:rsid w:val="00A01888"/>
    <w:rsid w:val="00A17AA2"/>
    <w:rsid w:val="00A21E46"/>
    <w:rsid w:val="00A31AE6"/>
    <w:rsid w:val="00A40622"/>
    <w:rsid w:val="00A41FD7"/>
    <w:rsid w:val="00A45B8E"/>
    <w:rsid w:val="00A46EA3"/>
    <w:rsid w:val="00A633A2"/>
    <w:rsid w:val="00A73389"/>
    <w:rsid w:val="00A80A5C"/>
    <w:rsid w:val="00A87746"/>
    <w:rsid w:val="00A93D19"/>
    <w:rsid w:val="00AA198C"/>
    <w:rsid w:val="00AA5DB0"/>
    <w:rsid w:val="00AB7D79"/>
    <w:rsid w:val="00AC42CB"/>
    <w:rsid w:val="00AC6946"/>
    <w:rsid w:val="00AD5D6D"/>
    <w:rsid w:val="00AD5EDD"/>
    <w:rsid w:val="00AD5EE0"/>
    <w:rsid w:val="00AD6E64"/>
    <w:rsid w:val="00B31AD4"/>
    <w:rsid w:val="00B718DD"/>
    <w:rsid w:val="00B74014"/>
    <w:rsid w:val="00B83D50"/>
    <w:rsid w:val="00B95C0A"/>
    <w:rsid w:val="00BA3B8B"/>
    <w:rsid w:val="00BC3D42"/>
    <w:rsid w:val="00BC620E"/>
    <w:rsid w:val="00BD7B99"/>
    <w:rsid w:val="00C109C3"/>
    <w:rsid w:val="00C2035B"/>
    <w:rsid w:val="00C25610"/>
    <w:rsid w:val="00C34DFF"/>
    <w:rsid w:val="00C575E2"/>
    <w:rsid w:val="00C57F44"/>
    <w:rsid w:val="00C83E94"/>
    <w:rsid w:val="00C84CFA"/>
    <w:rsid w:val="00C85666"/>
    <w:rsid w:val="00C86F4D"/>
    <w:rsid w:val="00C92DA5"/>
    <w:rsid w:val="00CA5FA6"/>
    <w:rsid w:val="00CC0122"/>
    <w:rsid w:val="00CC0DAF"/>
    <w:rsid w:val="00CD41CD"/>
    <w:rsid w:val="00CE47CE"/>
    <w:rsid w:val="00CF614D"/>
    <w:rsid w:val="00D032A7"/>
    <w:rsid w:val="00D409EF"/>
    <w:rsid w:val="00D41691"/>
    <w:rsid w:val="00D42763"/>
    <w:rsid w:val="00D61A9C"/>
    <w:rsid w:val="00D7084B"/>
    <w:rsid w:val="00D7269F"/>
    <w:rsid w:val="00D77283"/>
    <w:rsid w:val="00DB2820"/>
    <w:rsid w:val="00DB51B3"/>
    <w:rsid w:val="00DB7748"/>
    <w:rsid w:val="00DC4669"/>
    <w:rsid w:val="00DD023E"/>
    <w:rsid w:val="00DE148E"/>
    <w:rsid w:val="00DE1B5F"/>
    <w:rsid w:val="00DE4216"/>
    <w:rsid w:val="00E0177C"/>
    <w:rsid w:val="00E021CE"/>
    <w:rsid w:val="00E060F5"/>
    <w:rsid w:val="00E066DB"/>
    <w:rsid w:val="00E069DD"/>
    <w:rsid w:val="00E14BA1"/>
    <w:rsid w:val="00E56A91"/>
    <w:rsid w:val="00E57CF3"/>
    <w:rsid w:val="00E64585"/>
    <w:rsid w:val="00E6755C"/>
    <w:rsid w:val="00E726CC"/>
    <w:rsid w:val="00E72D76"/>
    <w:rsid w:val="00E75455"/>
    <w:rsid w:val="00E8405D"/>
    <w:rsid w:val="00EA5932"/>
    <w:rsid w:val="00EA73B5"/>
    <w:rsid w:val="00ED0838"/>
    <w:rsid w:val="00EE3200"/>
    <w:rsid w:val="00EF33F2"/>
    <w:rsid w:val="00EF67B9"/>
    <w:rsid w:val="00F20FFC"/>
    <w:rsid w:val="00F246BA"/>
    <w:rsid w:val="00F30D9B"/>
    <w:rsid w:val="00F36CE9"/>
    <w:rsid w:val="00F372AE"/>
    <w:rsid w:val="00F41ADF"/>
    <w:rsid w:val="00F52E28"/>
    <w:rsid w:val="00F72A91"/>
    <w:rsid w:val="00F72D1E"/>
    <w:rsid w:val="00F868AE"/>
    <w:rsid w:val="00F90E7B"/>
    <w:rsid w:val="00F93C10"/>
    <w:rsid w:val="00FA4035"/>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F4F10-967A-4F30-B8BD-52C396D4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Normal1">
    <w:name w:val="Normal1"/>
    <w:rsid w:val="006D128B"/>
    <w:pPr>
      <w:spacing w:after="0"/>
    </w:pPr>
    <w:rPr>
      <w:rFonts w:ascii="Arial" w:eastAsia="Arial" w:hAnsi="Arial" w:cs="Arial"/>
      <w:lang w:val="fr" w:eastAsia="fr-FR"/>
    </w:rPr>
  </w:style>
  <w:style w:type="character" w:customStyle="1" w:styleId="textexposedshow">
    <w:name w:val="text_exposed_show"/>
    <w:basedOn w:val="Policepardfaut"/>
    <w:rsid w:val="006D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8867">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5020</Words>
  <Characters>27612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2019-09-03T19:11:00Z</cp:lastPrinted>
  <dcterms:created xsi:type="dcterms:W3CDTF">2019-11-06T18:27:00Z</dcterms:created>
  <dcterms:modified xsi:type="dcterms:W3CDTF">2019-11-07T00:11:00Z</dcterms:modified>
</cp:coreProperties>
</file>