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7CE" w:rsidRPr="00C21220" w:rsidRDefault="00CE47CE" w:rsidP="00CE47CE">
      <w:pPr>
        <w:pStyle w:val="Sansinterligne"/>
        <w:rPr>
          <w:rFonts w:ascii="Cambria" w:hAnsi="Cambria"/>
          <w:lang w:eastAsia="fr-FR"/>
        </w:rPr>
      </w:pPr>
      <w:r w:rsidRPr="00C21220">
        <w:rPr>
          <w:rFonts w:ascii="Cambria" w:hAnsi="Cambria"/>
          <w:noProof/>
          <w:lang w:eastAsia="fr-FR"/>
        </w:rPr>
        <w:drawing>
          <wp:anchor distT="0" distB="0" distL="114300" distR="114300" simplePos="0" relativeHeight="251659264" behindDoc="1" locked="0" layoutInCell="1" allowOverlap="1" wp14:anchorId="102A9F07" wp14:editId="4E239021">
            <wp:simplePos x="0" y="0"/>
            <wp:positionH relativeFrom="page">
              <wp:align>right</wp:align>
            </wp:positionH>
            <wp:positionV relativeFrom="paragraph">
              <wp:posOffset>-941070</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9">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Pr="00C21220">
        <w:rPr>
          <w:rFonts w:ascii="Cambria" w:hAnsi="Cambria"/>
          <w:noProof/>
          <w:lang w:eastAsia="fr-FR"/>
        </w:rPr>
        <mc:AlternateContent>
          <mc:Choice Requires="wps">
            <w:drawing>
              <wp:anchor distT="45720" distB="45720" distL="114300" distR="114300" simplePos="0" relativeHeight="251660288" behindDoc="0" locked="0" layoutInCell="1" allowOverlap="1" wp14:anchorId="455D31DB" wp14:editId="234E7FAB">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rsidR="00922ABB" w:rsidRPr="00385367" w:rsidRDefault="00922ABB" w:rsidP="00CE47CE">
                            <w:pPr>
                              <w:rPr>
                                <w:rFonts w:ascii="Edwardian Script ITC" w:hAnsi="Edwardian Script ITC"/>
                                <w:sz w:val="64"/>
                                <w:szCs w:val="64"/>
                              </w:rPr>
                            </w:pPr>
                            <w:r w:rsidRPr="00385367">
                              <w:rPr>
                                <w:rFonts w:ascii="Edwardian Script ITC" w:hAnsi="Edwardian Script ITC"/>
                                <w:sz w:val="64"/>
                                <w:szCs w:val="64"/>
                              </w:rPr>
                              <w:t>La Présidence</w:t>
                            </w:r>
                          </w:p>
                          <w:p w:rsidR="00922ABB" w:rsidRPr="00385367" w:rsidRDefault="00922ABB"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rsidR="00922ABB" w:rsidRPr="00385367" w:rsidRDefault="00922ABB" w:rsidP="00CE47CE">
                      <w:pPr>
                        <w:rPr>
                          <w:rFonts w:ascii="Edwardian Script ITC" w:hAnsi="Edwardian Script ITC"/>
                          <w:sz w:val="64"/>
                          <w:szCs w:val="64"/>
                        </w:rPr>
                      </w:pPr>
                      <w:r w:rsidRPr="00385367">
                        <w:rPr>
                          <w:rFonts w:ascii="Edwardian Script ITC" w:hAnsi="Edwardian Script ITC"/>
                          <w:sz w:val="64"/>
                          <w:szCs w:val="64"/>
                        </w:rPr>
                        <w:t>La Présidence</w:t>
                      </w:r>
                    </w:p>
                    <w:p w:rsidR="00922ABB" w:rsidRPr="00385367" w:rsidRDefault="00922ABB"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Pr>
          <w:rFonts w:ascii="Cambria" w:hAnsi="Cambria"/>
          <w:lang w:eastAsia="fr-FR"/>
        </w:rPr>
        <w:tab/>
      </w:r>
      <w:r w:rsidRPr="00C21220">
        <w:rPr>
          <w:rFonts w:ascii="Cambria" w:hAnsi="Cambria"/>
          <w:lang w:eastAsia="fr-FR"/>
        </w:rPr>
        <w:t xml:space="preserve">      </w:t>
      </w:r>
    </w:p>
    <w:p w:rsidR="00CE47CE" w:rsidRPr="00C21220" w:rsidRDefault="00CE47CE" w:rsidP="00CE47CE">
      <w:pPr>
        <w:jc w:val="cente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tabs>
          <w:tab w:val="center" w:pos="4533"/>
          <w:tab w:val="left" w:pos="6544"/>
        </w:tabs>
        <w:rPr>
          <w:rFonts w:ascii="Cambria" w:hAnsi="Cambria"/>
          <w:u w:val="single"/>
        </w:rPr>
      </w:pPr>
      <w:r w:rsidRPr="00C21220">
        <w:rPr>
          <w:rFonts w:ascii="Cambria" w:hAnsi="Cambria" w:cs="Arial"/>
          <w:i/>
          <w:noProof/>
          <w:lang w:eastAsia="fr-FR"/>
        </w:rPr>
        <mc:AlternateContent>
          <mc:Choice Requires="wps">
            <w:drawing>
              <wp:anchor distT="4294967295" distB="4294967295" distL="114300" distR="114300" simplePos="0" relativeHeight="251662336" behindDoc="0" locked="0" layoutInCell="1" allowOverlap="1" wp14:anchorId="1584862F" wp14:editId="181C825B">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15A5A2" id="Connecteur droit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" strokecolor="black [3213]" strokeweight="1.5pt">
                <v:shadow on="t" color="black" opacity="22937f" origin=",.5" offset="0,.63889mm"/>
                <o:lock v:ext="edit" shapetype="f"/>
              </v:line>
            </w:pict>
          </mc:Fallback>
        </mc:AlternateContent>
      </w:r>
    </w:p>
    <w:p w:rsidR="00CE47CE" w:rsidRPr="00C21220" w:rsidRDefault="00CE47CE" w:rsidP="00CE47CE">
      <w:pPr>
        <w:tabs>
          <w:tab w:val="left" w:pos="3240"/>
        </w:tabs>
        <w:jc w:val="center"/>
        <w:rPr>
          <w:rFonts w:ascii="Cambria" w:hAnsi="Cambria" w:cs="Arial"/>
          <w:b/>
        </w:rPr>
      </w:pPr>
      <w:r w:rsidRPr="00C21220">
        <w:rPr>
          <w:rFonts w:ascii="Cambria" w:hAnsi="Cambria" w:cs="Arial"/>
          <w:b/>
        </w:rPr>
        <w:t>BUREAU DE LA COMMUNICATION</w:t>
      </w:r>
    </w:p>
    <w:p w:rsidR="00CE47CE" w:rsidRPr="00C21220" w:rsidRDefault="00D42763" w:rsidP="00CE47CE">
      <w:pPr>
        <w:tabs>
          <w:tab w:val="left" w:pos="3240"/>
        </w:tabs>
        <w:jc w:val="center"/>
        <w:rPr>
          <w:rFonts w:ascii="Cambria" w:hAnsi="Cambria" w:cs="Arial"/>
          <w:b/>
          <w:i/>
        </w:rPr>
      </w:pPr>
      <w:r>
        <w:rPr>
          <w:rFonts w:ascii="Cambria" w:hAnsi="Cambria" w:cs="Arial"/>
          <w:b/>
          <w:i/>
        </w:rPr>
        <w:t xml:space="preserve">Mercredi </w:t>
      </w:r>
      <w:r w:rsidR="00D032A7">
        <w:rPr>
          <w:rFonts w:ascii="Cambria" w:hAnsi="Cambria" w:cs="Arial"/>
          <w:b/>
          <w:i/>
        </w:rPr>
        <w:t>4 septembre</w:t>
      </w:r>
      <w:r>
        <w:rPr>
          <w:rFonts w:ascii="Cambria" w:hAnsi="Cambria" w:cs="Arial"/>
          <w:b/>
          <w:i/>
        </w:rPr>
        <w:t xml:space="preserve"> </w:t>
      </w:r>
      <w:r w:rsidR="00CE47CE" w:rsidRPr="00C21220">
        <w:rPr>
          <w:rFonts w:ascii="Cambria" w:hAnsi="Cambria" w:cs="Arial"/>
          <w:b/>
          <w:i/>
        </w:rPr>
        <w:t>2019</w:t>
      </w:r>
    </w:p>
    <w:p w:rsidR="00CE47CE" w:rsidRPr="00C21220" w:rsidRDefault="00CE47CE" w:rsidP="00CE47CE">
      <w:pPr>
        <w:tabs>
          <w:tab w:val="left" w:pos="3240"/>
        </w:tabs>
        <w:jc w:val="center"/>
        <w:rPr>
          <w:rFonts w:ascii="Cambria" w:hAnsi="Cambria"/>
        </w:rPr>
      </w:pPr>
      <w:r w:rsidRPr="00C21220">
        <w:rPr>
          <w:rFonts w:ascii="Cambria" w:hAnsi="Cambria" w:cs="Arial"/>
          <w:i/>
          <w:noProof/>
          <w:lang w:eastAsia="fr-FR"/>
        </w:rPr>
        <mc:AlternateContent>
          <mc:Choice Requires="wps">
            <w:drawing>
              <wp:anchor distT="4294967295" distB="4294967295" distL="114300" distR="114300" simplePos="0" relativeHeight="251661312" behindDoc="0" locked="0" layoutInCell="1" allowOverlap="1" wp14:anchorId="18C1A943" wp14:editId="58873EC3">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DF36D5" id="Connecteur droit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" strokeweight="1.5pt">
                <v:shadow on="t" color="black" opacity="22937f" origin=",.5" offset="0,.63889mm"/>
                <o:lock v:ext="edit" shapetype="f"/>
              </v:line>
            </w:pict>
          </mc:Fallback>
        </mc:AlternateContent>
      </w:r>
    </w:p>
    <w:p w:rsidR="00CE47CE" w:rsidRPr="00C21220" w:rsidRDefault="00CE47CE" w:rsidP="00CE47CE">
      <w:pPr>
        <w:tabs>
          <w:tab w:val="left" w:pos="3240"/>
        </w:tabs>
        <w:rPr>
          <w:rFonts w:ascii="Cambria" w:hAnsi="Cambria" w:cs="Arial"/>
          <w:b/>
          <w:i/>
        </w:rPr>
      </w:pPr>
    </w:p>
    <w:p w:rsidR="00CE47CE" w:rsidRPr="00DC0EA9" w:rsidRDefault="00CE47CE" w:rsidP="00CE47CE">
      <w:pPr>
        <w:pBdr>
          <w:top w:val="single" w:sz="4" w:space="0" w:color="auto"/>
          <w:left w:val="single" w:sz="4" w:space="4" w:color="auto"/>
          <w:bottom w:val="single" w:sz="4" w:space="1" w:color="auto"/>
          <w:right w:val="single" w:sz="4" w:space="4" w:color="auto"/>
        </w:pBdr>
        <w:tabs>
          <w:tab w:val="center" w:pos="4536"/>
          <w:tab w:val="left" w:pos="7440"/>
        </w:tabs>
        <w:jc w:val="both"/>
        <w:rPr>
          <w:rFonts w:ascii="Cambria" w:hAnsi="Cambria"/>
          <w:b/>
        </w:rPr>
      </w:pPr>
      <w:r w:rsidRPr="00C21220">
        <w:rPr>
          <w:rFonts w:ascii="Cambria" w:hAnsi="Cambria"/>
          <w:b/>
        </w:rPr>
        <w:tab/>
        <w:t xml:space="preserve">Compte rendu du Conseil des ministres </w:t>
      </w:r>
    </w:p>
    <w:p w:rsidR="003B5A14" w:rsidRDefault="003B5A14" w:rsidP="00E0177C">
      <w:pPr>
        <w:widowControl w:val="0"/>
        <w:autoSpaceDE w:val="0"/>
        <w:autoSpaceDN w:val="0"/>
        <w:adjustRightInd w:val="0"/>
        <w:rPr>
          <w:rFonts w:asciiTheme="majorHAnsi" w:hAnsiTheme="majorHAnsi"/>
          <w:b/>
        </w:rPr>
      </w:pPr>
    </w:p>
    <w:p w:rsidR="00B97371" w:rsidRPr="00C5021C" w:rsidRDefault="00B97371" w:rsidP="00B97371">
      <w:pPr>
        <w:jc w:val="both"/>
        <w:rPr>
          <w:rFonts w:asciiTheme="majorHAnsi" w:hAnsiTheme="majorHAnsi"/>
          <w:b/>
        </w:rPr>
      </w:pPr>
      <w:r w:rsidRPr="00C5021C">
        <w:rPr>
          <w:rFonts w:asciiTheme="majorHAnsi" w:hAnsiTheme="majorHAnsi"/>
          <w:b/>
        </w:rPr>
        <w:t>Etat d’avancement du Contrat de redynamisation des sites de défense de Polynésie française</w:t>
      </w:r>
    </w:p>
    <w:p w:rsidR="00B97371" w:rsidRPr="00C5021C" w:rsidRDefault="00B97371" w:rsidP="00B97371">
      <w:pPr>
        <w:jc w:val="both"/>
        <w:rPr>
          <w:rFonts w:asciiTheme="majorHAnsi" w:hAnsiTheme="majorHAnsi"/>
          <w:b/>
        </w:rPr>
      </w:pPr>
    </w:p>
    <w:p w:rsidR="00B97371" w:rsidRPr="00C5021C" w:rsidRDefault="00874293" w:rsidP="00B97371">
      <w:pPr>
        <w:jc w:val="both"/>
        <w:rPr>
          <w:rFonts w:asciiTheme="majorHAnsi" w:hAnsiTheme="majorHAnsi"/>
        </w:rPr>
      </w:pPr>
      <w:r w:rsidRPr="00C5021C">
        <w:rPr>
          <w:rFonts w:asciiTheme="majorHAnsi" w:hAnsiTheme="majorHAnsi"/>
        </w:rPr>
        <w:t>Le C</w:t>
      </w:r>
      <w:r w:rsidR="00B97371" w:rsidRPr="00C5021C">
        <w:rPr>
          <w:rFonts w:asciiTheme="majorHAnsi" w:hAnsiTheme="majorHAnsi"/>
        </w:rPr>
        <w:t xml:space="preserve">onseil des ministres a effectué un point de situation quant à l’exécution du contrat de redynamisation des sites de défense de Polynésie française (CRSD). </w:t>
      </w:r>
    </w:p>
    <w:p w:rsidR="00B97371" w:rsidRPr="00C5021C" w:rsidRDefault="00B97371" w:rsidP="00B97371">
      <w:pPr>
        <w:jc w:val="both"/>
        <w:rPr>
          <w:rFonts w:asciiTheme="majorHAnsi" w:hAnsiTheme="majorHAnsi"/>
        </w:rPr>
      </w:pPr>
    </w:p>
    <w:p w:rsidR="00B97371" w:rsidRPr="00C5021C" w:rsidRDefault="00B97371" w:rsidP="00B97371">
      <w:pPr>
        <w:jc w:val="both"/>
        <w:rPr>
          <w:rFonts w:asciiTheme="majorHAnsi" w:hAnsiTheme="majorHAnsi"/>
        </w:rPr>
      </w:pPr>
      <w:r w:rsidRPr="00C5021C">
        <w:rPr>
          <w:rFonts w:asciiTheme="majorHAnsi" w:hAnsiTheme="majorHAnsi"/>
        </w:rPr>
        <w:t>En effet, dans un contexte de modernisation des armées et de restructuration des sites militaires, le gouvernement central a décidé, le 25 juillet 2008, la mise en place des contrats de redynamisation de</w:t>
      </w:r>
      <w:r w:rsidR="00874293" w:rsidRPr="00C5021C">
        <w:rPr>
          <w:rFonts w:asciiTheme="majorHAnsi" w:hAnsiTheme="majorHAnsi"/>
        </w:rPr>
        <w:t>s</w:t>
      </w:r>
      <w:r w:rsidRPr="00C5021C">
        <w:rPr>
          <w:rFonts w:asciiTheme="majorHAnsi" w:hAnsiTheme="majorHAnsi"/>
        </w:rPr>
        <w:t xml:space="preserve"> site</w:t>
      </w:r>
      <w:r w:rsidR="00874293" w:rsidRPr="00C5021C">
        <w:rPr>
          <w:rFonts w:asciiTheme="majorHAnsi" w:hAnsiTheme="majorHAnsi"/>
        </w:rPr>
        <w:t>s</w:t>
      </w:r>
      <w:r w:rsidRPr="00C5021C">
        <w:rPr>
          <w:rFonts w:asciiTheme="majorHAnsi" w:hAnsiTheme="majorHAnsi"/>
        </w:rPr>
        <w:t xml:space="preserve"> de défense (CRSD) pour faciliter la transition des territoires concernés vers de nouvelles dynamiques et permettre de recréer les conditions d’un développement économique durable.</w:t>
      </w:r>
    </w:p>
    <w:p w:rsidR="00B97371" w:rsidRPr="00C5021C" w:rsidRDefault="00B97371" w:rsidP="00B97371">
      <w:pPr>
        <w:jc w:val="both"/>
        <w:rPr>
          <w:rFonts w:asciiTheme="majorHAnsi" w:hAnsiTheme="majorHAnsi"/>
        </w:rPr>
      </w:pPr>
    </w:p>
    <w:p w:rsidR="00B97371" w:rsidRPr="00C5021C" w:rsidRDefault="00B97371" w:rsidP="00B97371">
      <w:pPr>
        <w:jc w:val="both"/>
        <w:rPr>
          <w:rFonts w:asciiTheme="majorHAnsi" w:hAnsiTheme="majorHAnsi"/>
        </w:rPr>
      </w:pPr>
      <w:r w:rsidRPr="00C5021C">
        <w:rPr>
          <w:rFonts w:asciiTheme="majorHAnsi" w:hAnsiTheme="majorHAnsi"/>
        </w:rPr>
        <w:t xml:space="preserve">La signature le 22 février 2016 du contrat de redynamisation des sites de défense de la Polynésie française a marqué le lancement officiel du dispositif au profit de six communes de Tahiti. Après une </w:t>
      </w:r>
      <w:hyperlink r:id="rId10" w:history="1">
        <w:r w:rsidRPr="00C5021C">
          <w:rPr>
            <w:rFonts w:asciiTheme="majorHAnsi" w:hAnsiTheme="majorHAnsi"/>
          </w:rPr>
          <w:t>phase de diagnostic, d’études économique</w:t>
        </w:r>
      </w:hyperlink>
      <w:r w:rsidRPr="00C5021C">
        <w:rPr>
          <w:rFonts w:asciiTheme="majorHAnsi" w:hAnsiTheme="majorHAnsi"/>
        </w:rPr>
        <w:t xml:space="preserve">s et l’établissement d’une stratégie de reconversion et de redynamisation pour chaque commune, les projets à mener sur chacun des sites à céder ont été consignés dans une annexe au contrat avec une estimation financière assortie d’un plan de financement par des fonds de l’Etat (FEI FRED DETR …) et du Pays ou des communes (fonds propres). </w:t>
      </w:r>
    </w:p>
    <w:p w:rsidR="00B97371" w:rsidRPr="00C5021C" w:rsidRDefault="00B97371" w:rsidP="00B97371">
      <w:pPr>
        <w:widowControl w:val="0"/>
        <w:autoSpaceDE w:val="0"/>
        <w:autoSpaceDN w:val="0"/>
        <w:adjustRightInd w:val="0"/>
        <w:jc w:val="both"/>
        <w:rPr>
          <w:rFonts w:asciiTheme="majorHAnsi" w:hAnsiTheme="majorHAnsi" w:cs="Century Schoolbook"/>
        </w:rPr>
      </w:pPr>
    </w:p>
    <w:p w:rsidR="00B97371" w:rsidRPr="00C5021C" w:rsidRDefault="00B97371" w:rsidP="00B97371">
      <w:pPr>
        <w:jc w:val="both"/>
        <w:rPr>
          <w:rFonts w:asciiTheme="majorHAnsi" w:hAnsiTheme="majorHAnsi"/>
        </w:rPr>
      </w:pPr>
      <w:r w:rsidRPr="00C5021C">
        <w:rPr>
          <w:rFonts w:asciiTheme="majorHAnsi" w:hAnsiTheme="majorHAnsi"/>
        </w:rPr>
        <w:t xml:space="preserve">Aujourd’hui, 8 parcelles sur 10 ont fait l’objet d’un acte de transfert de propriété. </w:t>
      </w:r>
    </w:p>
    <w:p w:rsidR="00B97371" w:rsidRPr="00C5021C" w:rsidRDefault="00B97371" w:rsidP="00B97371">
      <w:pPr>
        <w:jc w:val="both"/>
        <w:rPr>
          <w:rFonts w:asciiTheme="majorHAnsi" w:hAnsiTheme="majorHAnsi"/>
        </w:rPr>
      </w:pPr>
    </w:p>
    <w:p w:rsidR="00B97371" w:rsidRPr="00C5021C" w:rsidRDefault="00B97371" w:rsidP="00B97371">
      <w:pPr>
        <w:jc w:val="both"/>
        <w:rPr>
          <w:rFonts w:asciiTheme="majorHAnsi" w:hAnsiTheme="majorHAnsi"/>
        </w:rPr>
      </w:pPr>
      <w:r w:rsidRPr="00C5021C">
        <w:rPr>
          <w:rFonts w:asciiTheme="majorHAnsi" w:hAnsiTheme="majorHAnsi"/>
        </w:rPr>
        <w:t>Pour rappel, l’Etat et le Pays contribuent au financement des projets communaux définis en annexe du contrat-cadre, dans la limite de 80 % des coûts hors taxes.</w:t>
      </w:r>
    </w:p>
    <w:p w:rsidR="00B97371" w:rsidRPr="00C5021C" w:rsidRDefault="00B97371" w:rsidP="00B97371">
      <w:pPr>
        <w:widowControl w:val="0"/>
        <w:autoSpaceDE w:val="0"/>
        <w:autoSpaceDN w:val="0"/>
        <w:adjustRightInd w:val="0"/>
        <w:jc w:val="both"/>
        <w:rPr>
          <w:rFonts w:asciiTheme="majorHAnsi" w:hAnsiTheme="majorHAnsi" w:cs="Century Schoolbook"/>
        </w:rPr>
      </w:pPr>
    </w:p>
    <w:p w:rsidR="00B97371" w:rsidRPr="00C5021C" w:rsidRDefault="00B97371" w:rsidP="00B97371">
      <w:pPr>
        <w:jc w:val="both"/>
        <w:rPr>
          <w:rFonts w:asciiTheme="majorHAnsi" w:hAnsiTheme="majorHAnsi"/>
        </w:rPr>
      </w:pPr>
      <w:r w:rsidRPr="00C5021C">
        <w:rPr>
          <w:rFonts w:asciiTheme="majorHAnsi" w:hAnsiTheme="majorHAnsi"/>
        </w:rPr>
        <w:t xml:space="preserve">Les engagements financiers contractualisés se répartissent ainsi qu’il suit : </w:t>
      </w:r>
    </w:p>
    <w:p w:rsidR="00B97371" w:rsidRPr="00C5021C" w:rsidRDefault="00B97371" w:rsidP="00B97371">
      <w:pPr>
        <w:pStyle w:val="Paragraphedeliste"/>
        <w:numPr>
          <w:ilvl w:val="1"/>
          <w:numId w:val="1"/>
        </w:numPr>
        <w:spacing w:before="240"/>
        <w:ind w:left="709"/>
        <w:jc w:val="both"/>
        <w:rPr>
          <w:rFonts w:asciiTheme="majorHAnsi" w:hAnsiTheme="majorHAnsi"/>
          <w:sz w:val="24"/>
          <w:szCs w:val="24"/>
        </w:rPr>
      </w:pPr>
      <w:r w:rsidRPr="00C5021C">
        <w:rPr>
          <w:rFonts w:asciiTheme="majorHAnsi" w:hAnsiTheme="majorHAnsi"/>
          <w:sz w:val="24"/>
          <w:szCs w:val="24"/>
        </w:rPr>
        <w:t xml:space="preserve">Etat : près de 734.5 millions </w:t>
      </w:r>
      <w:proofErr w:type="spellStart"/>
      <w:r w:rsidRPr="00C5021C">
        <w:rPr>
          <w:rFonts w:asciiTheme="majorHAnsi" w:hAnsiTheme="majorHAnsi"/>
          <w:sz w:val="24"/>
          <w:szCs w:val="24"/>
        </w:rPr>
        <w:t>Fcfp</w:t>
      </w:r>
      <w:proofErr w:type="spellEnd"/>
      <w:r w:rsidRPr="00C5021C">
        <w:rPr>
          <w:rFonts w:asciiTheme="majorHAnsi" w:hAnsiTheme="majorHAnsi"/>
          <w:sz w:val="24"/>
          <w:szCs w:val="24"/>
        </w:rPr>
        <w:t xml:space="preserve"> (FRED+FEI+DETR)</w:t>
      </w:r>
    </w:p>
    <w:p w:rsidR="00B97371" w:rsidRPr="00C5021C" w:rsidRDefault="00B97371" w:rsidP="00B97371">
      <w:pPr>
        <w:pStyle w:val="Paragraphedeliste"/>
        <w:numPr>
          <w:ilvl w:val="1"/>
          <w:numId w:val="1"/>
        </w:numPr>
        <w:spacing w:before="240"/>
        <w:ind w:left="709"/>
        <w:jc w:val="both"/>
        <w:rPr>
          <w:rFonts w:asciiTheme="majorHAnsi" w:hAnsiTheme="majorHAnsi"/>
          <w:sz w:val="24"/>
          <w:szCs w:val="24"/>
        </w:rPr>
      </w:pPr>
      <w:r w:rsidRPr="00C5021C">
        <w:rPr>
          <w:rFonts w:asciiTheme="majorHAnsi" w:hAnsiTheme="majorHAnsi"/>
          <w:sz w:val="24"/>
          <w:szCs w:val="24"/>
        </w:rPr>
        <w:t xml:space="preserve">Pays : 500 millions </w:t>
      </w:r>
      <w:proofErr w:type="spellStart"/>
      <w:r w:rsidRPr="00C5021C">
        <w:rPr>
          <w:rFonts w:asciiTheme="majorHAnsi" w:hAnsiTheme="majorHAnsi"/>
          <w:sz w:val="24"/>
          <w:szCs w:val="24"/>
        </w:rPr>
        <w:t>Fcfp</w:t>
      </w:r>
      <w:proofErr w:type="spellEnd"/>
    </w:p>
    <w:p w:rsidR="00B97371" w:rsidRPr="00C5021C" w:rsidRDefault="00B97371" w:rsidP="00B97371">
      <w:pPr>
        <w:pStyle w:val="Paragraphedeliste"/>
        <w:numPr>
          <w:ilvl w:val="1"/>
          <w:numId w:val="1"/>
        </w:numPr>
        <w:spacing w:before="240"/>
        <w:ind w:left="709"/>
        <w:jc w:val="both"/>
        <w:rPr>
          <w:rFonts w:asciiTheme="majorHAnsi" w:hAnsiTheme="majorHAnsi"/>
          <w:sz w:val="24"/>
          <w:szCs w:val="24"/>
        </w:rPr>
      </w:pPr>
      <w:r w:rsidRPr="00C5021C">
        <w:rPr>
          <w:rFonts w:asciiTheme="majorHAnsi" w:hAnsiTheme="majorHAnsi"/>
          <w:sz w:val="24"/>
          <w:szCs w:val="24"/>
        </w:rPr>
        <w:t>Participation des communes à hauteur de 20 % du coût de leur projet HT et prise en charge de la TVA.</w:t>
      </w:r>
    </w:p>
    <w:p w:rsidR="00B97371" w:rsidRPr="00C5021C" w:rsidRDefault="00B97371" w:rsidP="00B97371">
      <w:pPr>
        <w:jc w:val="both"/>
        <w:rPr>
          <w:rFonts w:asciiTheme="majorHAnsi" w:hAnsiTheme="majorHAnsi"/>
        </w:rPr>
      </w:pPr>
      <w:r w:rsidRPr="00C5021C">
        <w:rPr>
          <w:rFonts w:asciiTheme="majorHAnsi" w:hAnsiTheme="majorHAnsi"/>
        </w:rPr>
        <w:t xml:space="preserve">Au 21 août </w:t>
      </w:r>
      <w:r w:rsidR="0002670F" w:rsidRPr="00C5021C">
        <w:rPr>
          <w:rFonts w:asciiTheme="majorHAnsi" w:hAnsiTheme="majorHAnsi"/>
        </w:rPr>
        <w:t>dernier</w:t>
      </w:r>
      <w:r w:rsidRPr="00C5021C">
        <w:rPr>
          <w:rFonts w:asciiTheme="majorHAnsi" w:hAnsiTheme="majorHAnsi"/>
        </w:rPr>
        <w:t xml:space="preserve">, l’Etat et le Pays ont engagé 283.264.789 </w:t>
      </w:r>
      <w:proofErr w:type="spellStart"/>
      <w:r w:rsidRPr="00C5021C">
        <w:rPr>
          <w:rFonts w:asciiTheme="majorHAnsi" w:hAnsiTheme="majorHAnsi"/>
        </w:rPr>
        <w:t>Fcfp</w:t>
      </w:r>
      <w:proofErr w:type="spellEnd"/>
      <w:r w:rsidRPr="00C5021C">
        <w:rPr>
          <w:rFonts w:asciiTheme="majorHAnsi" w:hAnsiTheme="majorHAnsi"/>
        </w:rPr>
        <w:t xml:space="preserve"> de subventions d’investissement représentant 23 % de l’enveloppe prévue au contrat. Le contrat arrive à échéance le 22 février </w:t>
      </w:r>
      <w:r w:rsidR="0002670F" w:rsidRPr="00C5021C">
        <w:rPr>
          <w:rFonts w:asciiTheme="majorHAnsi" w:hAnsiTheme="majorHAnsi"/>
        </w:rPr>
        <w:t>prochain</w:t>
      </w:r>
      <w:r w:rsidRPr="00C5021C">
        <w:rPr>
          <w:rFonts w:asciiTheme="majorHAnsi" w:hAnsiTheme="majorHAnsi"/>
        </w:rPr>
        <w:t>.</w:t>
      </w:r>
    </w:p>
    <w:p w:rsidR="00B97371" w:rsidRPr="00C5021C" w:rsidRDefault="00B97371" w:rsidP="00B97371">
      <w:pPr>
        <w:jc w:val="both"/>
        <w:rPr>
          <w:rFonts w:asciiTheme="majorHAnsi" w:hAnsiTheme="majorHAnsi"/>
        </w:rPr>
      </w:pPr>
      <w:r w:rsidRPr="00C5021C">
        <w:rPr>
          <w:rFonts w:asciiTheme="majorHAnsi" w:hAnsiTheme="majorHAnsi"/>
        </w:rPr>
        <w:lastRenderedPageBreak/>
        <w:t xml:space="preserve">Le premier enjeu pour les communes : Engager avant le terme final du CRSD et au maximum, l’ensemble des moyens dédiés par l’Etat et le Pays tels que prévus au contrat. </w:t>
      </w:r>
    </w:p>
    <w:p w:rsidR="00B97371" w:rsidRPr="00C5021C" w:rsidRDefault="00B97371" w:rsidP="00B97371">
      <w:pPr>
        <w:jc w:val="both"/>
        <w:rPr>
          <w:rFonts w:asciiTheme="majorHAnsi" w:hAnsiTheme="majorHAnsi"/>
        </w:rPr>
      </w:pPr>
    </w:p>
    <w:p w:rsidR="00B97371" w:rsidRPr="00C5021C" w:rsidRDefault="00B97371" w:rsidP="00B97371">
      <w:pPr>
        <w:jc w:val="both"/>
        <w:rPr>
          <w:rFonts w:asciiTheme="majorHAnsi" w:hAnsiTheme="majorHAnsi"/>
        </w:rPr>
      </w:pPr>
      <w:r w:rsidRPr="00C5021C">
        <w:rPr>
          <w:rFonts w:asciiTheme="majorHAnsi" w:hAnsiTheme="majorHAnsi"/>
        </w:rPr>
        <w:t>L’achèvement des aménagements pourra se poursuivre au-delà de l’échéance du contrat.</w:t>
      </w:r>
    </w:p>
    <w:p w:rsidR="00B97371" w:rsidRPr="00C5021C" w:rsidRDefault="00B97371" w:rsidP="00B97371">
      <w:pPr>
        <w:jc w:val="both"/>
        <w:rPr>
          <w:rFonts w:asciiTheme="majorHAnsi" w:hAnsiTheme="majorHAnsi"/>
        </w:rPr>
      </w:pPr>
    </w:p>
    <w:p w:rsidR="00B97371" w:rsidRPr="00C5021C" w:rsidRDefault="00B97371" w:rsidP="00B97371">
      <w:pPr>
        <w:jc w:val="both"/>
        <w:rPr>
          <w:rFonts w:asciiTheme="majorHAnsi" w:hAnsiTheme="majorHAnsi"/>
        </w:rPr>
      </w:pPr>
      <w:r w:rsidRPr="00C5021C">
        <w:rPr>
          <w:rFonts w:asciiTheme="majorHAnsi" w:hAnsiTheme="majorHAnsi"/>
        </w:rPr>
        <w:t>Les instances métropolitaines sont attentives à l’évolution du niveau d’engagement des enveloppes financières du contrat et le second enjeu de 2020, pour la Polynésie française et les communes concernées, sera celui d’asseoir le principe d’une prorogation malgré le faible niveau d’engagement actuel (lequel s’explique) et ce, pour une durée supérieure à l’année prévue au contrat (2 années supplémentaires seront défendues par le Pays).</w:t>
      </w:r>
    </w:p>
    <w:p w:rsidR="00B97371" w:rsidRPr="00C5021C" w:rsidRDefault="00B97371" w:rsidP="00B97371">
      <w:pPr>
        <w:jc w:val="both"/>
        <w:rPr>
          <w:rFonts w:asciiTheme="majorHAnsi" w:hAnsiTheme="majorHAnsi"/>
        </w:rPr>
      </w:pPr>
    </w:p>
    <w:p w:rsidR="00B97371" w:rsidRPr="00C5021C" w:rsidRDefault="00B97371" w:rsidP="00B97371">
      <w:pPr>
        <w:jc w:val="both"/>
        <w:rPr>
          <w:rFonts w:asciiTheme="majorHAnsi" w:hAnsiTheme="majorHAnsi"/>
        </w:rPr>
      </w:pPr>
      <w:r w:rsidRPr="00C5021C">
        <w:rPr>
          <w:rFonts w:asciiTheme="majorHAnsi" w:hAnsiTheme="majorHAnsi"/>
        </w:rPr>
        <w:t>Par ailleurs, les communes de Pirae et de Papeete n’ont pas encore été rendues propriétaires des parcelles à libérer par les services des armées.</w:t>
      </w:r>
    </w:p>
    <w:p w:rsidR="00B97371" w:rsidRPr="00C5021C" w:rsidRDefault="00B97371" w:rsidP="00B97371">
      <w:pPr>
        <w:jc w:val="both"/>
        <w:rPr>
          <w:rFonts w:asciiTheme="majorHAnsi" w:hAnsiTheme="majorHAnsi"/>
        </w:rPr>
      </w:pPr>
    </w:p>
    <w:p w:rsidR="00B97371" w:rsidRPr="00C5021C" w:rsidRDefault="00B97371" w:rsidP="00B97371">
      <w:pPr>
        <w:jc w:val="both"/>
        <w:rPr>
          <w:rFonts w:asciiTheme="majorHAnsi" w:hAnsiTheme="majorHAnsi"/>
        </w:rPr>
      </w:pPr>
      <w:r w:rsidRPr="00C5021C">
        <w:rPr>
          <w:rFonts w:asciiTheme="majorHAnsi" w:hAnsiTheme="majorHAnsi"/>
        </w:rPr>
        <w:t>Ainsi, la conception et la réalisation d’une stratégie de développement tout comme la réussite pleine et entière des projets y dédiés appellent des délais qui doivent être à la hauteur des forts enjeux.</w:t>
      </w:r>
    </w:p>
    <w:p w:rsidR="00B97371" w:rsidRPr="00C5021C" w:rsidRDefault="00B97371" w:rsidP="00B97371">
      <w:pPr>
        <w:jc w:val="both"/>
        <w:rPr>
          <w:rFonts w:asciiTheme="majorHAnsi" w:hAnsiTheme="majorHAnsi"/>
        </w:rPr>
      </w:pPr>
    </w:p>
    <w:p w:rsidR="00B97371" w:rsidRPr="00C5021C" w:rsidRDefault="00B97371" w:rsidP="00B97371">
      <w:pPr>
        <w:jc w:val="both"/>
        <w:rPr>
          <w:rFonts w:asciiTheme="majorHAnsi" w:hAnsiTheme="majorHAnsi"/>
        </w:rPr>
      </w:pPr>
      <w:r w:rsidRPr="00C5021C">
        <w:rPr>
          <w:rFonts w:asciiTheme="majorHAnsi" w:hAnsiTheme="majorHAnsi"/>
        </w:rPr>
        <w:t>Cet objectif devrait être largement partagé par l’ensemble des instances publiques décisionnelles notamment nationales.</w:t>
      </w:r>
    </w:p>
    <w:p w:rsidR="00B97371" w:rsidRPr="00C5021C" w:rsidRDefault="00B97371" w:rsidP="00B97371">
      <w:pPr>
        <w:pStyle w:val="-LettreAffairesuivieGEDA"/>
        <w:numPr>
          <w:ilvl w:val="0"/>
          <w:numId w:val="0"/>
        </w:numPr>
        <w:spacing w:before="120"/>
        <w:ind w:right="0" w:firstLine="851"/>
        <w:jc w:val="both"/>
        <w:rPr>
          <w:rFonts w:asciiTheme="majorHAnsi" w:eastAsiaTheme="minorHAnsi" w:hAnsiTheme="majorHAnsi" w:cstheme="minorBidi"/>
          <w:i w:val="0"/>
          <w:iCs w:val="0"/>
          <w:noProof w:val="0"/>
          <w:sz w:val="22"/>
          <w:szCs w:val="22"/>
          <w:lang w:eastAsia="en-US"/>
        </w:rPr>
      </w:pPr>
    </w:p>
    <w:p w:rsidR="00B97371" w:rsidRPr="00C5021C" w:rsidRDefault="00B97371" w:rsidP="00B97371">
      <w:pPr>
        <w:jc w:val="both"/>
        <w:rPr>
          <w:rFonts w:asciiTheme="majorHAnsi" w:hAnsiTheme="majorHAnsi"/>
          <w:b/>
        </w:rPr>
      </w:pPr>
      <w:r w:rsidRPr="00C5021C">
        <w:rPr>
          <w:rFonts w:asciiTheme="majorHAnsi" w:hAnsiTheme="majorHAnsi"/>
          <w:b/>
        </w:rPr>
        <w:t>Soutien aux municipalités : subventions de la Délégation pour le développement des communes</w:t>
      </w:r>
    </w:p>
    <w:p w:rsidR="00B97371" w:rsidRPr="00C5021C" w:rsidRDefault="00B97371" w:rsidP="00B97371">
      <w:pPr>
        <w:jc w:val="both"/>
        <w:rPr>
          <w:rFonts w:asciiTheme="majorHAnsi" w:hAnsiTheme="majorHAnsi"/>
          <w:b/>
        </w:rPr>
      </w:pPr>
    </w:p>
    <w:p w:rsidR="00B97371" w:rsidRPr="00C5021C" w:rsidRDefault="000338AD" w:rsidP="00B97371">
      <w:pPr>
        <w:jc w:val="both"/>
        <w:rPr>
          <w:rFonts w:asciiTheme="majorHAnsi" w:hAnsiTheme="majorHAnsi"/>
        </w:rPr>
      </w:pPr>
      <w:r w:rsidRPr="00C5021C">
        <w:rPr>
          <w:rFonts w:asciiTheme="majorHAnsi" w:hAnsiTheme="majorHAnsi"/>
        </w:rPr>
        <w:t>Le C</w:t>
      </w:r>
      <w:r w:rsidR="00B97371" w:rsidRPr="00C5021C">
        <w:rPr>
          <w:rFonts w:asciiTheme="majorHAnsi" w:hAnsiTheme="majorHAnsi"/>
        </w:rPr>
        <w:t>onseil des ministres a validé 2 nouvelles subventions d’opérations d’investissement communales importantes.</w:t>
      </w:r>
    </w:p>
    <w:p w:rsidR="00B97371" w:rsidRPr="00C5021C" w:rsidRDefault="00B97371" w:rsidP="00B97371">
      <w:pPr>
        <w:jc w:val="both"/>
        <w:rPr>
          <w:rFonts w:asciiTheme="majorHAnsi" w:hAnsiTheme="majorHAnsi"/>
        </w:rPr>
      </w:pPr>
    </w:p>
    <w:p w:rsidR="00B97371" w:rsidRPr="00C5021C" w:rsidRDefault="00B97371" w:rsidP="00B97371">
      <w:pPr>
        <w:jc w:val="both"/>
        <w:rPr>
          <w:rFonts w:asciiTheme="majorHAnsi" w:hAnsiTheme="majorHAnsi"/>
        </w:rPr>
      </w:pPr>
      <w:r w:rsidRPr="00C5021C">
        <w:rPr>
          <w:rFonts w:asciiTheme="majorHAnsi" w:hAnsiTheme="majorHAnsi"/>
        </w:rPr>
        <w:t>Ces opérations représentent un investissement total cumulé de près de 231</w:t>
      </w:r>
      <w:r w:rsidR="000338AD" w:rsidRPr="00C5021C">
        <w:rPr>
          <w:rFonts w:asciiTheme="majorHAnsi" w:hAnsiTheme="majorHAnsi"/>
        </w:rPr>
        <w:t xml:space="preserve"> millions </w:t>
      </w:r>
      <w:proofErr w:type="spellStart"/>
      <w:r w:rsidR="000338AD" w:rsidRPr="00C5021C">
        <w:rPr>
          <w:rFonts w:asciiTheme="majorHAnsi" w:hAnsiTheme="majorHAnsi"/>
        </w:rPr>
        <w:t>Fcfp</w:t>
      </w:r>
      <w:proofErr w:type="spellEnd"/>
      <w:r w:rsidR="000338AD" w:rsidRPr="00C5021C">
        <w:rPr>
          <w:rFonts w:asciiTheme="majorHAnsi" w:hAnsiTheme="majorHAnsi"/>
        </w:rPr>
        <w:t xml:space="preserve"> </w:t>
      </w:r>
      <w:r w:rsidRPr="00C5021C">
        <w:rPr>
          <w:rFonts w:asciiTheme="majorHAnsi" w:hAnsiTheme="majorHAnsi"/>
        </w:rPr>
        <w:t>et bénéficient d’un concours de la Polynésie française à concurrence de près de 110</w:t>
      </w:r>
      <w:r w:rsidR="000338AD" w:rsidRPr="00C5021C">
        <w:rPr>
          <w:rFonts w:asciiTheme="majorHAnsi" w:hAnsiTheme="majorHAnsi"/>
        </w:rPr>
        <w:t xml:space="preserve"> millions </w:t>
      </w:r>
      <w:proofErr w:type="spellStart"/>
      <w:r w:rsidR="000338AD" w:rsidRPr="00C5021C">
        <w:rPr>
          <w:rFonts w:asciiTheme="majorHAnsi" w:hAnsiTheme="majorHAnsi"/>
        </w:rPr>
        <w:t>Fcfp</w:t>
      </w:r>
      <w:proofErr w:type="spellEnd"/>
      <w:r w:rsidRPr="00C5021C">
        <w:rPr>
          <w:rFonts w:asciiTheme="majorHAnsi" w:hAnsiTheme="majorHAnsi"/>
        </w:rPr>
        <w:t>, soit environ 47.6%.</w:t>
      </w:r>
    </w:p>
    <w:p w:rsidR="00B97371" w:rsidRPr="00C5021C" w:rsidRDefault="00B97371" w:rsidP="00B97371">
      <w:pPr>
        <w:jc w:val="both"/>
        <w:rPr>
          <w:rFonts w:asciiTheme="majorHAnsi" w:hAnsiTheme="majorHAnsi"/>
        </w:rPr>
      </w:pPr>
    </w:p>
    <w:p w:rsidR="00B97371" w:rsidRPr="00C5021C" w:rsidRDefault="00B97371" w:rsidP="00B97371">
      <w:pPr>
        <w:jc w:val="both"/>
        <w:rPr>
          <w:rFonts w:asciiTheme="majorHAnsi" w:hAnsiTheme="majorHAnsi"/>
        </w:rPr>
      </w:pPr>
      <w:r w:rsidRPr="00C5021C">
        <w:rPr>
          <w:rFonts w:asciiTheme="majorHAnsi" w:hAnsiTheme="majorHAnsi"/>
        </w:rPr>
        <w:t xml:space="preserve">Il s’agit de deux investissements primordiaux pour les communes de </w:t>
      </w:r>
      <w:proofErr w:type="spellStart"/>
      <w:r w:rsidRPr="00C5021C">
        <w:rPr>
          <w:rFonts w:asciiTheme="majorHAnsi" w:hAnsiTheme="majorHAnsi"/>
        </w:rPr>
        <w:t>Mahina</w:t>
      </w:r>
      <w:proofErr w:type="spellEnd"/>
      <w:r w:rsidRPr="00C5021C">
        <w:rPr>
          <w:rFonts w:asciiTheme="majorHAnsi" w:hAnsiTheme="majorHAnsi"/>
        </w:rPr>
        <w:t xml:space="preserve"> et de </w:t>
      </w:r>
      <w:proofErr w:type="spellStart"/>
      <w:r w:rsidRPr="00C5021C">
        <w:rPr>
          <w:rFonts w:asciiTheme="majorHAnsi" w:hAnsiTheme="majorHAnsi"/>
        </w:rPr>
        <w:t>Hao</w:t>
      </w:r>
      <w:proofErr w:type="spellEnd"/>
      <w:r w:rsidRPr="00C5021C">
        <w:rPr>
          <w:rFonts w:asciiTheme="majorHAnsi" w:hAnsiTheme="majorHAnsi"/>
        </w:rPr>
        <w:t xml:space="preserve"> dans des secteurs structurants : </w:t>
      </w:r>
    </w:p>
    <w:p w:rsidR="00B97371" w:rsidRPr="00C5021C" w:rsidRDefault="00B97371" w:rsidP="00B97371">
      <w:pPr>
        <w:jc w:val="both"/>
        <w:rPr>
          <w:rFonts w:asciiTheme="majorHAnsi" w:hAnsiTheme="majorHAnsi"/>
        </w:rPr>
      </w:pPr>
    </w:p>
    <w:p w:rsidR="00B97371" w:rsidRPr="00C5021C" w:rsidRDefault="00B97371" w:rsidP="00B97371">
      <w:pPr>
        <w:pStyle w:val="Paragraphedeliste"/>
        <w:numPr>
          <w:ilvl w:val="0"/>
          <w:numId w:val="32"/>
        </w:numPr>
        <w:spacing w:after="120"/>
        <w:ind w:left="1134" w:hanging="283"/>
        <w:jc w:val="both"/>
        <w:rPr>
          <w:rFonts w:asciiTheme="majorHAnsi" w:hAnsiTheme="majorHAnsi"/>
          <w:sz w:val="24"/>
          <w:szCs w:val="24"/>
        </w:rPr>
      </w:pPr>
      <w:r w:rsidRPr="00C5021C">
        <w:rPr>
          <w:rFonts w:asciiTheme="majorHAnsi" w:hAnsiTheme="majorHAnsi"/>
          <w:sz w:val="24"/>
          <w:szCs w:val="24"/>
        </w:rPr>
        <w:t xml:space="preserve">Travaux de pose de 431 compteurs d'eau individuels et de mise aux normes des réseaux sur les secteurs prioritaires de la commune </w:t>
      </w:r>
      <w:proofErr w:type="spellStart"/>
      <w:r w:rsidRPr="00C5021C">
        <w:rPr>
          <w:rFonts w:asciiTheme="majorHAnsi" w:hAnsiTheme="majorHAnsi"/>
          <w:sz w:val="24"/>
          <w:szCs w:val="24"/>
        </w:rPr>
        <w:t>Mahina</w:t>
      </w:r>
      <w:proofErr w:type="spellEnd"/>
      <w:r w:rsidRPr="00C5021C">
        <w:rPr>
          <w:rFonts w:asciiTheme="majorHAnsi" w:hAnsiTheme="majorHAnsi"/>
          <w:sz w:val="24"/>
          <w:szCs w:val="24"/>
        </w:rPr>
        <w:t xml:space="preserve"> (secteurs de </w:t>
      </w:r>
      <w:proofErr w:type="spellStart"/>
      <w:r w:rsidRPr="00C5021C">
        <w:rPr>
          <w:rFonts w:asciiTheme="majorHAnsi" w:hAnsiTheme="majorHAnsi"/>
          <w:sz w:val="24"/>
          <w:szCs w:val="24"/>
        </w:rPr>
        <w:t>Supermahina</w:t>
      </w:r>
      <w:proofErr w:type="spellEnd"/>
      <w:r w:rsidRPr="00C5021C">
        <w:rPr>
          <w:rFonts w:asciiTheme="majorHAnsi" w:hAnsiTheme="majorHAnsi"/>
          <w:sz w:val="24"/>
          <w:szCs w:val="24"/>
        </w:rPr>
        <w:t xml:space="preserve">, </w:t>
      </w:r>
      <w:proofErr w:type="spellStart"/>
      <w:r w:rsidRPr="00C5021C">
        <w:rPr>
          <w:rFonts w:asciiTheme="majorHAnsi" w:hAnsiTheme="majorHAnsi"/>
          <w:sz w:val="24"/>
          <w:szCs w:val="24"/>
        </w:rPr>
        <w:t>Mahinarama</w:t>
      </w:r>
      <w:proofErr w:type="spellEnd"/>
      <w:r w:rsidRPr="00C5021C">
        <w:rPr>
          <w:rFonts w:asciiTheme="majorHAnsi" w:hAnsiTheme="majorHAnsi"/>
          <w:sz w:val="24"/>
          <w:szCs w:val="24"/>
        </w:rPr>
        <w:t xml:space="preserve"> et </w:t>
      </w:r>
      <w:proofErr w:type="spellStart"/>
      <w:r w:rsidRPr="00C5021C">
        <w:rPr>
          <w:rFonts w:asciiTheme="majorHAnsi" w:hAnsiTheme="majorHAnsi"/>
          <w:sz w:val="24"/>
          <w:szCs w:val="24"/>
        </w:rPr>
        <w:t>Orofara</w:t>
      </w:r>
      <w:proofErr w:type="spellEnd"/>
      <w:r w:rsidRPr="00C5021C">
        <w:rPr>
          <w:rFonts w:asciiTheme="majorHAnsi" w:hAnsiTheme="majorHAnsi"/>
          <w:sz w:val="24"/>
          <w:szCs w:val="24"/>
        </w:rPr>
        <w:t xml:space="preserve">), auxquels le Pays contribue pour un montant de 12 millions </w:t>
      </w:r>
      <w:proofErr w:type="spellStart"/>
      <w:r w:rsidR="000338AD" w:rsidRPr="00C5021C">
        <w:rPr>
          <w:rFonts w:asciiTheme="majorHAnsi" w:hAnsiTheme="majorHAnsi"/>
          <w:sz w:val="24"/>
          <w:szCs w:val="24"/>
        </w:rPr>
        <w:t>Fcfp</w:t>
      </w:r>
      <w:proofErr w:type="spellEnd"/>
      <w:r w:rsidR="000338AD" w:rsidRPr="00C5021C">
        <w:rPr>
          <w:rFonts w:asciiTheme="majorHAnsi" w:hAnsiTheme="majorHAnsi"/>
          <w:sz w:val="24"/>
          <w:szCs w:val="24"/>
        </w:rPr>
        <w:t xml:space="preserve"> </w:t>
      </w:r>
      <w:r w:rsidRPr="00C5021C">
        <w:rPr>
          <w:rFonts w:asciiTheme="majorHAnsi" w:hAnsiTheme="majorHAnsi"/>
          <w:sz w:val="24"/>
          <w:szCs w:val="24"/>
        </w:rPr>
        <w:t xml:space="preserve">sur un montant total de 63.228.020 </w:t>
      </w:r>
      <w:proofErr w:type="spellStart"/>
      <w:r w:rsidR="000338AD" w:rsidRPr="00C5021C">
        <w:rPr>
          <w:rFonts w:asciiTheme="majorHAnsi" w:hAnsiTheme="majorHAnsi"/>
          <w:sz w:val="24"/>
          <w:szCs w:val="24"/>
        </w:rPr>
        <w:t>Fcfp</w:t>
      </w:r>
      <w:proofErr w:type="spellEnd"/>
      <w:r w:rsidRPr="00C5021C">
        <w:rPr>
          <w:rFonts w:asciiTheme="majorHAnsi" w:hAnsiTheme="majorHAnsi"/>
          <w:sz w:val="24"/>
          <w:szCs w:val="24"/>
        </w:rPr>
        <w:t>. Ce projet permettra notamment à la commune d’optimiser sa gestion de l’eau pour améliorer autant que possible le service public rendu à  ses usagers ;</w:t>
      </w:r>
    </w:p>
    <w:p w:rsidR="000338AD" w:rsidRPr="00C5021C" w:rsidRDefault="000338AD" w:rsidP="000338AD">
      <w:pPr>
        <w:pStyle w:val="Paragraphedeliste"/>
        <w:spacing w:after="120"/>
        <w:ind w:left="1134"/>
        <w:jc w:val="both"/>
        <w:rPr>
          <w:rFonts w:asciiTheme="majorHAnsi" w:hAnsiTheme="majorHAnsi"/>
          <w:sz w:val="24"/>
          <w:szCs w:val="24"/>
        </w:rPr>
      </w:pPr>
    </w:p>
    <w:p w:rsidR="00B97371" w:rsidRPr="00C5021C" w:rsidRDefault="00B97371" w:rsidP="00B97371">
      <w:pPr>
        <w:pStyle w:val="Paragraphedeliste"/>
        <w:numPr>
          <w:ilvl w:val="0"/>
          <w:numId w:val="32"/>
        </w:numPr>
        <w:spacing w:before="240" w:after="120"/>
        <w:ind w:left="1134" w:hanging="283"/>
        <w:jc w:val="both"/>
        <w:rPr>
          <w:rFonts w:asciiTheme="majorHAnsi" w:hAnsiTheme="majorHAnsi"/>
          <w:sz w:val="24"/>
          <w:szCs w:val="24"/>
        </w:rPr>
      </w:pPr>
      <w:r w:rsidRPr="00C5021C">
        <w:rPr>
          <w:rFonts w:asciiTheme="majorHAnsi" w:hAnsiTheme="majorHAnsi"/>
          <w:sz w:val="24"/>
          <w:szCs w:val="24"/>
        </w:rPr>
        <w:t xml:space="preserve">Construction de la salle polyvalente de </w:t>
      </w:r>
      <w:proofErr w:type="spellStart"/>
      <w:r w:rsidRPr="00C5021C">
        <w:rPr>
          <w:rFonts w:asciiTheme="majorHAnsi" w:hAnsiTheme="majorHAnsi"/>
          <w:sz w:val="24"/>
          <w:szCs w:val="24"/>
        </w:rPr>
        <w:t>Hao</w:t>
      </w:r>
      <w:proofErr w:type="spellEnd"/>
      <w:r w:rsidRPr="00C5021C">
        <w:rPr>
          <w:rFonts w:asciiTheme="majorHAnsi" w:hAnsiTheme="majorHAnsi"/>
          <w:sz w:val="24"/>
          <w:szCs w:val="24"/>
        </w:rPr>
        <w:t xml:space="preserve"> soutenue par le Pays à hauteur de 97.829.809 </w:t>
      </w:r>
      <w:proofErr w:type="spellStart"/>
      <w:r w:rsidR="000338AD" w:rsidRPr="00C5021C">
        <w:rPr>
          <w:rFonts w:asciiTheme="majorHAnsi" w:hAnsiTheme="majorHAnsi"/>
          <w:sz w:val="24"/>
          <w:szCs w:val="24"/>
        </w:rPr>
        <w:t>Fcfp</w:t>
      </w:r>
      <w:proofErr w:type="spellEnd"/>
      <w:r w:rsidR="000338AD" w:rsidRPr="00C5021C">
        <w:rPr>
          <w:rFonts w:asciiTheme="majorHAnsi" w:hAnsiTheme="majorHAnsi"/>
          <w:sz w:val="24"/>
          <w:szCs w:val="24"/>
        </w:rPr>
        <w:t xml:space="preserve"> </w:t>
      </w:r>
      <w:r w:rsidRPr="00C5021C">
        <w:rPr>
          <w:rFonts w:asciiTheme="majorHAnsi" w:hAnsiTheme="majorHAnsi"/>
          <w:sz w:val="24"/>
          <w:szCs w:val="24"/>
        </w:rPr>
        <w:t xml:space="preserve">pour un coût total de 167.468.580 </w:t>
      </w:r>
      <w:proofErr w:type="spellStart"/>
      <w:r w:rsidR="000338AD" w:rsidRPr="00C5021C">
        <w:rPr>
          <w:rFonts w:asciiTheme="majorHAnsi" w:hAnsiTheme="majorHAnsi"/>
          <w:sz w:val="24"/>
          <w:szCs w:val="24"/>
        </w:rPr>
        <w:t>Fcfp</w:t>
      </w:r>
      <w:proofErr w:type="spellEnd"/>
      <w:r w:rsidRPr="00C5021C">
        <w:rPr>
          <w:rFonts w:asciiTheme="majorHAnsi" w:hAnsiTheme="majorHAnsi"/>
          <w:sz w:val="24"/>
          <w:szCs w:val="24"/>
        </w:rPr>
        <w:t xml:space="preserve">. Cette nouvelle structure permettra aux enfants de pratiquer diverses activités scolaires et extra scolaires dans de bonnes conditions climatiques et en toute sécurité. Le </w:t>
      </w:r>
      <w:r w:rsidRPr="00C5021C">
        <w:rPr>
          <w:rFonts w:asciiTheme="majorHAnsi" w:hAnsiTheme="majorHAnsi"/>
          <w:sz w:val="24"/>
          <w:szCs w:val="24"/>
        </w:rPr>
        <w:lastRenderedPageBreak/>
        <w:t>site permettra également d’accueillir des évènements tels que des spectacles culturels pour promouvoir les échanges et rassembler les habitants de la commune. Ce projet répond à la grande volonté du maire de donner vie à sa commune en offrant des espaces de loisirs aux familles ainsi qu’aux jeunes de l’île.</w:t>
      </w:r>
    </w:p>
    <w:p w:rsidR="00874293" w:rsidRPr="00C5021C" w:rsidRDefault="00874293" w:rsidP="00874293">
      <w:pPr>
        <w:spacing w:before="240" w:after="120"/>
        <w:jc w:val="both"/>
        <w:rPr>
          <w:rFonts w:asciiTheme="majorHAnsi" w:hAnsiTheme="majorHAnsi"/>
        </w:rPr>
      </w:pPr>
    </w:p>
    <w:p w:rsidR="00874293" w:rsidRPr="00C5021C" w:rsidRDefault="00874293" w:rsidP="00874293">
      <w:pPr>
        <w:pStyle w:val="-LettreTexteGEDA"/>
        <w:ind w:firstLine="0"/>
        <w:rPr>
          <w:rFonts w:asciiTheme="majorHAnsi" w:hAnsiTheme="majorHAnsi"/>
          <w:b/>
          <w:bCs/>
        </w:rPr>
      </w:pPr>
      <w:r w:rsidRPr="00C5021C">
        <w:rPr>
          <w:rFonts w:asciiTheme="majorHAnsi" w:hAnsiTheme="majorHAnsi"/>
          <w:b/>
          <w:bCs/>
        </w:rPr>
        <w:t>Création de la Délégation à l’Analyse et à la Prospective (DAP)</w:t>
      </w:r>
    </w:p>
    <w:p w:rsidR="00874293" w:rsidRPr="00C5021C" w:rsidRDefault="00874293" w:rsidP="00874293">
      <w:pPr>
        <w:pStyle w:val="-LettreObjetGEDA"/>
        <w:tabs>
          <w:tab w:val="left" w:pos="709"/>
        </w:tabs>
        <w:ind w:left="0" w:firstLine="0"/>
        <w:rPr>
          <w:rFonts w:asciiTheme="majorHAnsi" w:hAnsiTheme="majorHAnsi"/>
        </w:rPr>
      </w:pPr>
      <w:r w:rsidRPr="00C5021C">
        <w:rPr>
          <w:rFonts w:asciiTheme="majorHAnsi" w:hAnsiTheme="majorHAnsi"/>
        </w:rPr>
        <w:t>Le Conseil des ministres a acté la création de la délégation à l’analyse et à la prospective (DAP).</w:t>
      </w:r>
    </w:p>
    <w:p w:rsidR="00874293" w:rsidRPr="00C5021C" w:rsidRDefault="00874293" w:rsidP="00874293">
      <w:pPr>
        <w:pStyle w:val="-LettreSuiteORefPJGEDA"/>
        <w:rPr>
          <w:rFonts w:asciiTheme="majorHAnsi" w:hAnsiTheme="majorHAnsi"/>
        </w:rPr>
      </w:pPr>
    </w:p>
    <w:p w:rsidR="00874293" w:rsidRPr="00C5021C" w:rsidRDefault="00874293" w:rsidP="00874293">
      <w:pPr>
        <w:pStyle w:val="-LettreSuiteORefPJGEDA"/>
        <w:ind w:left="0"/>
        <w:rPr>
          <w:rFonts w:asciiTheme="majorHAnsi" w:hAnsiTheme="majorHAnsi"/>
        </w:rPr>
      </w:pPr>
      <w:r w:rsidRPr="00C5021C">
        <w:rPr>
          <w:rFonts w:asciiTheme="majorHAnsi" w:hAnsiTheme="majorHAnsi"/>
        </w:rPr>
        <w:t>Les principales missions de la DAP sont :</w:t>
      </w:r>
    </w:p>
    <w:p w:rsidR="00874293" w:rsidRPr="00C5021C" w:rsidRDefault="00874293" w:rsidP="00874293">
      <w:pPr>
        <w:pStyle w:val="-LettreTexteGEDA"/>
        <w:numPr>
          <w:ilvl w:val="0"/>
          <w:numId w:val="33"/>
        </w:numPr>
        <w:textAlignment w:val="auto"/>
        <w:rPr>
          <w:rFonts w:asciiTheme="majorHAnsi" w:hAnsiTheme="majorHAnsi"/>
        </w:rPr>
      </w:pPr>
      <w:r w:rsidRPr="00C5021C">
        <w:rPr>
          <w:rFonts w:asciiTheme="majorHAnsi" w:hAnsiTheme="majorHAnsi"/>
        </w:rPr>
        <w:t xml:space="preserve">l’aide à la décision en matière de stratégies sectorielles, </w:t>
      </w:r>
    </w:p>
    <w:p w:rsidR="00874293" w:rsidRPr="00C5021C" w:rsidRDefault="00874293" w:rsidP="00874293">
      <w:pPr>
        <w:pStyle w:val="-LettreTexteGEDA"/>
        <w:numPr>
          <w:ilvl w:val="0"/>
          <w:numId w:val="33"/>
        </w:numPr>
        <w:textAlignment w:val="auto"/>
        <w:rPr>
          <w:rFonts w:asciiTheme="majorHAnsi" w:hAnsiTheme="majorHAnsi"/>
        </w:rPr>
      </w:pPr>
      <w:r w:rsidRPr="00C5021C">
        <w:rPr>
          <w:rFonts w:asciiTheme="majorHAnsi" w:hAnsiTheme="majorHAnsi"/>
        </w:rPr>
        <w:t>le suivi et l’évaluation permettant d’apprécier à échéance périodique la performance des politiques publiques et d’intégrer les ajustements à envisager par des mécanismes de correction, l’infléchissement ou la redéfinition de ces schémas et stratégies.</w:t>
      </w:r>
    </w:p>
    <w:p w:rsidR="00F3421C" w:rsidRPr="00C5021C" w:rsidRDefault="00F3421C" w:rsidP="00E0177C">
      <w:pPr>
        <w:widowControl w:val="0"/>
        <w:autoSpaceDE w:val="0"/>
        <w:autoSpaceDN w:val="0"/>
        <w:adjustRightInd w:val="0"/>
        <w:rPr>
          <w:rFonts w:asciiTheme="majorHAnsi" w:hAnsiTheme="majorHAnsi"/>
          <w:b/>
        </w:rPr>
      </w:pPr>
    </w:p>
    <w:p w:rsidR="00BD197C" w:rsidRPr="00C5021C" w:rsidRDefault="00FF7F08" w:rsidP="00E0177C">
      <w:pPr>
        <w:widowControl w:val="0"/>
        <w:autoSpaceDE w:val="0"/>
        <w:autoSpaceDN w:val="0"/>
        <w:adjustRightInd w:val="0"/>
        <w:rPr>
          <w:rFonts w:asciiTheme="majorHAnsi" w:hAnsiTheme="majorHAnsi"/>
          <w:b/>
        </w:rPr>
      </w:pPr>
      <w:r w:rsidRPr="00C5021C">
        <w:rPr>
          <w:rFonts w:asciiTheme="majorHAnsi" w:hAnsiTheme="majorHAnsi"/>
          <w:b/>
        </w:rPr>
        <w:t>Subvention en faveur de Tahiti Tourisme</w:t>
      </w:r>
    </w:p>
    <w:p w:rsidR="00BD197C" w:rsidRPr="00C5021C" w:rsidRDefault="00BD197C" w:rsidP="00E0177C">
      <w:pPr>
        <w:widowControl w:val="0"/>
        <w:autoSpaceDE w:val="0"/>
        <w:autoSpaceDN w:val="0"/>
        <w:adjustRightInd w:val="0"/>
        <w:rPr>
          <w:rFonts w:asciiTheme="majorHAnsi" w:hAnsiTheme="majorHAnsi"/>
          <w:b/>
        </w:rPr>
      </w:pPr>
    </w:p>
    <w:p w:rsidR="00BD197C" w:rsidRPr="00C5021C" w:rsidRDefault="00BD197C" w:rsidP="00B60F3D">
      <w:pPr>
        <w:widowControl w:val="0"/>
        <w:autoSpaceDE w:val="0"/>
        <w:autoSpaceDN w:val="0"/>
        <w:adjustRightInd w:val="0"/>
        <w:jc w:val="both"/>
        <w:rPr>
          <w:rFonts w:asciiTheme="majorHAnsi" w:hAnsiTheme="majorHAnsi" w:cs="Century Schoolbook"/>
        </w:rPr>
      </w:pPr>
      <w:r w:rsidRPr="00C5021C">
        <w:rPr>
          <w:rFonts w:asciiTheme="majorHAnsi" w:hAnsiTheme="majorHAnsi" w:cs="Century Schoolbook"/>
        </w:rPr>
        <w:t>Le Conseil des ministres</w:t>
      </w:r>
      <w:r w:rsidR="00B60F3D" w:rsidRPr="00C5021C">
        <w:rPr>
          <w:rFonts w:asciiTheme="majorHAnsi" w:hAnsiTheme="majorHAnsi" w:cs="Century Schoolbook"/>
        </w:rPr>
        <w:t xml:space="preserve"> a approuvé une subvention de fonctionnement en faveur de Tahiti Tourisme, d’un montant de 25 millions </w:t>
      </w:r>
      <w:proofErr w:type="spellStart"/>
      <w:r w:rsidR="00B60F3D" w:rsidRPr="00C5021C">
        <w:rPr>
          <w:rFonts w:asciiTheme="majorHAnsi" w:hAnsiTheme="majorHAnsi" w:cs="Century Schoolbook"/>
        </w:rPr>
        <w:t>Fcfp</w:t>
      </w:r>
      <w:proofErr w:type="spellEnd"/>
      <w:r w:rsidR="00B60F3D" w:rsidRPr="00C5021C">
        <w:rPr>
          <w:rFonts w:asciiTheme="majorHAnsi" w:hAnsiTheme="majorHAnsi" w:cs="Century Schoolbook"/>
        </w:rPr>
        <w:t>, dans le cadre de son activité générale et des actions de promotion, de communication, d’accueil, d’information et d’animation pour le secteur de la croisière.</w:t>
      </w:r>
      <w:r w:rsidRPr="00C5021C">
        <w:rPr>
          <w:rFonts w:asciiTheme="majorHAnsi" w:hAnsiTheme="majorHAnsi" w:cs="Century Schoolbook"/>
        </w:rPr>
        <w:t xml:space="preserve"> </w:t>
      </w:r>
    </w:p>
    <w:p w:rsidR="006717DA" w:rsidRPr="00C5021C" w:rsidRDefault="006717DA" w:rsidP="00B60F3D">
      <w:pPr>
        <w:widowControl w:val="0"/>
        <w:autoSpaceDE w:val="0"/>
        <w:autoSpaceDN w:val="0"/>
        <w:adjustRightInd w:val="0"/>
        <w:jc w:val="both"/>
        <w:rPr>
          <w:rFonts w:asciiTheme="majorHAnsi" w:hAnsiTheme="majorHAnsi" w:cs="Century Schoolbook"/>
        </w:rPr>
      </w:pPr>
    </w:p>
    <w:p w:rsidR="005D1C04" w:rsidRPr="00C5021C" w:rsidRDefault="005D1C04" w:rsidP="005D1C04">
      <w:pPr>
        <w:widowControl w:val="0"/>
        <w:autoSpaceDE w:val="0"/>
        <w:autoSpaceDN w:val="0"/>
        <w:adjustRightInd w:val="0"/>
        <w:jc w:val="both"/>
        <w:rPr>
          <w:rFonts w:asciiTheme="majorHAnsi" w:hAnsiTheme="majorHAnsi" w:cs="Century Schoolbook"/>
          <w:b/>
        </w:rPr>
      </w:pPr>
      <w:r w:rsidRPr="00C5021C">
        <w:rPr>
          <w:rFonts w:asciiTheme="majorHAnsi" w:hAnsiTheme="majorHAnsi" w:cs="Century Schoolbook"/>
          <w:b/>
        </w:rPr>
        <w:t>Lancement de l’application « </w:t>
      </w:r>
      <w:proofErr w:type="spellStart"/>
      <w:r w:rsidRPr="00C5021C">
        <w:rPr>
          <w:rFonts w:asciiTheme="majorHAnsi" w:hAnsiTheme="majorHAnsi" w:cs="Century Schoolbook"/>
          <w:b/>
        </w:rPr>
        <w:t>Natira’a</w:t>
      </w:r>
      <w:proofErr w:type="spellEnd"/>
      <w:r w:rsidRPr="00C5021C">
        <w:rPr>
          <w:rFonts w:asciiTheme="majorHAnsi" w:hAnsiTheme="majorHAnsi" w:cs="Century Schoolbook"/>
          <w:b/>
        </w:rPr>
        <w:t xml:space="preserve"> </w:t>
      </w:r>
      <w:proofErr w:type="spellStart"/>
      <w:r w:rsidRPr="00C5021C">
        <w:rPr>
          <w:rFonts w:asciiTheme="majorHAnsi" w:hAnsiTheme="majorHAnsi" w:cs="Century Schoolbook"/>
          <w:b/>
        </w:rPr>
        <w:t>Fenua</w:t>
      </w:r>
      <w:proofErr w:type="spellEnd"/>
      <w:r w:rsidRPr="00C5021C">
        <w:rPr>
          <w:rFonts w:asciiTheme="majorHAnsi" w:hAnsiTheme="majorHAnsi" w:cs="Century Schoolbook"/>
          <w:b/>
        </w:rPr>
        <w:t xml:space="preserve"> » </w:t>
      </w:r>
    </w:p>
    <w:p w:rsidR="005D1C04" w:rsidRPr="00C5021C" w:rsidRDefault="005D1C04" w:rsidP="005D1C04">
      <w:pPr>
        <w:widowControl w:val="0"/>
        <w:autoSpaceDE w:val="0"/>
        <w:autoSpaceDN w:val="0"/>
        <w:adjustRightInd w:val="0"/>
        <w:jc w:val="both"/>
        <w:rPr>
          <w:rFonts w:asciiTheme="majorHAnsi" w:hAnsiTheme="majorHAnsi" w:cs="Century Schoolbook"/>
        </w:rPr>
      </w:pPr>
    </w:p>
    <w:p w:rsidR="005D1C04" w:rsidRPr="00C5021C" w:rsidRDefault="005D1C04" w:rsidP="005D1C04">
      <w:pPr>
        <w:widowControl w:val="0"/>
        <w:autoSpaceDE w:val="0"/>
        <w:autoSpaceDN w:val="0"/>
        <w:adjustRightInd w:val="0"/>
        <w:jc w:val="both"/>
        <w:rPr>
          <w:rFonts w:asciiTheme="majorHAnsi" w:hAnsiTheme="majorHAnsi" w:cs="Century Schoolbook"/>
        </w:rPr>
      </w:pPr>
      <w:r w:rsidRPr="00C5021C">
        <w:rPr>
          <w:rFonts w:asciiTheme="majorHAnsi" w:hAnsiTheme="majorHAnsi" w:cs="Century Schoolbook"/>
        </w:rPr>
        <w:t>La Direction des affaires foncières (DAF) a lancé un appel d’offre</w:t>
      </w:r>
      <w:r w:rsidR="00874293" w:rsidRPr="00C5021C">
        <w:rPr>
          <w:rFonts w:asciiTheme="majorHAnsi" w:hAnsiTheme="majorHAnsi" w:cs="Century Schoolbook"/>
        </w:rPr>
        <w:t>s</w:t>
      </w:r>
      <w:r w:rsidRPr="00C5021C">
        <w:rPr>
          <w:rFonts w:asciiTheme="majorHAnsi" w:hAnsiTheme="majorHAnsi" w:cs="Century Schoolbook"/>
        </w:rPr>
        <w:t xml:space="preserve"> pour la réalisation d’une application nommée « </w:t>
      </w:r>
      <w:proofErr w:type="spellStart"/>
      <w:r w:rsidRPr="00C5021C">
        <w:rPr>
          <w:rFonts w:asciiTheme="majorHAnsi" w:hAnsiTheme="majorHAnsi" w:cs="Century Schoolbook"/>
        </w:rPr>
        <w:t>Natira’a</w:t>
      </w:r>
      <w:proofErr w:type="spellEnd"/>
      <w:r w:rsidRPr="00C5021C">
        <w:rPr>
          <w:rFonts w:asciiTheme="majorHAnsi" w:hAnsiTheme="majorHAnsi" w:cs="Century Schoolbook"/>
        </w:rPr>
        <w:t xml:space="preserve"> </w:t>
      </w:r>
      <w:proofErr w:type="spellStart"/>
      <w:r w:rsidRPr="00C5021C">
        <w:rPr>
          <w:rFonts w:asciiTheme="majorHAnsi" w:hAnsiTheme="majorHAnsi" w:cs="Century Schoolbook"/>
        </w:rPr>
        <w:t>Fenua</w:t>
      </w:r>
      <w:proofErr w:type="spellEnd"/>
      <w:r w:rsidRPr="00C5021C">
        <w:rPr>
          <w:rFonts w:asciiTheme="majorHAnsi" w:hAnsiTheme="majorHAnsi" w:cs="Century Schoolbook"/>
        </w:rPr>
        <w:t xml:space="preserve"> » qui sera consacrée à la gestion du domaine immobilier de la Polynésie française. C’est une société métropolitaine (SWORDS SA) qui sera en charge de la conception de l’application en collaboration, pour une partie, avec la société locale </w:t>
      </w:r>
      <w:proofErr w:type="spellStart"/>
      <w:r w:rsidRPr="00C5021C">
        <w:rPr>
          <w:rFonts w:asciiTheme="majorHAnsi" w:hAnsiTheme="majorHAnsi" w:cs="Century Schoolbook"/>
        </w:rPr>
        <w:t>Innovative</w:t>
      </w:r>
      <w:proofErr w:type="spellEnd"/>
      <w:r w:rsidRPr="00C5021C">
        <w:rPr>
          <w:rFonts w:asciiTheme="majorHAnsi" w:hAnsiTheme="majorHAnsi" w:cs="Century Schoolbook"/>
        </w:rPr>
        <w:t xml:space="preserve"> Digital Technologies (IDT).</w:t>
      </w:r>
    </w:p>
    <w:p w:rsidR="005D1C04" w:rsidRPr="00C5021C" w:rsidRDefault="005D1C04" w:rsidP="005D1C04">
      <w:pPr>
        <w:widowControl w:val="0"/>
        <w:autoSpaceDE w:val="0"/>
        <w:autoSpaceDN w:val="0"/>
        <w:adjustRightInd w:val="0"/>
        <w:jc w:val="both"/>
        <w:rPr>
          <w:rFonts w:asciiTheme="majorHAnsi" w:hAnsiTheme="majorHAnsi" w:cs="Century Schoolbook"/>
        </w:rPr>
      </w:pPr>
    </w:p>
    <w:p w:rsidR="005D1C04" w:rsidRPr="00C5021C" w:rsidRDefault="005D1C04" w:rsidP="005D1C04">
      <w:pPr>
        <w:widowControl w:val="0"/>
        <w:autoSpaceDE w:val="0"/>
        <w:autoSpaceDN w:val="0"/>
        <w:adjustRightInd w:val="0"/>
        <w:jc w:val="both"/>
        <w:rPr>
          <w:rFonts w:asciiTheme="majorHAnsi" w:hAnsiTheme="majorHAnsi" w:cs="Century Schoolbook"/>
        </w:rPr>
      </w:pPr>
      <w:r w:rsidRPr="00C5021C">
        <w:rPr>
          <w:rFonts w:asciiTheme="majorHAnsi" w:hAnsiTheme="majorHAnsi" w:cs="Century Schoolbook"/>
        </w:rPr>
        <w:t>L’application « </w:t>
      </w:r>
      <w:proofErr w:type="spellStart"/>
      <w:r w:rsidRPr="00C5021C">
        <w:rPr>
          <w:rFonts w:asciiTheme="majorHAnsi" w:hAnsiTheme="majorHAnsi" w:cs="Century Schoolbook"/>
        </w:rPr>
        <w:t>Natira’a</w:t>
      </w:r>
      <w:proofErr w:type="spellEnd"/>
      <w:r w:rsidRPr="00C5021C">
        <w:rPr>
          <w:rFonts w:asciiTheme="majorHAnsi" w:hAnsiTheme="majorHAnsi" w:cs="Century Schoolbook"/>
        </w:rPr>
        <w:t xml:space="preserve"> » sera basée sur un système de gestion d’information géographique (SIG) à l’instar d’OTIA et donnera une vision claire du patrimoine occupé et disponible par île et par commune. Elle intègrera également les projets d’aménagements du gouvernement afin que tous les services gestionnaires (équipement, aviation civile, ressources marines, etc.) puissent prendre en compte et utiliser cet outil comme seul outil d’échange d’information et de gestion du domaine. </w:t>
      </w:r>
    </w:p>
    <w:p w:rsidR="005D1C04" w:rsidRPr="00C5021C" w:rsidRDefault="005D1C04" w:rsidP="005D1C04">
      <w:pPr>
        <w:widowControl w:val="0"/>
        <w:autoSpaceDE w:val="0"/>
        <w:autoSpaceDN w:val="0"/>
        <w:adjustRightInd w:val="0"/>
        <w:jc w:val="both"/>
        <w:rPr>
          <w:rFonts w:asciiTheme="majorHAnsi" w:hAnsiTheme="majorHAnsi" w:cs="Century Schoolbook"/>
        </w:rPr>
      </w:pPr>
    </w:p>
    <w:p w:rsidR="005D1C04" w:rsidRPr="00C5021C" w:rsidRDefault="005D1C04" w:rsidP="005D1C04">
      <w:pPr>
        <w:jc w:val="both"/>
        <w:rPr>
          <w:rFonts w:asciiTheme="majorHAnsi" w:hAnsiTheme="majorHAnsi"/>
        </w:rPr>
      </w:pPr>
      <w:r w:rsidRPr="00C5021C">
        <w:rPr>
          <w:rFonts w:asciiTheme="majorHAnsi" w:hAnsiTheme="majorHAnsi" w:cs="Century Schoolbook"/>
        </w:rPr>
        <w:t xml:space="preserve">L’objectif est de proposer au public un point d’entrée unique. Ainsi, en fonction de la nature des dossiers, </w:t>
      </w:r>
      <w:r w:rsidRPr="00C5021C">
        <w:rPr>
          <w:rFonts w:asciiTheme="majorHAnsi" w:hAnsiTheme="majorHAnsi"/>
        </w:rPr>
        <w:t xml:space="preserve">l'application devra orienter le demandeur vers le gestionnaire approprié car plusieurs services, en fonction de leur compétence, ont en charge la gestion d’une partie du domaine </w:t>
      </w:r>
      <w:r w:rsidRPr="00C5021C">
        <w:rPr>
          <w:rFonts w:asciiTheme="majorHAnsi" w:hAnsiTheme="majorHAnsi" w:cs="Century Schoolbook"/>
        </w:rPr>
        <w:t xml:space="preserve">(ex : le domaine fluvial géré par la Direction de l’équipement, le domaine aéroportuaire par la direction de l’aviation civile, les sites touristiques par le service du tourisme, etc.). </w:t>
      </w:r>
      <w:r w:rsidRPr="00C5021C">
        <w:rPr>
          <w:rFonts w:asciiTheme="majorHAnsi" w:hAnsiTheme="majorHAnsi"/>
        </w:rPr>
        <w:t xml:space="preserve">Cet outil va donc permettre une gestion </w:t>
      </w:r>
      <w:r w:rsidRPr="00C5021C">
        <w:rPr>
          <w:rFonts w:asciiTheme="majorHAnsi" w:hAnsiTheme="majorHAnsi"/>
        </w:rPr>
        <w:lastRenderedPageBreak/>
        <w:t>domaniale homogène, plus efficiente et répond également à un objectif du Président qui est de se rapprocher des usagers et de simplifier les démarches administratives.</w:t>
      </w:r>
    </w:p>
    <w:p w:rsidR="005D1C04" w:rsidRPr="00C5021C" w:rsidRDefault="005D1C04" w:rsidP="005D1C04">
      <w:pPr>
        <w:widowControl w:val="0"/>
        <w:autoSpaceDE w:val="0"/>
        <w:autoSpaceDN w:val="0"/>
        <w:adjustRightInd w:val="0"/>
        <w:jc w:val="both"/>
        <w:rPr>
          <w:rFonts w:asciiTheme="majorHAnsi" w:hAnsiTheme="majorHAnsi" w:cs="Century Schoolbook"/>
        </w:rPr>
      </w:pPr>
    </w:p>
    <w:p w:rsidR="005D1C04" w:rsidRPr="00C5021C" w:rsidRDefault="005D1C04" w:rsidP="005D1C04">
      <w:pPr>
        <w:widowControl w:val="0"/>
        <w:autoSpaceDE w:val="0"/>
        <w:autoSpaceDN w:val="0"/>
        <w:adjustRightInd w:val="0"/>
        <w:jc w:val="both"/>
        <w:rPr>
          <w:rFonts w:asciiTheme="majorHAnsi" w:hAnsiTheme="majorHAnsi" w:cs="Century Schoolbook"/>
        </w:rPr>
      </w:pPr>
    </w:p>
    <w:p w:rsidR="005D1C04" w:rsidRPr="00C5021C" w:rsidRDefault="005D1C04" w:rsidP="005D1C04">
      <w:pPr>
        <w:widowControl w:val="0"/>
        <w:autoSpaceDE w:val="0"/>
        <w:autoSpaceDN w:val="0"/>
        <w:adjustRightInd w:val="0"/>
        <w:jc w:val="both"/>
        <w:rPr>
          <w:rFonts w:asciiTheme="majorHAnsi" w:hAnsiTheme="majorHAnsi" w:cs="Century Schoolbook"/>
          <w:b/>
        </w:rPr>
      </w:pPr>
      <w:r w:rsidRPr="00C5021C">
        <w:rPr>
          <w:rFonts w:asciiTheme="majorHAnsi" w:hAnsiTheme="majorHAnsi" w:cs="Century Schoolbook"/>
          <w:b/>
        </w:rPr>
        <w:t>Information des usagers par l’envoi SMS</w:t>
      </w:r>
    </w:p>
    <w:p w:rsidR="005D1C04" w:rsidRPr="00C5021C" w:rsidRDefault="005D1C04" w:rsidP="005D1C04">
      <w:pPr>
        <w:widowControl w:val="0"/>
        <w:autoSpaceDE w:val="0"/>
        <w:autoSpaceDN w:val="0"/>
        <w:adjustRightInd w:val="0"/>
        <w:jc w:val="both"/>
        <w:rPr>
          <w:rFonts w:asciiTheme="majorHAnsi" w:hAnsiTheme="majorHAnsi" w:cs="Century Schoolbook"/>
        </w:rPr>
      </w:pPr>
    </w:p>
    <w:p w:rsidR="005D1C04" w:rsidRPr="00C5021C" w:rsidRDefault="005D1C04" w:rsidP="005D1C04">
      <w:pPr>
        <w:widowControl w:val="0"/>
        <w:autoSpaceDE w:val="0"/>
        <w:autoSpaceDN w:val="0"/>
        <w:adjustRightInd w:val="0"/>
        <w:jc w:val="both"/>
        <w:rPr>
          <w:rFonts w:asciiTheme="majorHAnsi" w:hAnsiTheme="majorHAnsi" w:cs="Century Schoolbook"/>
        </w:rPr>
      </w:pPr>
      <w:r w:rsidRPr="00C5021C">
        <w:rPr>
          <w:rFonts w:asciiTheme="majorHAnsi" w:hAnsiTheme="majorHAnsi" w:cs="Century Schoolbook"/>
        </w:rPr>
        <w:t xml:space="preserve">Dans une volonté de faciliter l’information auprès des usagers, la Direction des affaires foncières mettra en place, dans les prochains jours, un système de messages d’alerte, « SMS Push », afin d’inviter les usagers à venir récupérer les documents qu’ils ont commandés. </w:t>
      </w:r>
    </w:p>
    <w:p w:rsidR="005D1C04" w:rsidRPr="00C5021C" w:rsidRDefault="005D1C04" w:rsidP="005D1C04">
      <w:pPr>
        <w:widowControl w:val="0"/>
        <w:autoSpaceDE w:val="0"/>
        <w:autoSpaceDN w:val="0"/>
        <w:adjustRightInd w:val="0"/>
        <w:jc w:val="both"/>
        <w:rPr>
          <w:rFonts w:asciiTheme="majorHAnsi" w:hAnsiTheme="majorHAnsi" w:cs="Century Schoolbook"/>
        </w:rPr>
      </w:pPr>
    </w:p>
    <w:p w:rsidR="005D1C04" w:rsidRPr="00C5021C" w:rsidRDefault="005D1C04" w:rsidP="005D1C04">
      <w:pPr>
        <w:widowControl w:val="0"/>
        <w:autoSpaceDE w:val="0"/>
        <w:autoSpaceDN w:val="0"/>
        <w:adjustRightInd w:val="0"/>
        <w:jc w:val="both"/>
        <w:rPr>
          <w:rFonts w:asciiTheme="majorHAnsi" w:hAnsiTheme="majorHAnsi" w:cs="Century Schoolbook"/>
        </w:rPr>
      </w:pPr>
      <w:r w:rsidRPr="00C5021C">
        <w:rPr>
          <w:rFonts w:asciiTheme="majorHAnsi" w:hAnsiTheme="majorHAnsi" w:cs="Century Schoolbook"/>
        </w:rPr>
        <w:t>Seront concernés par ce dispositif, le retrait de documents ne pouvant être délivrés instantanément car nécessitant un délai de traitement (par exemple : le traitement des états hypothécaires d’une durée d’un mois ou les commandes de copies d’actes transcrits d’une durée de 3 jours, etc.)</w:t>
      </w:r>
    </w:p>
    <w:p w:rsidR="005D1C04" w:rsidRPr="00C5021C" w:rsidRDefault="005D1C04" w:rsidP="005D1C04">
      <w:pPr>
        <w:widowControl w:val="0"/>
        <w:autoSpaceDE w:val="0"/>
        <w:autoSpaceDN w:val="0"/>
        <w:adjustRightInd w:val="0"/>
        <w:jc w:val="both"/>
        <w:rPr>
          <w:rFonts w:asciiTheme="majorHAnsi" w:hAnsiTheme="majorHAnsi" w:cs="Century Schoolbook"/>
        </w:rPr>
      </w:pPr>
    </w:p>
    <w:p w:rsidR="005D1C04" w:rsidRPr="00C5021C" w:rsidRDefault="005D1C04" w:rsidP="005D1C04">
      <w:pPr>
        <w:widowControl w:val="0"/>
        <w:autoSpaceDE w:val="0"/>
        <w:autoSpaceDN w:val="0"/>
        <w:adjustRightInd w:val="0"/>
        <w:jc w:val="both"/>
        <w:rPr>
          <w:rFonts w:asciiTheme="majorHAnsi" w:hAnsiTheme="majorHAnsi" w:cs="Century Schoolbook"/>
        </w:rPr>
      </w:pPr>
    </w:p>
    <w:p w:rsidR="005D1C04" w:rsidRPr="00C5021C" w:rsidRDefault="005D1C04" w:rsidP="005D1C04">
      <w:pPr>
        <w:widowControl w:val="0"/>
        <w:autoSpaceDE w:val="0"/>
        <w:autoSpaceDN w:val="0"/>
        <w:adjustRightInd w:val="0"/>
        <w:jc w:val="both"/>
        <w:rPr>
          <w:rFonts w:asciiTheme="majorHAnsi" w:hAnsiTheme="majorHAnsi" w:cs="Century Schoolbook"/>
          <w:b/>
        </w:rPr>
      </w:pPr>
      <w:r w:rsidRPr="00C5021C">
        <w:rPr>
          <w:rFonts w:asciiTheme="majorHAnsi" w:hAnsiTheme="majorHAnsi" w:cs="Century Schoolbook"/>
          <w:b/>
        </w:rPr>
        <w:t xml:space="preserve">Synthèse des ateliers sur l’indivision et la sécurisation foncière auprès des associations familiales </w:t>
      </w:r>
    </w:p>
    <w:p w:rsidR="005D1C04" w:rsidRPr="00C5021C" w:rsidRDefault="005D1C04" w:rsidP="005D1C04">
      <w:pPr>
        <w:widowControl w:val="0"/>
        <w:autoSpaceDE w:val="0"/>
        <w:autoSpaceDN w:val="0"/>
        <w:adjustRightInd w:val="0"/>
        <w:jc w:val="both"/>
        <w:rPr>
          <w:rFonts w:asciiTheme="majorHAnsi" w:hAnsiTheme="majorHAnsi" w:cs="Century Schoolbook"/>
        </w:rPr>
      </w:pPr>
    </w:p>
    <w:p w:rsidR="005D1C04" w:rsidRPr="00C5021C" w:rsidRDefault="005D1C04" w:rsidP="005D1C04">
      <w:pPr>
        <w:widowControl w:val="0"/>
        <w:autoSpaceDE w:val="0"/>
        <w:autoSpaceDN w:val="0"/>
        <w:adjustRightInd w:val="0"/>
        <w:jc w:val="both"/>
        <w:rPr>
          <w:rFonts w:asciiTheme="majorHAnsi" w:hAnsiTheme="majorHAnsi" w:cs="Century Schoolbook"/>
        </w:rPr>
      </w:pPr>
      <w:r w:rsidRPr="00C5021C">
        <w:rPr>
          <w:rFonts w:asciiTheme="majorHAnsi" w:hAnsiTheme="majorHAnsi" w:cs="Century Schoolbook"/>
        </w:rPr>
        <w:t>Les 6 et 7 août dernier</w:t>
      </w:r>
      <w:r w:rsidR="00874293" w:rsidRPr="00C5021C">
        <w:rPr>
          <w:rFonts w:asciiTheme="majorHAnsi" w:hAnsiTheme="majorHAnsi" w:cs="Century Schoolbook"/>
        </w:rPr>
        <w:t>s</w:t>
      </w:r>
      <w:r w:rsidRPr="00C5021C">
        <w:rPr>
          <w:rFonts w:asciiTheme="majorHAnsi" w:hAnsiTheme="majorHAnsi" w:cs="Century Schoolbook"/>
        </w:rPr>
        <w:t xml:space="preserve">, les associations familiales étaient rassemblées pour un séminaire dédié à l’indivision et la sécurisation foncière, dans le cadre de la mise en place d’un schéma directeur dédié à l’indivision. </w:t>
      </w:r>
    </w:p>
    <w:p w:rsidR="005D1C04" w:rsidRPr="00C5021C" w:rsidRDefault="005D1C04" w:rsidP="005D1C04">
      <w:pPr>
        <w:widowControl w:val="0"/>
        <w:autoSpaceDE w:val="0"/>
        <w:autoSpaceDN w:val="0"/>
        <w:adjustRightInd w:val="0"/>
        <w:jc w:val="both"/>
        <w:rPr>
          <w:rFonts w:asciiTheme="majorHAnsi" w:hAnsiTheme="majorHAnsi" w:cs="Century Schoolbook"/>
        </w:rPr>
      </w:pPr>
    </w:p>
    <w:p w:rsidR="005D1C04" w:rsidRPr="00C5021C" w:rsidRDefault="005D1C04" w:rsidP="005D1C04">
      <w:pPr>
        <w:widowControl w:val="0"/>
        <w:autoSpaceDE w:val="0"/>
        <w:autoSpaceDN w:val="0"/>
        <w:adjustRightInd w:val="0"/>
        <w:jc w:val="both"/>
        <w:rPr>
          <w:rFonts w:asciiTheme="majorHAnsi" w:hAnsiTheme="majorHAnsi" w:cs="Century Schoolbook"/>
        </w:rPr>
      </w:pPr>
      <w:r w:rsidRPr="00C5021C">
        <w:rPr>
          <w:rFonts w:asciiTheme="majorHAnsi" w:hAnsiTheme="majorHAnsi" w:cs="Century Schoolbook"/>
        </w:rPr>
        <w:t xml:space="preserve">Durant ces deux matinées, les participants ont exprimé des besoins relatifs notamment, à l’accessibilité de la généalogie, à la gestion de l’indivision, au traitement des dossiers contentieux devant le Tribunal foncier, de formation pour l’utilisation de l’application </w:t>
      </w:r>
      <w:proofErr w:type="spellStart"/>
      <w:r w:rsidRPr="00C5021C">
        <w:rPr>
          <w:rFonts w:asciiTheme="majorHAnsi" w:hAnsiTheme="majorHAnsi" w:cs="Century Schoolbook"/>
        </w:rPr>
        <w:t>Otia</w:t>
      </w:r>
      <w:proofErr w:type="spellEnd"/>
      <w:r w:rsidRPr="00C5021C">
        <w:rPr>
          <w:rFonts w:asciiTheme="majorHAnsi" w:hAnsiTheme="majorHAnsi" w:cs="Century Schoolbook"/>
        </w:rPr>
        <w:t xml:space="preserve">, ou de guide pour l’aide à la sortie de l’indivision (AISI), et de la mise en place d’un guichet unique dédié à la matière foncière. </w:t>
      </w:r>
    </w:p>
    <w:p w:rsidR="005D1C04" w:rsidRPr="00C5021C" w:rsidRDefault="005D1C04" w:rsidP="005D1C04">
      <w:pPr>
        <w:widowControl w:val="0"/>
        <w:autoSpaceDE w:val="0"/>
        <w:autoSpaceDN w:val="0"/>
        <w:adjustRightInd w:val="0"/>
        <w:jc w:val="both"/>
        <w:rPr>
          <w:rFonts w:asciiTheme="majorHAnsi" w:hAnsiTheme="majorHAnsi" w:cs="Century Schoolbook"/>
        </w:rPr>
      </w:pPr>
    </w:p>
    <w:p w:rsidR="005D1C04" w:rsidRPr="00C5021C" w:rsidRDefault="005D1C04" w:rsidP="005D1C04">
      <w:pPr>
        <w:widowControl w:val="0"/>
        <w:autoSpaceDE w:val="0"/>
        <w:autoSpaceDN w:val="0"/>
        <w:adjustRightInd w:val="0"/>
        <w:jc w:val="both"/>
        <w:rPr>
          <w:rFonts w:asciiTheme="majorHAnsi" w:hAnsiTheme="majorHAnsi" w:cs="Century Schoolbook"/>
        </w:rPr>
      </w:pPr>
      <w:r w:rsidRPr="00C5021C">
        <w:rPr>
          <w:rFonts w:asciiTheme="majorHAnsi" w:hAnsiTheme="majorHAnsi" w:cs="Century Schoolbook"/>
        </w:rPr>
        <w:t>Ce séminaire a permis au ministère et à la DAF de mieux identifier les besoins des usagers afin de mettre en pla</w:t>
      </w:r>
      <w:r w:rsidR="00BF3AE2" w:rsidRPr="00C5021C">
        <w:rPr>
          <w:rFonts w:asciiTheme="majorHAnsi" w:hAnsiTheme="majorHAnsi" w:cs="Century Schoolbook"/>
        </w:rPr>
        <w:t>ce des actions à court et moyen</w:t>
      </w:r>
      <w:r w:rsidRPr="00C5021C">
        <w:rPr>
          <w:rFonts w:asciiTheme="majorHAnsi" w:hAnsiTheme="majorHAnsi" w:cs="Century Schoolbook"/>
        </w:rPr>
        <w:t xml:space="preserve"> terme</w:t>
      </w:r>
      <w:r w:rsidR="00874293" w:rsidRPr="00C5021C">
        <w:rPr>
          <w:rFonts w:asciiTheme="majorHAnsi" w:hAnsiTheme="majorHAnsi" w:cs="Century Schoolbook"/>
        </w:rPr>
        <w:t>s</w:t>
      </w:r>
      <w:r w:rsidRPr="00C5021C">
        <w:rPr>
          <w:rFonts w:asciiTheme="majorHAnsi" w:hAnsiTheme="majorHAnsi" w:cs="Century Schoolbook"/>
        </w:rPr>
        <w:t xml:space="preserve"> tels que la mise en place de cycles de formations sur les thèmes évoqués, d’opérations de communication sur les outils d’aide à la sortie de l’indivision et de gestion de l’indivision et enfin simplifier les démarches par la mise en place d’un guichet unique. </w:t>
      </w:r>
    </w:p>
    <w:p w:rsidR="005D1C04" w:rsidRPr="00C5021C" w:rsidRDefault="005D1C04" w:rsidP="005D1C04">
      <w:pPr>
        <w:widowControl w:val="0"/>
        <w:autoSpaceDE w:val="0"/>
        <w:autoSpaceDN w:val="0"/>
        <w:adjustRightInd w:val="0"/>
        <w:jc w:val="both"/>
        <w:rPr>
          <w:rFonts w:asciiTheme="majorHAnsi" w:hAnsiTheme="majorHAnsi" w:cs="Century Schoolbook"/>
        </w:rPr>
      </w:pPr>
    </w:p>
    <w:p w:rsidR="005D1C04" w:rsidRPr="00C5021C" w:rsidRDefault="005D1C04" w:rsidP="005D1C04">
      <w:pPr>
        <w:widowControl w:val="0"/>
        <w:autoSpaceDE w:val="0"/>
        <w:autoSpaceDN w:val="0"/>
        <w:adjustRightInd w:val="0"/>
        <w:jc w:val="both"/>
        <w:rPr>
          <w:rFonts w:asciiTheme="majorHAnsi" w:hAnsiTheme="majorHAnsi" w:cs="Century Schoolbook"/>
        </w:rPr>
      </w:pPr>
    </w:p>
    <w:p w:rsidR="005D1C04" w:rsidRPr="00C5021C" w:rsidRDefault="005D1C04" w:rsidP="005D1C04">
      <w:pPr>
        <w:widowControl w:val="0"/>
        <w:autoSpaceDE w:val="0"/>
        <w:autoSpaceDN w:val="0"/>
        <w:adjustRightInd w:val="0"/>
        <w:jc w:val="both"/>
        <w:rPr>
          <w:rFonts w:asciiTheme="majorHAnsi" w:hAnsiTheme="majorHAnsi" w:cs="Century Schoolbook"/>
          <w:b/>
        </w:rPr>
      </w:pPr>
      <w:r w:rsidRPr="00C5021C">
        <w:rPr>
          <w:rFonts w:asciiTheme="majorHAnsi" w:hAnsiTheme="majorHAnsi" w:cs="Century Schoolbook"/>
          <w:b/>
        </w:rPr>
        <w:t>Attribution d’une subvention pour la mise aux normes du laboratoire de l’établissement Vanille de Tahiti de Raiatea</w:t>
      </w:r>
    </w:p>
    <w:p w:rsidR="005D1C04" w:rsidRPr="00C5021C" w:rsidRDefault="005D1C04" w:rsidP="005D1C04">
      <w:pPr>
        <w:widowControl w:val="0"/>
        <w:autoSpaceDE w:val="0"/>
        <w:autoSpaceDN w:val="0"/>
        <w:adjustRightInd w:val="0"/>
        <w:jc w:val="both"/>
        <w:rPr>
          <w:rFonts w:asciiTheme="majorHAnsi" w:hAnsiTheme="majorHAnsi" w:cs="Century Schoolbook"/>
        </w:rPr>
      </w:pPr>
    </w:p>
    <w:p w:rsidR="005D1C04" w:rsidRPr="00C5021C" w:rsidRDefault="005D1C04" w:rsidP="005D1C04">
      <w:pPr>
        <w:widowControl w:val="0"/>
        <w:autoSpaceDE w:val="0"/>
        <w:autoSpaceDN w:val="0"/>
        <w:adjustRightInd w:val="0"/>
        <w:jc w:val="both"/>
        <w:rPr>
          <w:rFonts w:asciiTheme="majorHAnsi" w:hAnsiTheme="majorHAnsi" w:cs="Century Schoolbook"/>
        </w:rPr>
      </w:pPr>
      <w:r w:rsidRPr="00C5021C">
        <w:rPr>
          <w:rFonts w:asciiTheme="majorHAnsi" w:hAnsiTheme="majorHAnsi" w:cs="Century Schoolbook"/>
        </w:rPr>
        <w:t xml:space="preserve">Dans l’objectif d’obtenir la certification ISO 9001, pour le laboratoire de l’établissement Vanille de Tahiti (EVT) situé à Raiatea, l’EVT a sollicité une subvention du Pays afin de poursuivre la réalisation de ces travaux de mise aux normes en incluant notamment une salle technique dédiée aux analyses mycologiques ainsi qu’une salle de stérilisation. </w:t>
      </w:r>
    </w:p>
    <w:p w:rsidR="005D1C04" w:rsidRPr="00C5021C" w:rsidRDefault="005D1C04" w:rsidP="005D1C04">
      <w:pPr>
        <w:widowControl w:val="0"/>
        <w:autoSpaceDE w:val="0"/>
        <w:autoSpaceDN w:val="0"/>
        <w:adjustRightInd w:val="0"/>
        <w:jc w:val="both"/>
        <w:rPr>
          <w:rFonts w:asciiTheme="majorHAnsi" w:hAnsiTheme="majorHAnsi" w:cs="Century Schoolbook"/>
        </w:rPr>
      </w:pPr>
    </w:p>
    <w:p w:rsidR="005D1C04" w:rsidRPr="00C5021C" w:rsidRDefault="005D1C04" w:rsidP="005D1C04">
      <w:pPr>
        <w:widowControl w:val="0"/>
        <w:autoSpaceDE w:val="0"/>
        <w:autoSpaceDN w:val="0"/>
        <w:adjustRightInd w:val="0"/>
        <w:jc w:val="both"/>
        <w:rPr>
          <w:rFonts w:asciiTheme="majorHAnsi" w:hAnsiTheme="majorHAnsi" w:cs="Century Schoolbook"/>
        </w:rPr>
      </w:pPr>
      <w:r w:rsidRPr="00C5021C">
        <w:rPr>
          <w:rFonts w:asciiTheme="majorHAnsi" w:hAnsiTheme="majorHAnsi" w:cs="Century Schoolbook"/>
        </w:rPr>
        <w:t xml:space="preserve">Le conseil des ministres a donc accordé une subvention de 10 millions </w:t>
      </w:r>
      <w:proofErr w:type="spellStart"/>
      <w:r w:rsidRPr="00C5021C">
        <w:rPr>
          <w:rFonts w:asciiTheme="majorHAnsi" w:hAnsiTheme="majorHAnsi" w:cs="Century Schoolbook"/>
        </w:rPr>
        <w:t>Fcfp</w:t>
      </w:r>
      <w:proofErr w:type="spellEnd"/>
      <w:r w:rsidRPr="00C5021C">
        <w:rPr>
          <w:rFonts w:asciiTheme="majorHAnsi" w:hAnsiTheme="majorHAnsi" w:cs="Century Schoolbook"/>
        </w:rPr>
        <w:t xml:space="preserve"> pour la réalisation de ces travaux.</w:t>
      </w:r>
    </w:p>
    <w:p w:rsidR="005D1C04" w:rsidRPr="00C5021C" w:rsidRDefault="005D1C04" w:rsidP="005D1C04">
      <w:pPr>
        <w:widowControl w:val="0"/>
        <w:autoSpaceDE w:val="0"/>
        <w:autoSpaceDN w:val="0"/>
        <w:adjustRightInd w:val="0"/>
        <w:jc w:val="both"/>
        <w:rPr>
          <w:rFonts w:asciiTheme="majorHAnsi" w:hAnsiTheme="majorHAnsi" w:cs="Century Schoolbook"/>
        </w:rPr>
      </w:pPr>
    </w:p>
    <w:p w:rsidR="005D1C04" w:rsidRPr="00C5021C" w:rsidRDefault="005D1C04" w:rsidP="005D1C04">
      <w:pPr>
        <w:widowControl w:val="0"/>
        <w:autoSpaceDE w:val="0"/>
        <w:autoSpaceDN w:val="0"/>
        <w:adjustRightInd w:val="0"/>
        <w:jc w:val="both"/>
        <w:rPr>
          <w:rFonts w:asciiTheme="majorHAnsi" w:hAnsiTheme="majorHAnsi" w:cs="Century Schoolbook"/>
        </w:rPr>
      </w:pPr>
    </w:p>
    <w:p w:rsidR="006717DA" w:rsidRPr="00C5021C" w:rsidRDefault="006717DA" w:rsidP="005D1C04">
      <w:pPr>
        <w:widowControl w:val="0"/>
        <w:autoSpaceDE w:val="0"/>
        <w:autoSpaceDN w:val="0"/>
        <w:adjustRightInd w:val="0"/>
        <w:jc w:val="both"/>
        <w:rPr>
          <w:rFonts w:asciiTheme="majorHAnsi" w:hAnsiTheme="majorHAnsi" w:cs="Century Schoolbook"/>
        </w:rPr>
      </w:pPr>
    </w:p>
    <w:p w:rsidR="005D1C04" w:rsidRPr="00C5021C" w:rsidRDefault="005D1C04" w:rsidP="005D1C04">
      <w:pPr>
        <w:widowControl w:val="0"/>
        <w:autoSpaceDE w:val="0"/>
        <w:autoSpaceDN w:val="0"/>
        <w:adjustRightInd w:val="0"/>
        <w:jc w:val="both"/>
        <w:rPr>
          <w:rFonts w:asciiTheme="majorHAnsi" w:hAnsiTheme="majorHAnsi" w:cs="Century Schoolbook"/>
          <w:b/>
        </w:rPr>
      </w:pPr>
      <w:r w:rsidRPr="00C5021C">
        <w:rPr>
          <w:rFonts w:asciiTheme="majorHAnsi" w:hAnsiTheme="majorHAnsi" w:cs="Century Schoolbook"/>
          <w:b/>
        </w:rPr>
        <w:t>Attribution d’une subvention en faveur de l’EPEFPA pour l’aménagement de la station porcine du Lycée agricole d’</w:t>
      </w:r>
      <w:proofErr w:type="spellStart"/>
      <w:r w:rsidRPr="00C5021C">
        <w:rPr>
          <w:rFonts w:asciiTheme="majorHAnsi" w:hAnsiTheme="majorHAnsi" w:cs="Century Schoolbook"/>
          <w:b/>
        </w:rPr>
        <w:t>Opunohu</w:t>
      </w:r>
      <w:proofErr w:type="spellEnd"/>
    </w:p>
    <w:p w:rsidR="005D1C04" w:rsidRPr="00C5021C" w:rsidRDefault="005D1C04" w:rsidP="005D1C04">
      <w:pPr>
        <w:widowControl w:val="0"/>
        <w:autoSpaceDE w:val="0"/>
        <w:autoSpaceDN w:val="0"/>
        <w:adjustRightInd w:val="0"/>
        <w:jc w:val="both"/>
        <w:rPr>
          <w:rFonts w:asciiTheme="majorHAnsi" w:hAnsiTheme="majorHAnsi" w:cs="Century Schoolbook"/>
        </w:rPr>
      </w:pPr>
    </w:p>
    <w:p w:rsidR="005D1C04" w:rsidRPr="00C5021C" w:rsidRDefault="005D1C04" w:rsidP="005D1C04">
      <w:pPr>
        <w:widowControl w:val="0"/>
        <w:autoSpaceDE w:val="0"/>
        <w:autoSpaceDN w:val="0"/>
        <w:adjustRightInd w:val="0"/>
        <w:jc w:val="both"/>
        <w:rPr>
          <w:rFonts w:asciiTheme="majorHAnsi" w:hAnsiTheme="majorHAnsi" w:cs="Century Schoolbook"/>
        </w:rPr>
      </w:pPr>
      <w:r w:rsidRPr="00C5021C">
        <w:rPr>
          <w:rFonts w:asciiTheme="majorHAnsi" w:hAnsiTheme="majorHAnsi" w:cs="Century Schoolbook"/>
        </w:rPr>
        <w:t xml:space="preserve">L’établissement public d’enseignement et de formation professionnels agricoles (EPEFPA) a sollicité une subvention d’investissement afin d’aménager sa station porcine. </w:t>
      </w:r>
    </w:p>
    <w:p w:rsidR="005D1C04" w:rsidRPr="00C5021C" w:rsidRDefault="005D1C04" w:rsidP="005D1C04">
      <w:pPr>
        <w:widowControl w:val="0"/>
        <w:autoSpaceDE w:val="0"/>
        <w:autoSpaceDN w:val="0"/>
        <w:adjustRightInd w:val="0"/>
        <w:jc w:val="both"/>
        <w:rPr>
          <w:rFonts w:asciiTheme="majorHAnsi" w:hAnsiTheme="majorHAnsi" w:cs="Century Schoolbook"/>
        </w:rPr>
      </w:pPr>
    </w:p>
    <w:p w:rsidR="005D1C04" w:rsidRPr="00C5021C" w:rsidRDefault="005D1C04" w:rsidP="005D1C04">
      <w:pPr>
        <w:widowControl w:val="0"/>
        <w:autoSpaceDE w:val="0"/>
        <w:autoSpaceDN w:val="0"/>
        <w:adjustRightInd w:val="0"/>
        <w:jc w:val="both"/>
        <w:rPr>
          <w:rFonts w:asciiTheme="majorHAnsi" w:hAnsiTheme="majorHAnsi" w:cs="Century Schoolbook"/>
        </w:rPr>
      </w:pPr>
      <w:r w:rsidRPr="00C5021C">
        <w:rPr>
          <w:rFonts w:asciiTheme="majorHAnsi" w:hAnsiTheme="majorHAnsi" w:cs="Century Schoolbook"/>
        </w:rPr>
        <w:t xml:space="preserve">Les aménagements prévus permettront l’amélioration de l’automatisation d’engraissement des porcs ainsi que des conditions d’élevages dans le bâtiment « maternité et post-sevrage » afin de diminuer la perte des porcelets lors des naissances. </w:t>
      </w:r>
    </w:p>
    <w:p w:rsidR="005D1C04" w:rsidRPr="00C5021C" w:rsidRDefault="005D1C04" w:rsidP="005D1C04">
      <w:pPr>
        <w:widowControl w:val="0"/>
        <w:autoSpaceDE w:val="0"/>
        <w:autoSpaceDN w:val="0"/>
        <w:adjustRightInd w:val="0"/>
        <w:jc w:val="both"/>
        <w:rPr>
          <w:rFonts w:asciiTheme="majorHAnsi" w:hAnsiTheme="majorHAnsi" w:cs="Century Schoolbook"/>
        </w:rPr>
      </w:pPr>
    </w:p>
    <w:p w:rsidR="005D1C04" w:rsidRPr="00C5021C" w:rsidRDefault="005D1C04" w:rsidP="005D1C04">
      <w:pPr>
        <w:widowControl w:val="0"/>
        <w:autoSpaceDE w:val="0"/>
        <w:autoSpaceDN w:val="0"/>
        <w:adjustRightInd w:val="0"/>
        <w:jc w:val="both"/>
        <w:rPr>
          <w:rFonts w:asciiTheme="majorHAnsi" w:hAnsiTheme="majorHAnsi" w:cs="Century Schoolbook"/>
        </w:rPr>
      </w:pPr>
      <w:r w:rsidRPr="00C5021C">
        <w:rPr>
          <w:rFonts w:asciiTheme="majorHAnsi" w:hAnsiTheme="majorHAnsi" w:cs="Century Schoolbook"/>
        </w:rPr>
        <w:t xml:space="preserve">Le conseil des ministres a accordé une subvention d’un montant de 23 235 038 </w:t>
      </w:r>
      <w:proofErr w:type="spellStart"/>
      <w:r w:rsidRPr="00C5021C">
        <w:rPr>
          <w:rFonts w:asciiTheme="majorHAnsi" w:hAnsiTheme="majorHAnsi" w:cs="Century Schoolbook"/>
        </w:rPr>
        <w:t>Fcfp</w:t>
      </w:r>
      <w:proofErr w:type="spellEnd"/>
      <w:r w:rsidRPr="00C5021C">
        <w:rPr>
          <w:rFonts w:asciiTheme="majorHAnsi" w:hAnsiTheme="majorHAnsi" w:cs="Century Schoolbook"/>
        </w:rPr>
        <w:t xml:space="preserve">. </w:t>
      </w:r>
    </w:p>
    <w:p w:rsidR="005D1C04" w:rsidRPr="00C5021C" w:rsidRDefault="005D1C04" w:rsidP="005D1C04">
      <w:pPr>
        <w:widowControl w:val="0"/>
        <w:autoSpaceDE w:val="0"/>
        <w:autoSpaceDN w:val="0"/>
        <w:adjustRightInd w:val="0"/>
        <w:jc w:val="both"/>
        <w:rPr>
          <w:rFonts w:asciiTheme="majorHAnsi" w:hAnsiTheme="majorHAnsi" w:cs="Century Schoolbook"/>
        </w:rPr>
      </w:pPr>
    </w:p>
    <w:p w:rsidR="005D1C04" w:rsidRPr="00C5021C" w:rsidRDefault="005D1C04" w:rsidP="005D1C04">
      <w:pPr>
        <w:widowControl w:val="0"/>
        <w:autoSpaceDE w:val="0"/>
        <w:autoSpaceDN w:val="0"/>
        <w:adjustRightInd w:val="0"/>
        <w:jc w:val="both"/>
        <w:rPr>
          <w:rFonts w:asciiTheme="majorHAnsi" w:hAnsiTheme="majorHAnsi" w:cs="Century Schoolbook"/>
        </w:rPr>
      </w:pPr>
    </w:p>
    <w:p w:rsidR="005D1C04" w:rsidRPr="00C5021C" w:rsidRDefault="005D1C04" w:rsidP="005D1C04">
      <w:pPr>
        <w:widowControl w:val="0"/>
        <w:autoSpaceDE w:val="0"/>
        <w:autoSpaceDN w:val="0"/>
        <w:adjustRightInd w:val="0"/>
        <w:jc w:val="both"/>
        <w:rPr>
          <w:rFonts w:asciiTheme="majorHAnsi" w:hAnsiTheme="majorHAnsi" w:cs="Century Schoolbook"/>
          <w:b/>
        </w:rPr>
      </w:pPr>
      <w:r w:rsidRPr="00C5021C">
        <w:rPr>
          <w:rFonts w:asciiTheme="majorHAnsi" w:hAnsiTheme="majorHAnsi" w:cs="Century Schoolbook"/>
          <w:b/>
        </w:rPr>
        <w:t>Attribution d’aides financière</w:t>
      </w:r>
      <w:r w:rsidR="00874293" w:rsidRPr="00C5021C">
        <w:rPr>
          <w:rFonts w:asciiTheme="majorHAnsi" w:hAnsiTheme="majorHAnsi" w:cs="Century Schoolbook"/>
          <w:b/>
        </w:rPr>
        <w:t>s</w:t>
      </w:r>
      <w:r w:rsidRPr="00C5021C">
        <w:rPr>
          <w:rFonts w:asciiTheme="majorHAnsi" w:hAnsiTheme="majorHAnsi" w:cs="Century Schoolbook"/>
          <w:b/>
        </w:rPr>
        <w:t xml:space="preserve"> agricole</w:t>
      </w:r>
      <w:r w:rsidR="00874293" w:rsidRPr="00C5021C">
        <w:rPr>
          <w:rFonts w:asciiTheme="majorHAnsi" w:hAnsiTheme="majorHAnsi" w:cs="Century Schoolbook"/>
          <w:b/>
        </w:rPr>
        <w:t>s</w:t>
      </w:r>
      <w:r w:rsidRPr="00C5021C">
        <w:rPr>
          <w:rFonts w:asciiTheme="majorHAnsi" w:hAnsiTheme="majorHAnsi" w:cs="Century Schoolbook"/>
          <w:b/>
        </w:rPr>
        <w:t xml:space="preserve"> en faveur de 13 associations de Polynésie pour le soutien en équipements, d’agro-transformation et d’aménagements fonciers</w:t>
      </w:r>
    </w:p>
    <w:p w:rsidR="005D1C04" w:rsidRPr="00C5021C" w:rsidRDefault="005D1C04" w:rsidP="005D1C04">
      <w:pPr>
        <w:widowControl w:val="0"/>
        <w:autoSpaceDE w:val="0"/>
        <w:autoSpaceDN w:val="0"/>
        <w:adjustRightInd w:val="0"/>
        <w:jc w:val="both"/>
        <w:rPr>
          <w:rFonts w:asciiTheme="majorHAnsi" w:hAnsiTheme="majorHAnsi" w:cs="Century Schoolbook"/>
        </w:rPr>
      </w:pPr>
    </w:p>
    <w:p w:rsidR="005D1C04" w:rsidRPr="00C5021C" w:rsidRDefault="005D1C04" w:rsidP="005D1C04">
      <w:pPr>
        <w:widowControl w:val="0"/>
        <w:autoSpaceDE w:val="0"/>
        <w:autoSpaceDN w:val="0"/>
        <w:adjustRightInd w:val="0"/>
        <w:jc w:val="both"/>
        <w:rPr>
          <w:rFonts w:asciiTheme="majorHAnsi" w:hAnsiTheme="majorHAnsi" w:cs="Century Schoolbook"/>
        </w:rPr>
      </w:pPr>
      <w:r w:rsidRPr="00C5021C">
        <w:rPr>
          <w:rFonts w:asciiTheme="majorHAnsi" w:hAnsiTheme="majorHAnsi" w:cs="Century Schoolbook"/>
        </w:rPr>
        <w:t xml:space="preserve">Le conseil des Ministres a attribué des aides financières agricoles en faveur de 13 associations et coopératives issues de Tahiti, Raiatea, Rimatara, Nuku-Hiva, </w:t>
      </w:r>
      <w:proofErr w:type="spellStart"/>
      <w:r w:rsidRPr="00C5021C">
        <w:rPr>
          <w:rFonts w:asciiTheme="majorHAnsi" w:hAnsiTheme="majorHAnsi" w:cs="Century Schoolbook"/>
        </w:rPr>
        <w:t>Katiu</w:t>
      </w:r>
      <w:proofErr w:type="spellEnd"/>
      <w:r w:rsidRPr="00C5021C">
        <w:rPr>
          <w:rFonts w:asciiTheme="majorHAnsi" w:hAnsiTheme="majorHAnsi" w:cs="Century Schoolbook"/>
        </w:rPr>
        <w:t xml:space="preserve">, </w:t>
      </w:r>
      <w:proofErr w:type="spellStart"/>
      <w:r w:rsidRPr="00C5021C">
        <w:rPr>
          <w:rFonts w:asciiTheme="majorHAnsi" w:hAnsiTheme="majorHAnsi" w:cs="Century Schoolbook"/>
        </w:rPr>
        <w:t>Anaa</w:t>
      </w:r>
      <w:proofErr w:type="spellEnd"/>
      <w:r w:rsidRPr="00C5021C">
        <w:rPr>
          <w:rFonts w:asciiTheme="majorHAnsi" w:hAnsiTheme="majorHAnsi" w:cs="Century Schoolbook"/>
        </w:rPr>
        <w:t>, Nukutavake afin de les soutenir dans le développement de l’agriculture au sein de leurs îles par l’acquisition d’équipements agricoles, d’agro-transformation et d’aménagement foncier.</w:t>
      </w:r>
    </w:p>
    <w:p w:rsidR="005D1C04" w:rsidRPr="00C5021C" w:rsidRDefault="005D1C04" w:rsidP="005D1C04">
      <w:pPr>
        <w:widowControl w:val="0"/>
        <w:autoSpaceDE w:val="0"/>
        <w:autoSpaceDN w:val="0"/>
        <w:adjustRightInd w:val="0"/>
        <w:jc w:val="both"/>
        <w:rPr>
          <w:rFonts w:asciiTheme="majorHAnsi" w:hAnsiTheme="majorHAnsi" w:cs="Century Schoolbook"/>
        </w:rPr>
      </w:pPr>
      <w:r w:rsidRPr="00C5021C">
        <w:rPr>
          <w:rFonts w:asciiTheme="majorHAnsi" w:hAnsiTheme="majorHAnsi" w:cs="Century Schoolbook"/>
        </w:rPr>
        <w:t xml:space="preserve">Des montants compris, dans une fourchette d’1 253 000 </w:t>
      </w:r>
      <w:proofErr w:type="spellStart"/>
      <w:r w:rsidRPr="00C5021C">
        <w:rPr>
          <w:rFonts w:asciiTheme="majorHAnsi" w:hAnsiTheme="majorHAnsi" w:cs="Century Schoolbook"/>
        </w:rPr>
        <w:t>Fcfp</w:t>
      </w:r>
      <w:proofErr w:type="spellEnd"/>
      <w:r w:rsidRPr="00C5021C">
        <w:rPr>
          <w:rFonts w:asciiTheme="majorHAnsi" w:hAnsiTheme="majorHAnsi" w:cs="Century Schoolbook"/>
        </w:rPr>
        <w:t xml:space="preserve"> à 15  000 000 </w:t>
      </w:r>
      <w:proofErr w:type="spellStart"/>
      <w:r w:rsidRPr="00C5021C">
        <w:rPr>
          <w:rFonts w:asciiTheme="majorHAnsi" w:hAnsiTheme="majorHAnsi" w:cs="Century Schoolbook"/>
        </w:rPr>
        <w:t>Fcfp</w:t>
      </w:r>
      <w:proofErr w:type="spellEnd"/>
      <w:r w:rsidR="006717DA" w:rsidRPr="00C5021C">
        <w:rPr>
          <w:rFonts w:asciiTheme="majorHAnsi" w:hAnsiTheme="majorHAnsi" w:cs="Century Schoolbook"/>
        </w:rPr>
        <w:t>,</w:t>
      </w:r>
      <w:r w:rsidRPr="00C5021C">
        <w:rPr>
          <w:rFonts w:asciiTheme="majorHAnsi" w:hAnsiTheme="majorHAnsi" w:cs="Century Schoolbook"/>
        </w:rPr>
        <w:t xml:space="preserve"> leur ont été attribués.</w:t>
      </w:r>
    </w:p>
    <w:p w:rsidR="005D1C04" w:rsidRPr="00C5021C" w:rsidRDefault="005D1C04" w:rsidP="005D1C04">
      <w:pPr>
        <w:widowControl w:val="0"/>
        <w:autoSpaceDE w:val="0"/>
        <w:autoSpaceDN w:val="0"/>
        <w:adjustRightInd w:val="0"/>
        <w:jc w:val="both"/>
        <w:rPr>
          <w:rFonts w:asciiTheme="majorHAnsi" w:hAnsiTheme="majorHAnsi" w:cs="Century Schoolbook"/>
        </w:rPr>
      </w:pPr>
    </w:p>
    <w:p w:rsidR="005D1C04" w:rsidRPr="00C5021C" w:rsidRDefault="005D1C04" w:rsidP="005D1C04">
      <w:pPr>
        <w:widowControl w:val="0"/>
        <w:autoSpaceDE w:val="0"/>
        <w:autoSpaceDN w:val="0"/>
        <w:adjustRightInd w:val="0"/>
        <w:jc w:val="both"/>
        <w:rPr>
          <w:rFonts w:asciiTheme="majorHAnsi" w:hAnsiTheme="majorHAnsi" w:cs="Century Schoolbook"/>
        </w:rPr>
      </w:pPr>
    </w:p>
    <w:p w:rsidR="005D1C04" w:rsidRPr="00C5021C" w:rsidRDefault="005D1C04" w:rsidP="005D1C04">
      <w:pPr>
        <w:widowControl w:val="0"/>
        <w:autoSpaceDE w:val="0"/>
        <w:autoSpaceDN w:val="0"/>
        <w:adjustRightInd w:val="0"/>
        <w:jc w:val="both"/>
        <w:rPr>
          <w:rFonts w:asciiTheme="majorHAnsi" w:hAnsiTheme="majorHAnsi" w:cs="Century Schoolbook"/>
          <w:b/>
        </w:rPr>
      </w:pPr>
      <w:r w:rsidRPr="00C5021C">
        <w:rPr>
          <w:rFonts w:asciiTheme="majorHAnsi" w:hAnsiTheme="majorHAnsi" w:cs="Century Schoolbook"/>
          <w:b/>
        </w:rPr>
        <w:t>Attribution d’aides financières en faveur du soutien à la production de viande bovine</w:t>
      </w:r>
    </w:p>
    <w:p w:rsidR="005D1C04" w:rsidRPr="00C5021C" w:rsidRDefault="005D1C04" w:rsidP="005D1C04">
      <w:pPr>
        <w:widowControl w:val="0"/>
        <w:autoSpaceDE w:val="0"/>
        <w:autoSpaceDN w:val="0"/>
        <w:adjustRightInd w:val="0"/>
        <w:jc w:val="both"/>
        <w:rPr>
          <w:rFonts w:asciiTheme="majorHAnsi" w:hAnsiTheme="majorHAnsi" w:cs="Century Schoolbook"/>
        </w:rPr>
      </w:pPr>
    </w:p>
    <w:p w:rsidR="005D1C04" w:rsidRPr="00C5021C" w:rsidRDefault="005D1C04" w:rsidP="005D1C04">
      <w:pPr>
        <w:widowControl w:val="0"/>
        <w:autoSpaceDE w:val="0"/>
        <w:autoSpaceDN w:val="0"/>
        <w:adjustRightInd w:val="0"/>
        <w:jc w:val="both"/>
        <w:rPr>
          <w:rFonts w:asciiTheme="majorHAnsi" w:hAnsiTheme="majorHAnsi" w:cs="Century Schoolbook"/>
        </w:rPr>
      </w:pPr>
      <w:r w:rsidRPr="00C5021C">
        <w:rPr>
          <w:rFonts w:asciiTheme="majorHAnsi" w:hAnsiTheme="majorHAnsi" w:cs="Century Schoolbook"/>
        </w:rPr>
        <w:t xml:space="preserve">Dans le cadre du développement de la production bovine, le conseil des ministres a octroyé des aides pour la production de viande bovine à 4 entreprises d’élevage bovin et une coopérative du secteur pour un montant global de 30 921 753 </w:t>
      </w:r>
      <w:proofErr w:type="spellStart"/>
      <w:r w:rsidRPr="00C5021C">
        <w:rPr>
          <w:rFonts w:asciiTheme="majorHAnsi" w:hAnsiTheme="majorHAnsi" w:cs="Century Schoolbook"/>
        </w:rPr>
        <w:t>Fcfp</w:t>
      </w:r>
      <w:proofErr w:type="spellEnd"/>
      <w:r w:rsidRPr="00C5021C">
        <w:rPr>
          <w:rFonts w:asciiTheme="majorHAnsi" w:hAnsiTheme="majorHAnsi" w:cs="Century Schoolbook"/>
        </w:rPr>
        <w:t>. Le montant de cette aide a été déterminé au prorata</w:t>
      </w:r>
      <w:r w:rsidR="00874293" w:rsidRPr="00C5021C">
        <w:rPr>
          <w:rFonts w:asciiTheme="majorHAnsi" w:hAnsiTheme="majorHAnsi" w:cs="Century Schoolbook"/>
        </w:rPr>
        <w:t xml:space="preserve"> de la production bovine abattu</w:t>
      </w:r>
      <w:r w:rsidRPr="00C5021C">
        <w:rPr>
          <w:rFonts w:asciiTheme="majorHAnsi" w:hAnsiTheme="majorHAnsi" w:cs="Century Schoolbook"/>
        </w:rPr>
        <w:t xml:space="preserve"> en 2019.</w:t>
      </w:r>
    </w:p>
    <w:p w:rsidR="005D1C04" w:rsidRPr="00C5021C" w:rsidRDefault="005D1C04" w:rsidP="005D1C04">
      <w:pPr>
        <w:widowControl w:val="0"/>
        <w:autoSpaceDE w:val="0"/>
        <w:autoSpaceDN w:val="0"/>
        <w:adjustRightInd w:val="0"/>
        <w:jc w:val="both"/>
        <w:rPr>
          <w:rFonts w:asciiTheme="majorHAnsi" w:hAnsiTheme="majorHAnsi" w:cs="Century Schoolbook"/>
        </w:rPr>
      </w:pPr>
    </w:p>
    <w:p w:rsidR="005D1C04" w:rsidRPr="00C5021C" w:rsidRDefault="005D1C04" w:rsidP="005D1C04">
      <w:pPr>
        <w:widowControl w:val="0"/>
        <w:autoSpaceDE w:val="0"/>
        <w:autoSpaceDN w:val="0"/>
        <w:adjustRightInd w:val="0"/>
        <w:jc w:val="both"/>
        <w:rPr>
          <w:rFonts w:asciiTheme="majorHAnsi" w:hAnsiTheme="majorHAnsi" w:cs="Century Schoolbook"/>
        </w:rPr>
      </w:pPr>
    </w:p>
    <w:p w:rsidR="005D1C04" w:rsidRPr="00C5021C" w:rsidRDefault="005D1C04" w:rsidP="005D1C04">
      <w:pPr>
        <w:widowControl w:val="0"/>
        <w:autoSpaceDE w:val="0"/>
        <w:autoSpaceDN w:val="0"/>
        <w:adjustRightInd w:val="0"/>
        <w:jc w:val="both"/>
        <w:rPr>
          <w:rFonts w:asciiTheme="majorHAnsi" w:hAnsiTheme="majorHAnsi" w:cs="Century Schoolbook"/>
          <w:b/>
        </w:rPr>
      </w:pPr>
      <w:r w:rsidRPr="00C5021C">
        <w:rPr>
          <w:rFonts w:asciiTheme="majorHAnsi" w:hAnsiTheme="majorHAnsi" w:cs="Century Schoolbook"/>
          <w:b/>
        </w:rPr>
        <w:t>Attribution d’aides financière</w:t>
      </w:r>
      <w:r w:rsidR="00874293" w:rsidRPr="00C5021C">
        <w:rPr>
          <w:rFonts w:asciiTheme="majorHAnsi" w:hAnsiTheme="majorHAnsi" w:cs="Century Schoolbook"/>
          <w:b/>
        </w:rPr>
        <w:t>s</w:t>
      </w:r>
      <w:r w:rsidRPr="00C5021C">
        <w:rPr>
          <w:rFonts w:asciiTheme="majorHAnsi" w:hAnsiTheme="majorHAnsi" w:cs="Century Schoolbook"/>
          <w:b/>
        </w:rPr>
        <w:t xml:space="preserve"> agricole</w:t>
      </w:r>
      <w:r w:rsidR="00874293" w:rsidRPr="00C5021C">
        <w:rPr>
          <w:rFonts w:asciiTheme="majorHAnsi" w:hAnsiTheme="majorHAnsi" w:cs="Century Schoolbook"/>
          <w:b/>
        </w:rPr>
        <w:t>s</w:t>
      </w:r>
      <w:r w:rsidRPr="00C5021C">
        <w:rPr>
          <w:rFonts w:asciiTheme="majorHAnsi" w:hAnsiTheme="majorHAnsi" w:cs="Century Schoolbook"/>
          <w:b/>
        </w:rPr>
        <w:t xml:space="preserve"> en faveur de 8 entreprises agricoles pour le soutien en équipements, d’agro-transformation et d’aménagements fonciers</w:t>
      </w:r>
    </w:p>
    <w:p w:rsidR="005D1C04" w:rsidRPr="00C5021C" w:rsidRDefault="005D1C04" w:rsidP="005D1C04">
      <w:pPr>
        <w:widowControl w:val="0"/>
        <w:autoSpaceDE w:val="0"/>
        <w:autoSpaceDN w:val="0"/>
        <w:adjustRightInd w:val="0"/>
        <w:jc w:val="both"/>
        <w:rPr>
          <w:rFonts w:asciiTheme="majorHAnsi" w:hAnsiTheme="majorHAnsi" w:cs="Century Schoolbook"/>
        </w:rPr>
      </w:pPr>
    </w:p>
    <w:p w:rsidR="00F3421C" w:rsidRPr="00C5021C" w:rsidRDefault="005D1C04" w:rsidP="005D1C04">
      <w:pPr>
        <w:widowControl w:val="0"/>
        <w:tabs>
          <w:tab w:val="left" w:pos="3000"/>
        </w:tabs>
        <w:autoSpaceDE w:val="0"/>
        <w:autoSpaceDN w:val="0"/>
        <w:adjustRightInd w:val="0"/>
        <w:jc w:val="both"/>
        <w:rPr>
          <w:rFonts w:asciiTheme="majorHAnsi" w:hAnsiTheme="majorHAnsi" w:cs="Century Schoolbook"/>
        </w:rPr>
      </w:pPr>
      <w:r w:rsidRPr="00C5021C">
        <w:rPr>
          <w:rFonts w:asciiTheme="majorHAnsi" w:hAnsiTheme="majorHAnsi" w:cs="Century Schoolbook"/>
        </w:rPr>
        <w:t xml:space="preserve">Dans le cadre du développement des exploitations agricoles et de la valorisation des productions par le biais de l’agro-transformation, le Conseil des ministres a décidé de soutenir 8 entreprises agricoles pour un montant global de 67 779 896 </w:t>
      </w:r>
      <w:proofErr w:type="spellStart"/>
      <w:r w:rsidRPr="00C5021C">
        <w:rPr>
          <w:rFonts w:asciiTheme="majorHAnsi" w:hAnsiTheme="majorHAnsi" w:cs="Century Schoolbook"/>
        </w:rPr>
        <w:t>Fcfp</w:t>
      </w:r>
      <w:proofErr w:type="spellEnd"/>
      <w:r w:rsidRPr="00C5021C">
        <w:rPr>
          <w:rFonts w:asciiTheme="majorHAnsi" w:hAnsiTheme="majorHAnsi" w:cs="Century Schoolbook"/>
        </w:rPr>
        <w:t xml:space="preserve">. Ce montant correspond à une moyenne de 30 à 40% des dépenses éligibles. </w:t>
      </w:r>
    </w:p>
    <w:p w:rsidR="00874293" w:rsidRPr="00C5021C" w:rsidRDefault="00874293" w:rsidP="005D1C04">
      <w:pPr>
        <w:widowControl w:val="0"/>
        <w:tabs>
          <w:tab w:val="left" w:pos="3000"/>
        </w:tabs>
        <w:autoSpaceDE w:val="0"/>
        <w:autoSpaceDN w:val="0"/>
        <w:adjustRightInd w:val="0"/>
        <w:jc w:val="both"/>
        <w:rPr>
          <w:rFonts w:asciiTheme="majorHAnsi" w:hAnsiTheme="majorHAnsi" w:cs="Century Schoolbook"/>
        </w:rPr>
      </w:pPr>
    </w:p>
    <w:p w:rsidR="006A5DC1" w:rsidRPr="00C5021C" w:rsidRDefault="006A5DC1" w:rsidP="00874293">
      <w:pPr>
        <w:widowControl w:val="0"/>
        <w:autoSpaceDE w:val="0"/>
        <w:autoSpaceDN w:val="0"/>
        <w:adjustRightInd w:val="0"/>
        <w:jc w:val="both"/>
        <w:rPr>
          <w:rFonts w:asciiTheme="majorHAnsi" w:hAnsiTheme="majorHAnsi" w:cs="Century Schoolbook"/>
          <w:b/>
        </w:rPr>
      </w:pPr>
    </w:p>
    <w:p w:rsidR="006A5DC1" w:rsidRPr="00C5021C" w:rsidRDefault="006A5DC1" w:rsidP="00874293">
      <w:pPr>
        <w:widowControl w:val="0"/>
        <w:autoSpaceDE w:val="0"/>
        <w:autoSpaceDN w:val="0"/>
        <w:adjustRightInd w:val="0"/>
        <w:jc w:val="both"/>
        <w:rPr>
          <w:rFonts w:asciiTheme="majorHAnsi" w:hAnsiTheme="majorHAnsi" w:cs="Century Schoolbook"/>
          <w:b/>
        </w:rPr>
      </w:pPr>
    </w:p>
    <w:p w:rsidR="00874293" w:rsidRPr="00C5021C" w:rsidRDefault="00874293" w:rsidP="00874293">
      <w:pPr>
        <w:widowControl w:val="0"/>
        <w:autoSpaceDE w:val="0"/>
        <w:autoSpaceDN w:val="0"/>
        <w:adjustRightInd w:val="0"/>
        <w:jc w:val="both"/>
        <w:rPr>
          <w:rFonts w:asciiTheme="majorHAnsi" w:hAnsiTheme="majorHAnsi" w:cs="Century Schoolbook"/>
          <w:b/>
        </w:rPr>
      </w:pPr>
      <w:r w:rsidRPr="00C5021C">
        <w:rPr>
          <w:rFonts w:asciiTheme="majorHAnsi" w:hAnsiTheme="majorHAnsi" w:cs="Century Schoolbook"/>
          <w:b/>
        </w:rPr>
        <w:lastRenderedPageBreak/>
        <w:t>Aide agricole en faveur de l’installation d’un élevage de poules pondeuses</w:t>
      </w:r>
    </w:p>
    <w:p w:rsidR="00874293" w:rsidRPr="00C5021C" w:rsidRDefault="00874293" w:rsidP="00874293">
      <w:pPr>
        <w:widowControl w:val="0"/>
        <w:autoSpaceDE w:val="0"/>
        <w:autoSpaceDN w:val="0"/>
        <w:adjustRightInd w:val="0"/>
        <w:jc w:val="both"/>
        <w:rPr>
          <w:rFonts w:asciiTheme="majorHAnsi" w:hAnsiTheme="majorHAnsi" w:cs="Century Schoolbook"/>
        </w:rPr>
      </w:pPr>
    </w:p>
    <w:p w:rsidR="00874293" w:rsidRPr="00C5021C" w:rsidRDefault="00874293" w:rsidP="00874293">
      <w:pPr>
        <w:widowControl w:val="0"/>
        <w:autoSpaceDE w:val="0"/>
        <w:autoSpaceDN w:val="0"/>
        <w:adjustRightInd w:val="0"/>
        <w:jc w:val="both"/>
        <w:rPr>
          <w:rFonts w:asciiTheme="majorHAnsi" w:hAnsiTheme="majorHAnsi" w:cs="Century Schoolbook"/>
        </w:rPr>
      </w:pPr>
      <w:r w:rsidRPr="00C5021C">
        <w:rPr>
          <w:rFonts w:asciiTheme="majorHAnsi" w:hAnsiTheme="majorHAnsi" w:cs="Century Schoolbook"/>
        </w:rPr>
        <w:t xml:space="preserve">La SCA </w:t>
      </w:r>
      <w:proofErr w:type="spellStart"/>
      <w:r w:rsidRPr="00C5021C">
        <w:rPr>
          <w:rFonts w:asciiTheme="majorHAnsi" w:hAnsiTheme="majorHAnsi" w:cs="Century Schoolbook"/>
        </w:rPr>
        <w:t>Teva</w:t>
      </w:r>
      <w:proofErr w:type="spellEnd"/>
      <w:r w:rsidRPr="00C5021C">
        <w:rPr>
          <w:rFonts w:asciiTheme="majorHAnsi" w:hAnsiTheme="majorHAnsi" w:cs="Century Schoolbook"/>
        </w:rPr>
        <w:t xml:space="preserve"> </w:t>
      </w:r>
      <w:proofErr w:type="spellStart"/>
      <w:r w:rsidRPr="00C5021C">
        <w:rPr>
          <w:rFonts w:asciiTheme="majorHAnsi" w:hAnsiTheme="majorHAnsi" w:cs="Century Schoolbook"/>
        </w:rPr>
        <w:t>Farms</w:t>
      </w:r>
      <w:proofErr w:type="spellEnd"/>
      <w:r w:rsidRPr="00C5021C">
        <w:rPr>
          <w:rFonts w:asciiTheme="majorHAnsi" w:hAnsiTheme="majorHAnsi" w:cs="Century Schoolbook"/>
        </w:rPr>
        <w:t xml:space="preserve"> souhaite réaliser des investissements à hauteur de près de 100 millions </w:t>
      </w:r>
      <w:proofErr w:type="spellStart"/>
      <w:r w:rsidRPr="00C5021C">
        <w:rPr>
          <w:rFonts w:asciiTheme="majorHAnsi" w:hAnsiTheme="majorHAnsi" w:cs="Century Schoolbook"/>
        </w:rPr>
        <w:t>Fcfp</w:t>
      </w:r>
      <w:proofErr w:type="spellEnd"/>
      <w:r w:rsidRPr="00C5021C">
        <w:rPr>
          <w:rFonts w:asciiTheme="majorHAnsi" w:hAnsiTheme="majorHAnsi" w:cs="Century Schoolbook"/>
        </w:rPr>
        <w:t xml:space="preserve"> pour l’installation d’un élevage de 24 000 poules pondeuses et d’un atelier de conditionnement d’œufs. Cette exploitation permettra la création de 5 emplois à temps plein.</w:t>
      </w:r>
    </w:p>
    <w:p w:rsidR="00874293" w:rsidRPr="00C5021C" w:rsidRDefault="00874293" w:rsidP="00874293">
      <w:pPr>
        <w:widowControl w:val="0"/>
        <w:autoSpaceDE w:val="0"/>
        <w:autoSpaceDN w:val="0"/>
        <w:adjustRightInd w:val="0"/>
        <w:jc w:val="both"/>
        <w:rPr>
          <w:rFonts w:asciiTheme="majorHAnsi" w:hAnsiTheme="majorHAnsi" w:cs="Century Schoolbook"/>
        </w:rPr>
      </w:pPr>
    </w:p>
    <w:p w:rsidR="00874293" w:rsidRPr="00C5021C" w:rsidRDefault="00874293" w:rsidP="00874293">
      <w:pPr>
        <w:widowControl w:val="0"/>
        <w:autoSpaceDE w:val="0"/>
        <w:autoSpaceDN w:val="0"/>
        <w:adjustRightInd w:val="0"/>
        <w:jc w:val="both"/>
        <w:rPr>
          <w:rFonts w:asciiTheme="majorHAnsi" w:hAnsiTheme="majorHAnsi" w:cs="Century Schoolbook"/>
        </w:rPr>
      </w:pPr>
      <w:r w:rsidRPr="00C5021C">
        <w:rPr>
          <w:rFonts w:asciiTheme="majorHAnsi" w:hAnsiTheme="majorHAnsi" w:cs="Century Schoolbook"/>
        </w:rPr>
        <w:t xml:space="preserve">Le Conseil des ministres a attribué une aide de 25 millions </w:t>
      </w:r>
      <w:proofErr w:type="spellStart"/>
      <w:r w:rsidRPr="00C5021C">
        <w:rPr>
          <w:rFonts w:asciiTheme="majorHAnsi" w:hAnsiTheme="majorHAnsi" w:cs="Century Schoolbook"/>
        </w:rPr>
        <w:t>Fcfp</w:t>
      </w:r>
      <w:proofErr w:type="spellEnd"/>
      <w:r w:rsidRPr="00C5021C">
        <w:rPr>
          <w:rFonts w:asciiTheme="majorHAnsi" w:hAnsiTheme="majorHAnsi" w:cs="Century Schoolbook"/>
        </w:rPr>
        <w:t xml:space="preserve"> pour soutenir ce projet qui viendra consolider la production local d’œufs.</w:t>
      </w:r>
    </w:p>
    <w:p w:rsidR="00874293" w:rsidRPr="00C5021C" w:rsidRDefault="00874293" w:rsidP="005D1C04">
      <w:pPr>
        <w:widowControl w:val="0"/>
        <w:tabs>
          <w:tab w:val="left" w:pos="3000"/>
        </w:tabs>
        <w:autoSpaceDE w:val="0"/>
        <w:autoSpaceDN w:val="0"/>
        <w:adjustRightInd w:val="0"/>
        <w:jc w:val="both"/>
        <w:rPr>
          <w:rFonts w:asciiTheme="majorHAnsi" w:hAnsiTheme="majorHAnsi" w:cs="Century Schoolbook"/>
        </w:rPr>
      </w:pPr>
    </w:p>
    <w:p w:rsidR="00B60BCC" w:rsidRPr="00C5021C" w:rsidRDefault="00B60BCC" w:rsidP="00B60BCC">
      <w:pPr>
        <w:pStyle w:val="-LettreObjetGEDA"/>
        <w:tabs>
          <w:tab w:val="left" w:pos="709"/>
        </w:tabs>
        <w:ind w:left="0" w:firstLine="0"/>
        <w:rPr>
          <w:rFonts w:asciiTheme="majorHAnsi" w:hAnsiTheme="majorHAnsi"/>
          <w:b/>
          <w:noProof w:val="0"/>
          <w:szCs w:val="24"/>
        </w:rPr>
      </w:pPr>
      <w:r w:rsidRPr="00C5021C">
        <w:rPr>
          <w:rFonts w:asciiTheme="majorHAnsi" w:hAnsiTheme="majorHAnsi"/>
          <w:b/>
          <w:bCs/>
          <w:noProof w:val="0"/>
          <w:szCs w:val="24"/>
        </w:rPr>
        <w:t xml:space="preserve">Prêts d’objets pour la future salle d’exposition permanente : consolidation des partenariats à Paris, Londres et Cambridge du Musée de Tahiti et des Îles </w:t>
      </w:r>
    </w:p>
    <w:p w:rsidR="00B60BCC" w:rsidRPr="00C5021C" w:rsidRDefault="00B60BCC" w:rsidP="00B60BCC">
      <w:pPr>
        <w:pStyle w:val="-LettreTexteGEDA"/>
        <w:spacing w:before="240"/>
        <w:ind w:firstLine="0"/>
        <w:rPr>
          <w:rFonts w:asciiTheme="majorHAnsi" w:hAnsiTheme="majorHAnsi"/>
          <w:noProof w:val="0"/>
          <w:szCs w:val="24"/>
        </w:rPr>
      </w:pPr>
      <w:r w:rsidRPr="00C5021C">
        <w:rPr>
          <w:rFonts w:asciiTheme="majorHAnsi" w:hAnsiTheme="majorHAnsi"/>
          <w:noProof w:val="0"/>
          <w:szCs w:val="24"/>
        </w:rPr>
        <w:t xml:space="preserve">Dans le cadre du projet d’aménagement et de rénovation du musée, le Musée de Tahiti et des Îles a entamé plusieurs démarches de partenariats avec les musées disposant de collections d’objets du patrimoine culturel polynésien pour des prêts d’œuvres qui seront exposés dans la future salle d’exposition permanente du musée. </w:t>
      </w:r>
    </w:p>
    <w:p w:rsidR="00B60BCC" w:rsidRPr="00C5021C" w:rsidRDefault="00B60BCC" w:rsidP="00B60BCC">
      <w:pPr>
        <w:pStyle w:val="-LettreTexteGEDA"/>
        <w:ind w:firstLine="0"/>
        <w:rPr>
          <w:rFonts w:asciiTheme="majorHAnsi" w:hAnsiTheme="majorHAnsi"/>
          <w:color w:val="010101"/>
          <w:szCs w:val="24"/>
        </w:rPr>
      </w:pPr>
      <w:r w:rsidRPr="00C5021C">
        <w:rPr>
          <w:rFonts w:asciiTheme="majorHAnsi" w:hAnsiTheme="majorHAnsi"/>
          <w:noProof w:val="0"/>
          <w:szCs w:val="24"/>
        </w:rPr>
        <w:t>Ainsi, depuis 2018, la directrice du musée et le ministre de la Culture et de l’environnement, en charge de l’artisanat, ont effectué plusieurs missions à Paris et en Angleterre, pour entamer les démarches de prêts d’œuvre avec le musée du quai Branly – Jacques Chirac, le British Museum et le</w:t>
      </w:r>
      <w:r w:rsidRPr="00C5021C">
        <w:rPr>
          <w:rFonts w:asciiTheme="majorHAnsi" w:hAnsiTheme="majorHAnsi"/>
          <w:color w:val="010101"/>
          <w:szCs w:val="24"/>
        </w:rPr>
        <w:t xml:space="preserve"> Museum of Archaelogy and Anthropology de Cambridge.</w:t>
      </w:r>
    </w:p>
    <w:p w:rsidR="00B60BCC" w:rsidRPr="00C5021C" w:rsidRDefault="00B60BCC" w:rsidP="00B60BCC">
      <w:pPr>
        <w:pStyle w:val="-LettreTexteGEDA"/>
        <w:ind w:firstLine="0"/>
        <w:rPr>
          <w:rFonts w:asciiTheme="majorHAnsi" w:hAnsiTheme="majorHAnsi"/>
          <w:noProof w:val="0"/>
          <w:szCs w:val="24"/>
        </w:rPr>
      </w:pPr>
      <w:r w:rsidRPr="00C5021C">
        <w:rPr>
          <w:rFonts w:asciiTheme="majorHAnsi" w:hAnsiTheme="majorHAnsi"/>
          <w:noProof w:val="0"/>
          <w:szCs w:val="24"/>
        </w:rPr>
        <w:t xml:space="preserve">La nouvelle mission prévue au mois de septembre a pour objectif de consolider les partenariats avec les 3 institutions muséales par la signature de convention, de remise en mains propres de documents pour les demandes de prêts, et de rendez-vous pour confirmer les prêts. </w:t>
      </w:r>
    </w:p>
    <w:p w:rsidR="00B60BCC" w:rsidRPr="00C5021C" w:rsidRDefault="00B60BCC" w:rsidP="00B60BCC">
      <w:pPr>
        <w:pStyle w:val="-LettreTexteGEDA"/>
        <w:ind w:firstLine="0"/>
        <w:rPr>
          <w:rFonts w:asciiTheme="majorHAnsi" w:hAnsiTheme="majorHAnsi"/>
          <w:noProof w:val="0"/>
          <w:szCs w:val="24"/>
        </w:rPr>
      </w:pPr>
      <w:r w:rsidRPr="00C5021C">
        <w:rPr>
          <w:rFonts w:asciiTheme="majorHAnsi" w:hAnsiTheme="majorHAnsi"/>
          <w:noProof w:val="0"/>
          <w:szCs w:val="24"/>
        </w:rPr>
        <w:t>Ainsi, le lundi 23 septembre, une délégation composée du Président du Pays, de la Directrice du musée et du ministre de la Culture se rendra au Musée du quai Branly – Jacques Chirac pour la signature d’une convention définissant les grandes lignes du projet de collaboration culturelle entre les deux musées et notamment le dépôt du fragment du « </w:t>
      </w:r>
      <w:proofErr w:type="spellStart"/>
      <w:r w:rsidRPr="00C5021C">
        <w:rPr>
          <w:rFonts w:asciiTheme="majorHAnsi" w:hAnsiTheme="majorHAnsi"/>
          <w:i/>
          <w:noProof w:val="0"/>
          <w:szCs w:val="24"/>
        </w:rPr>
        <w:t>maro</w:t>
      </w:r>
      <w:proofErr w:type="spellEnd"/>
      <w:r w:rsidRPr="00C5021C">
        <w:rPr>
          <w:rFonts w:asciiTheme="majorHAnsi" w:hAnsiTheme="majorHAnsi"/>
          <w:i/>
          <w:noProof w:val="0"/>
          <w:szCs w:val="24"/>
        </w:rPr>
        <w:t xml:space="preserve"> ‘</w:t>
      </w:r>
      <w:proofErr w:type="spellStart"/>
      <w:r w:rsidRPr="00C5021C">
        <w:rPr>
          <w:rFonts w:asciiTheme="majorHAnsi" w:hAnsiTheme="majorHAnsi"/>
          <w:i/>
          <w:noProof w:val="0"/>
          <w:szCs w:val="24"/>
        </w:rPr>
        <w:t>ura</w:t>
      </w:r>
      <w:proofErr w:type="spellEnd"/>
      <w:r w:rsidRPr="00C5021C">
        <w:rPr>
          <w:rFonts w:asciiTheme="majorHAnsi" w:hAnsiTheme="majorHAnsi"/>
          <w:noProof w:val="0"/>
          <w:szCs w:val="24"/>
        </w:rPr>
        <w:t> » au musée de Tahiti et des Îles.</w:t>
      </w:r>
    </w:p>
    <w:p w:rsidR="00B60BCC" w:rsidRPr="00C5021C" w:rsidRDefault="00B60BCC" w:rsidP="00B60BCC">
      <w:pPr>
        <w:pStyle w:val="-LettreTexteGEDA"/>
        <w:ind w:firstLine="0"/>
        <w:rPr>
          <w:rFonts w:asciiTheme="majorHAnsi" w:eastAsia="Arial Unicode MS" w:hAnsiTheme="majorHAnsi"/>
          <w:szCs w:val="24"/>
        </w:rPr>
      </w:pPr>
      <w:r w:rsidRPr="00C5021C">
        <w:rPr>
          <w:rFonts w:asciiTheme="majorHAnsi" w:hAnsiTheme="majorHAnsi"/>
          <w:noProof w:val="0"/>
          <w:szCs w:val="24"/>
        </w:rPr>
        <w:t xml:space="preserve">En outre, la directrice du Musée de Tahiti et des Îles compte mettre à profit ce déplacement pour rencontrer le Studio </w:t>
      </w:r>
      <w:proofErr w:type="spellStart"/>
      <w:r w:rsidRPr="00C5021C">
        <w:rPr>
          <w:rFonts w:asciiTheme="majorHAnsi" w:hAnsiTheme="majorHAnsi"/>
          <w:noProof w:val="0"/>
          <w:szCs w:val="24"/>
        </w:rPr>
        <w:t>Gardère</w:t>
      </w:r>
      <w:proofErr w:type="spellEnd"/>
      <w:r w:rsidRPr="00C5021C">
        <w:rPr>
          <w:rFonts w:asciiTheme="majorHAnsi" w:hAnsiTheme="majorHAnsi"/>
          <w:noProof w:val="0"/>
          <w:szCs w:val="24"/>
        </w:rPr>
        <w:t xml:space="preserve"> pour la scénographie du futur musée mais également Jacques Florence et Hervé </w:t>
      </w:r>
      <w:proofErr w:type="spellStart"/>
      <w:r w:rsidRPr="00C5021C">
        <w:rPr>
          <w:rFonts w:asciiTheme="majorHAnsi" w:hAnsiTheme="majorHAnsi"/>
          <w:noProof w:val="0"/>
          <w:szCs w:val="24"/>
        </w:rPr>
        <w:t>Chevillotte</w:t>
      </w:r>
      <w:proofErr w:type="spellEnd"/>
      <w:r w:rsidRPr="00C5021C">
        <w:rPr>
          <w:rFonts w:asciiTheme="majorHAnsi" w:hAnsiTheme="majorHAnsi"/>
          <w:noProof w:val="0"/>
          <w:szCs w:val="24"/>
        </w:rPr>
        <w:t xml:space="preserve"> pour l’herbier de la Polynésie française dont la gestion a été transférée au Musée en 1994. </w:t>
      </w:r>
    </w:p>
    <w:p w:rsidR="00B60BCC" w:rsidRPr="00C5021C" w:rsidRDefault="00B60BCC" w:rsidP="00B60BCC">
      <w:pPr>
        <w:rPr>
          <w:rFonts w:asciiTheme="majorHAnsi" w:hAnsiTheme="majorHAnsi"/>
          <w:lang w:eastAsia="fr-FR"/>
        </w:rPr>
      </w:pPr>
    </w:p>
    <w:p w:rsidR="00B60BCC" w:rsidRPr="00C5021C" w:rsidRDefault="00B60BCC" w:rsidP="00B60BCC">
      <w:pPr>
        <w:spacing w:after="240"/>
        <w:jc w:val="both"/>
        <w:rPr>
          <w:rFonts w:asciiTheme="majorHAnsi" w:hAnsiTheme="majorHAnsi"/>
          <w:b/>
        </w:rPr>
      </w:pPr>
      <w:r w:rsidRPr="00C5021C">
        <w:rPr>
          <w:rFonts w:asciiTheme="majorHAnsi" w:eastAsia="Arial Unicode MS" w:hAnsiTheme="majorHAnsi"/>
          <w:b/>
        </w:rPr>
        <w:t xml:space="preserve">Projet Filliozat à Tahiti : subvention en faveur de l’association « Parent autrement à Tahiti » </w:t>
      </w:r>
    </w:p>
    <w:p w:rsidR="00B60BCC" w:rsidRPr="00C5021C" w:rsidRDefault="00B60BCC" w:rsidP="00B60BCC">
      <w:pPr>
        <w:pStyle w:val="-LettreTexteGEDA"/>
        <w:ind w:firstLine="0"/>
        <w:rPr>
          <w:rFonts w:asciiTheme="majorHAnsi" w:hAnsiTheme="majorHAnsi"/>
          <w:szCs w:val="24"/>
        </w:rPr>
      </w:pPr>
      <w:r w:rsidRPr="00C5021C">
        <w:rPr>
          <w:rFonts w:asciiTheme="majorHAnsi" w:hAnsiTheme="majorHAnsi"/>
          <w:szCs w:val="24"/>
        </w:rPr>
        <w:t xml:space="preserve">Sur proposition du ministère de la Famille et des solidarités, en charge de l’égalité des chances, le Conseil des ministres a octroyé une subvention de 2 056 750 Fcfp </w:t>
      </w:r>
      <w:r w:rsidRPr="00C5021C">
        <w:rPr>
          <w:rFonts w:asciiTheme="majorHAnsi" w:eastAsia="Arial Unicode MS" w:hAnsiTheme="majorHAnsi" w:cs="Arial Unicode MS"/>
          <w:szCs w:val="24"/>
        </w:rPr>
        <w:t xml:space="preserve">en faveur de l’association </w:t>
      </w:r>
      <w:r w:rsidRPr="00C5021C">
        <w:rPr>
          <w:rFonts w:asciiTheme="majorHAnsi" w:hAnsiTheme="majorHAnsi"/>
          <w:szCs w:val="24"/>
        </w:rPr>
        <w:t xml:space="preserve">« Parent autrement à Tahiti » afin de soutenir le projet « Filliozat à Tahiti ». </w:t>
      </w:r>
    </w:p>
    <w:p w:rsidR="00B60BCC" w:rsidRPr="00C5021C" w:rsidRDefault="00B60BCC" w:rsidP="00B60BCC">
      <w:pPr>
        <w:spacing w:before="100" w:beforeAutospacing="1" w:after="100" w:afterAutospacing="1"/>
        <w:jc w:val="both"/>
        <w:rPr>
          <w:rFonts w:asciiTheme="majorHAnsi" w:hAnsiTheme="majorHAnsi"/>
        </w:rPr>
      </w:pPr>
      <w:r w:rsidRPr="00C5021C">
        <w:rPr>
          <w:rFonts w:asciiTheme="majorHAnsi" w:hAnsiTheme="majorHAnsi"/>
        </w:rPr>
        <w:t>L’association « Parent autrement à Tahiti » est une association de loi 1901 dont le  projet associatif vise à promouvoir une éducation bienveillante à l’égard des enfants, non-</w:t>
      </w:r>
      <w:r w:rsidRPr="00C5021C">
        <w:rPr>
          <w:rFonts w:asciiTheme="majorHAnsi" w:hAnsiTheme="majorHAnsi"/>
        </w:rPr>
        <w:lastRenderedPageBreak/>
        <w:t xml:space="preserve">violente et respectueuse de valeurs essentielles telles que la protection de l’environnement, l’écoute et le </w:t>
      </w:r>
      <w:r w:rsidRPr="00C5021C">
        <w:rPr>
          <w:rFonts w:asciiTheme="majorHAnsi" w:hAnsiTheme="majorHAnsi"/>
          <w:noProof/>
          <w:lang w:eastAsia="fr-FR"/>
        </w:rPr>
        <w:t>partage</w:t>
      </w:r>
      <w:r w:rsidRPr="00C5021C">
        <w:rPr>
          <w:rFonts w:asciiTheme="majorHAnsi" w:hAnsiTheme="majorHAnsi"/>
        </w:rPr>
        <w:t xml:space="preserve">. A l’aide de pédagogies alternatives, il s’agit de développer les capacités et potentiels des enfants mais aussi de leurs parents en vue d’équilibrer et de pacifier au maximum les relations entre parents et enfants. </w:t>
      </w:r>
    </w:p>
    <w:p w:rsidR="00B60BCC" w:rsidRPr="00C5021C" w:rsidRDefault="00B60BCC" w:rsidP="00B60BCC">
      <w:pPr>
        <w:spacing w:before="100" w:beforeAutospacing="1" w:after="100" w:afterAutospacing="1"/>
        <w:jc w:val="both"/>
        <w:rPr>
          <w:rFonts w:asciiTheme="majorHAnsi" w:hAnsiTheme="majorHAnsi"/>
        </w:rPr>
      </w:pPr>
      <w:r w:rsidRPr="00C5021C">
        <w:rPr>
          <w:rFonts w:asciiTheme="majorHAnsi" w:hAnsiTheme="majorHAnsi"/>
        </w:rPr>
        <w:t>Dans cet objectif, et avec pour ambition d’atteindre un large public, l’association «  Parent autrement à Tahiti » a proposé de diffuser les méthodes de l’éducation positive au travers d’une conférence et de diverses formations réalisées en avril dernier par Isabelle Filliozat, psychothérapeute de renommée internationale.</w:t>
      </w:r>
    </w:p>
    <w:p w:rsidR="00B60BCC" w:rsidRPr="00C5021C" w:rsidRDefault="00B60BCC" w:rsidP="00B60BCC">
      <w:pPr>
        <w:pStyle w:val="-LettreTexteGEDA"/>
        <w:ind w:firstLine="0"/>
        <w:rPr>
          <w:rFonts w:asciiTheme="majorHAnsi" w:hAnsiTheme="majorHAnsi"/>
          <w:szCs w:val="24"/>
        </w:rPr>
      </w:pPr>
      <w:r w:rsidRPr="00C5021C">
        <w:rPr>
          <w:rFonts w:asciiTheme="majorHAnsi" w:hAnsiTheme="majorHAnsi"/>
          <w:szCs w:val="24"/>
        </w:rPr>
        <w:t>Les thématiques abordées par cette action s'inscrivent pleinement dans les missions de la DSFE (direction des solidarités, de la famille et de l’égalité), dans sa lutte contre toutes formes de violences intrafamiliales et de  ruptures du lien social.</w:t>
      </w:r>
    </w:p>
    <w:p w:rsidR="006717DA" w:rsidRPr="00C5021C" w:rsidRDefault="006717DA" w:rsidP="00B60BCC">
      <w:pPr>
        <w:rPr>
          <w:rFonts w:asciiTheme="majorHAnsi" w:hAnsiTheme="majorHAnsi"/>
          <w:lang w:eastAsia="fr-FR"/>
        </w:rPr>
      </w:pPr>
    </w:p>
    <w:p w:rsidR="00B60BCC" w:rsidRPr="00C5021C" w:rsidRDefault="00B60BCC" w:rsidP="00B60BCC">
      <w:pPr>
        <w:pStyle w:val="-LettreObjetGEDA"/>
        <w:tabs>
          <w:tab w:val="left" w:pos="709"/>
        </w:tabs>
        <w:ind w:left="0" w:firstLine="0"/>
        <w:rPr>
          <w:rFonts w:asciiTheme="majorHAnsi" w:hAnsiTheme="majorHAnsi"/>
          <w:b/>
          <w:bCs/>
          <w:noProof w:val="0"/>
          <w:szCs w:val="24"/>
        </w:rPr>
      </w:pPr>
      <w:r w:rsidRPr="00C5021C">
        <w:rPr>
          <w:rFonts w:asciiTheme="majorHAnsi" w:hAnsiTheme="majorHAnsi"/>
          <w:b/>
          <w:bCs/>
          <w:noProof w:val="0"/>
          <w:szCs w:val="24"/>
        </w:rPr>
        <w:t xml:space="preserve">Subventions en faveur </w:t>
      </w:r>
      <w:r w:rsidR="00874293" w:rsidRPr="00C5021C">
        <w:rPr>
          <w:rFonts w:asciiTheme="majorHAnsi" w:hAnsiTheme="majorHAnsi"/>
          <w:b/>
          <w:bCs/>
          <w:noProof w:val="0"/>
          <w:szCs w:val="24"/>
        </w:rPr>
        <w:t xml:space="preserve">de </w:t>
      </w:r>
      <w:r w:rsidR="00874293" w:rsidRPr="00C5021C">
        <w:rPr>
          <w:rFonts w:asciiTheme="majorHAnsi" w:hAnsiTheme="majorHAnsi"/>
          <w:b/>
          <w:szCs w:val="24"/>
        </w:rPr>
        <w:t>l’association des Diabétiques et Obèses de Polynésie française (ADOPF)</w:t>
      </w:r>
    </w:p>
    <w:p w:rsidR="00B60BCC" w:rsidRPr="00C5021C" w:rsidRDefault="00B60BCC" w:rsidP="00B60BCC">
      <w:pPr>
        <w:rPr>
          <w:rFonts w:asciiTheme="majorHAnsi" w:hAnsiTheme="majorHAnsi"/>
          <w:lang w:eastAsia="fr-FR"/>
        </w:rPr>
      </w:pPr>
    </w:p>
    <w:p w:rsidR="00874293" w:rsidRPr="00C5021C" w:rsidRDefault="00B60BCC" w:rsidP="00874293">
      <w:pPr>
        <w:spacing w:before="100" w:beforeAutospacing="1" w:after="100" w:afterAutospacing="1"/>
        <w:jc w:val="both"/>
        <w:rPr>
          <w:rFonts w:asciiTheme="majorHAnsi" w:hAnsiTheme="majorHAnsi"/>
        </w:rPr>
      </w:pPr>
      <w:r w:rsidRPr="00C5021C">
        <w:rPr>
          <w:rFonts w:asciiTheme="majorHAnsi" w:hAnsiTheme="majorHAnsi"/>
        </w:rPr>
        <w:t>Le Conseil des m</w:t>
      </w:r>
      <w:r w:rsidR="00874293" w:rsidRPr="00C5021C">
        <w:rPr>
          <w:rFonts w:asciiTheme="majorHAnsi" w:hAnsiTheme="majorHAnsi"/>
        </w:rPr>
        <w:t xml:space="preserve">inistres a examiné 1 dossier de subvention de fonctionnement, d’un montant de : </w:t>
      </w:r>
    </w:p>
    <w:p w:rsidR="00B60BCC" w:rsidRPr="00C5021C" w:rsidRDefault="00B60BCC" w:rsidP="00BF3AE2">
      <w:pPr>
        <w:pStyle w:val="Paragraphedeliste"/>
        <w:numPr>
          <w:ilvl w:val="1"/>
          <w:numId w:val="1"/>
        </w:numPr>
        <w:spacing w:before="240"/>
        <w:ind w:left="709"/>
        <w:jc w:val="both"/>
        <w:rPr>
          <w:rFonts w:asciiTheme="majorHAnsi" w:hAnsiTheme="majorHAnsi"/>
          <w:sz w:val="24"/>
          <w:szCs w:val="24"/>
        </w:rPr>
      </w:pPr>
      <w:r w:rsidRPr="00C5021C">
        <w:rPr>
          <w:rFonts w:asciiTheme="majorHAnsi" w:hAnsiTheme="majorHAnsi"/>
          <w:sz w:val="24"/>
          <w:szCs w:val="24"/>
        </w:rPr>
        <w:t>1 600 000 </w:t>
      </w:r>
      <w:proofErr w:type="spellStart"/>
      <w:r w:rsidRPr="00C5021C">
        <w:rPr>
          <w:rFonts w:asciiTheme="majorHAnsi" w:hAnsiTheme="majorHAnsi"/>
          <w:sz w:val="24"/>
          <w:szCs w:val="24"/>
        </w:rPr>
        <w:t>Fcfp</w:t>
      </w:r>
      <w:proofErr w:type="spellEnd"/>
      <w:r w:rsidRPr="00C5021C">
        <w:rPr>
          <w:rFonts w:asciiTheme="majorHAnsi" w:hAnsiTheme="majorHAnsi"/>
          <w:sz w:val="24"/>
          <w:szCs w:val="24"/>
        </w:rPr>
        <w:t xml:space="preserve"> en faveur de l’association des Diabétiques et Obèses de Polynésie française (ADOPF) pour financer son activité gén</w:t>
      </w:r>
      <w:r w:rsidR="00874293" w:rsidRPr="00C5021C">
        <w:rPr>
          <w:rFonts w:asciiTheme="majorHAnsi" w:hAnsiTheme="majorHAnsi"/>
          <w:sz w:val="24"/>
          <w:szCs w:val="24"/>
        </w:rPr>
        <w:t>érale au titre de l’année 2019.</w:t>
      </w:r>
    </w:p>
    <w:p w:rsidR="00BF3AE2" w:rsidRPr="00C5021C" w:rsidRDefault="00BF3AE2" w:rsidP="00BF3AE2">
      <w:pPr>
        <w:pStyle w:val="Paragraphedeliste"/>
        <w:spacing w:before="240"/>
        <w:ind w:left="709"/>
        <w:jc w:val="both"/>
        <w:rPr>
          <w:rFonts w:asciiTheme="majorHAnsi" w:hAnsiTheme="majorHAnsi"/>
          <w:sz w:val="24"/>
          <w:szCs w:val="24"/>
        </w:rPr>
      </w:pPr>
    </w:p>
    <w:p w:rsidR="00B60BCC" w:rsidRPr="00C5021C" w:rsidRDefault="00B60BCC" w:rsidP="00B60BCC">
      <w:pPr>
        <w:jc w:val="both"/>
        <w:rPr>
          <w:rFonts w:asciiTheme="majorHAnsi" w:hAnsiTheme="majorHAnsi"/>
          <w:b/>
        </w:rPr>
      </w:pPr>
      <w:r w:rsidRPr="00C5021C">
        <w:rPr>
          <w:rFonts w:asciiTheme="majorHAnsi" w:hAnsiTheme="majorHAnsi"/>
          <w:b/>
        </w:rPr>
        <w:t>Subventions de fonctionnement en faveur d’établissements publics d’enseignement</w:t>
      </w:r>
    </w:p>
    <w:p w:rsidR="00B60BCC" w:rsidRPr="00C5021C" w:rsidRDefault="00B60BCC" w:rsidP="00B60BCC">
      <w:pPr>
        <w:widowControl w:val="0"/>
        <w:autoSpaceDE w:val="0"/>
        <w:autoSpaceDN w:val="0"/>
        <w:adjustRightInd w:val="0"/>
        <w:rPr>
          <w:rFonts w:asciiTheme="majorHAnsi" w:hAnsiTheme="majorHAnsi"/>
          <w:b/>
        </w:rPr>
      </w:pPr>
    </w:p>
    <w:p w:rsidR="00B60BCC" w:rsidRPr="00C5021C" w:rsidRDefault="00B60BCC" w:rsidP="00B60BCC">
      <w:pPr>
        <w:widowControl w:val="0"/>
        <w:autoSpaceDE w:val="0"/>
        <w:autoSpaceDN w:val="0"/>
        <w:adjustRightInd w:val="0"/>
        <w:jc w:val="both"/>
        <w:rPr>
          <w:rFonts w:asciiTheme="majorHAnsi" w:hAnsiTheme="majorHAnsi"/>
        </w:rPr>
      </w:pPr>
      <w:r w:rsidRPr="00C5021C">
        <w:rPr>
          <w:rFonts w:asciiTheme="majorHAnsi" w:hAnsiTheme="majorHAnsi"/>
        </w:rPr>
        <w:t>Le Conseil des ministres a octroyé des subventions de fonctionnement à des établissements publics d’enseignement, selon les modalités suivantes :</w:t>
      </w:r>
    </w:p>
    <w:p w:rsidR="00B60BCC" w:rsidRPr="00C5021C" w:rsidRDefault="00B60BCC" w:rsidP="00B60BCC">
      <w:pPr>
        <w:pStyle w:val="-LettreTexteGEDA"/>
        <w:spacing w:after="180"/>
        <w:ind w:firstLine="0"/>
        <w:rPr>
          <w:rFonts w:asciiTheme="majorHAnsi" w:hAnsiTheme="majorHAnsi"/>
          <w:noProof w:val="0"/>
          <w:szCs w:val="24"/>
        </w:rPr>
      </w:pP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6095"/>
        <w:gridCol w:w="1560"/>
      </w:tblGrid>
      <w:tr w:rsidR="00B60BCC" w:rsidRPr="00C5021C" w:rsidTr="00B20954">
        <w:tc>
          <w:tcPr>
            <w:tcW w:w="2836" w:type="dxa"/>
            <w:vAlign w:val="center"/>
          </w:tcPr>
          <w:p w:rsidR="00B60BCC" w:rsidRPr="00C5021C" w:rsidRDefault="00B60BCC" w:rsidP="00B20954">
            <w:pPr>
              <w:pStyle w:val="-LettreTexteGEDA"/>
              <w:spacing w:before="0"/>
              <w:ind w:firstLine="0"/>
              <w:jc w:val="center"/>
              <w:rPr>
                <w:rFonts w:asciiTheme="majorHAnsi" w:hAnsiTheme="majorHAnsi"/>
                <w:b/>
                <w:noProof w:val="0"/>
                <w:szCs w:val="24"/>
              </w:rPr>
            </w:pPr>
            <w:r w:rsidRPr="00C5021C">
              <w:rPr>
                <w:rFonts w:asciiTheme="majorHAnsi" w:hAnsiTheme="majorHAnsi"/>
                <w:b/>
                <w:noProof w:val="0"/>
                <w:szCs w:val="24"/>
              </w:rPr>
              <w:t>Bénéficiaire</w:t>
            </w:r>
          </w:p>
        </w:tc>
        <w:tc>
          <w:tcPr>
            <w:tcW w:w="6095" w:type="dxa"/>
            <w:vAlign w:val="center"/>
          </w:tcPr>
          <w:p w:rsidR="00B60BCC" w:rsidRPr="00C5021C" w:rsidRDefault="00B60BCC" w:rsidP="00B20954">
            <w:pPr>
              <w:pStyle w:val="-LettreTexteGEDA"/>
              <w:spacing w:before="0"/>
              <w:ind w:firstLine="0"/>
              <w:jc w:val="center"/>
              <w:rPr>
                <w:rFonts w:asciiTheme="majorHAnsi" w:hAnsiTheme="majorHAnsi"/>
                <w:b/>
                <w:noProof w:val="0"/>
                <w:szCs w:val="24"/>
              </w:rPr>
            </w:pPr>
            <w:r w:rsidRPr="00C5021C">
              <w:rPr>
                <w:rFonts w:asciiTheme="majorHAnsi" w:hAnsiTheme="majorHAnsi"/>
                <w:b/>
                <w:noProof w:val="0"/>
                <w:szCs w:val="24"/>
              </w:rPr>
              <w:t>Objet de la subvention</w:t>
            </w:r>
          </w:p>
        </w:tc>
        <w:tc>
          <w:tcPr>
            <w:tcW w:w="1560" w:type="dxa"/>
            <w:vAlign w:val="center"/>
          </w:tcPr>
          <w:p w:rsidR="00B60BCC" w:rsidRPr="00C5021C" w:rsidRDefault="00B60BCC" w:rsidP="00B20954">
            <w:pPr>
              <w:pStyle w:val="-LettreTexteGEDA"/>
              <w:spacing w:before="0"/>
              <w:ind w:firstLine="0"/>
              <w:jc w:val="center"/>
              <w:rPr>
                <w:rFonts w:asciiTheme="majorHAnsi" w:hAnsiTheme="majorHAnsi"/>
                <w:b/>
                <w:noProof w:val="0"/>
                <w:szCs w:val="24"/>
              </w:rPr>
            </w:pPr>
            <w:r w:rsidRPr="00C5021C">
              <w:rPr>
                <w:rFonts w:asciiTheme="majorHAnsi" w:hAnsiTheme="majorHAnsi"/>
                <w:b/>
                <w:noProof w:val="0"/>
                <w:szCs w:val="24"/>
              </w:rPr>
              <w:t xml:space="preserve">Montant en </w:t>
            </w:r>
          </w:p>
          <w:p w:rsidR="00B60BCC" w:rsidRPr="00C5021C" w:rsidRDefault="00B60BCC" w:rsidP="00B20954">
            <w:pPr>
              <w:pStyle w:val="-LettreTexteGEDA"/>
              <w:spacing w:before="0"/>
              <w:ind w:firstLine="0"/>
              <w:jc w:val="center"/>
              <w:rPr>
                <w:rFonts w:asciiTheme="majorHAnsi" w:hAnsiTheme="majorHAnsi"/>
                <w:b/>
                <w:noProof w:val="0"/>
                <w:szCs w:val="24"/>
              </w:rPr>
            </w:pPr>
            <w:proofErr w:type="spellStart"/>
            <w:r w:rsidRPr="00C5021C">
              <w:rPr>
                <w:rFonts w:asciiTheme="majorHAnsi" w:hAnsiTheme="majorHAnsi"/>
                <w:b/>
                <w:noProof w:val="0"/>
                <w:szCs w:val="24"/>
              </w:rPr>
              <w:t>Fcfp</w:t>
            </w:r>
            <w:proofErr w:type="spellEnd"/>
          </w:p>
        </w:tc>
      </w:tr>
      <w:tr w:rsidR="00B60BCC" w:rsidRPr="00C5021C" w:rsidTr="00B20954">
        <w:trPr>
          <w:trHeight w:val="792"/>
        </w:trPr>
        <w:tc>
          <w:tcPr>
            <w:tcW w:w="2836" w:type="dxa"/>
            <w:vAlign w:val="center"/>
          </w:tcPr>
          <w:p w:rsidR="00B60BCC" w:rsidRPr="00C5021C" w:rsidRDefault="00B60BCC" w:rsidP="00B20954">
            <w:pPr>
              <w:pStyle w:val="-LettreTexteGEDA"/>
              <w:spacing w:after="120"/>
              <w:ind w:firstLine="0"/>
              <w:jc w:val="left"/>
              <w:rPr>
                <w:rFonts w:asciiTheme="majorHAnsi" w:hAnsiTheme="majorHAnsi"/>
                <w:noProof w:val="0"/>
                <w:szCs w:val="24"/>
              </w:rPr>
            </w:pPr>
            <w:r w:rsidRPr="00C5021C">
              <w:rPr>
                <w:rFonts w:asciiTheme="majorHAnsi" w:hAnsiTheme="majorHAnsi"/>
                <w:noProof w:val="0"/>
                <w:szCs w:val="24"/>
              </w:rPr>
              <w:t xml:space="preserve">Collège de </w:t>
            </w:r>
            <w:proofErr w:type="spellStart"/>
            <w:r w:rsidRPr="00C5021C">
              <w:rPr>
                <w:rFonts w:asciiTheme="majorHAnsi" w:hAnsiTheme="majorHAnsi"/>
                <w:noProof w:val="0"/>
                <w:szCs w:val="24"/>
              </w:rPr>
              <w:t>Faaroa</w:t>
            </w:r>
            <w:proofErr w:type="spellEnd"/>
          </w:p>
        </w:tc>
        <w:tc>
          <w:tcPr>
            <w:tcW w:w="6095" w:type="dxa"/>
            <w:vAlign w:val="center"/>
          </w:tcPr>
          <w:p w:rsidR="00B60BCC" w:rsidRPr="00C5021C" w:rsidRDefault="00B60BCC" w:rsidP="00B20954">
            <w:pPr>
              <w:pStyle w:val="-LettreTexteGEDA"/>
              <w:spacing w:before="0"/>
              <w:ind w:firstLine="0"/>
              <w:jc w:val="left"/>
              <w:rPr>
                <w:rFonts w:asciiTheme="majorHAnsi" w:hAnsiTheme="majorHAnsi"/>
                <w:szCs w:val="24"/>
              </w:rPr>
            </w:pPr>
            <w:r w:rsidRPr="00C5021C">
              <w:rPr>
                <w:rFonts w:asciiTheme="majorHAnsi" w:hAnsiTheme="majorHAnsi"/>
                <w:szCs w:val="24"/>
              </w:rPr>
              <w:t>La rénovation du dispositif d’évacuation des eaux usées</w:t>
            </w:r>
          </w:p>
        </w:tc>
        <w:tc>
          <w:tcPr>
            <w:tcW w:w="1560" w:type="dxa"/>
            <w:vAlign w:val="center"/>
          </w:tcPr>
          <w:p w:rsidR="00B60BCC" w:rsidRPr="00C5021C" w:rsidRDefault="00B60BCC" w:rsidP="00B20954">
            <w:pPr>
              <w:pStyle w:val="-LettreTexteGEDA"/>
              <w:spacing w:before="0"/>
              <w:ind w:firstLine="0"/>
              <w:jc w:val="center"/>
              <w:rPr>
                <w:rFonts w:asciiTheme="majorHAnsi" w:hAnsiTheme="majorHAnsi"/>
                <w:noProof w:val="0"/>
                <w:szCs w:val="24"/>
              </w:rPr>
            </w:pPr>
            <w:r w:rsidRPr="00C5021C">
              <w:rPr>
                <w:rFonts w:asciiTheme="majorHAnsi" w:hAnsiTheme="majorHAnsi"/>
                <w:noProof w:val="0"/>
                <w:szCs w:val="24"/>
              </w:rPr>
              <w:t>3 112 133</w:t>
            </w:r>
          </w:p>
        </w:tc>
      </w:tr>
      <w:tr w:rsidR="00B60BCC" w:rsidRPr="00C5021C" w:rsidTr="00B20954">
        <w:trPr>
          <w:trHeight w:val="792"/>
        </w:trPr>
        <w:tc>
          <w:tcPr>
            <w:tcW w:w="2836" w:type="dxa"/>
            <w:vAlign w:val="center"/>
          </w:tcPr>
          <w:p w:rsidR="00B60BCC" w:rsidRPr="00C5021C" w:rsidRDefault="00B60BCC" w:rsidP="00B20954">
            <w:pPr>
              <w:pStyle w:val="-LettreTexteGEDA"/>
              <w:spacing w:after="120"/>
              <w:ind w:firstLine="0"/>
              <w:jc w:val="left"/>
              <w:rPr>
                <w:rFonts w:asciiTheme="majorHAnsi" w:hAnsiTheme="majorHAnsi"/>
                <w:noProof w:val="0"/>
                <w:szCs w:val="24"/>
              </w:rPr>
            </w:pPr>
            <w:r w:rsidRPr="00C5021C">
              <w:rPr>
                <w:rFonts w:asciiTheme="majorHAnsi" w:hAnsiTheme="majorHAnsi"/>
                <w:noProof w:val="0"/>
                <w:szCs w:val="24"/>
              </w:rPr>
              <w:t>Collège de Tahaa</w:t>
            </w:r>
          </w:p>
        </w:tc>
        <w:tc>
          <w:tcPr>
            <w:tcW w:w="6095" w:type="dxa"/>
            <w:vAlign w:val="center"/>
          </w:tcPr>
          <w:p w:rsidR="00B60BCC" w:rsidRPr="00C5021C" w:rsidRDefault="00B60BCC" w:rsidP="00B20954">
            <w:pPr>
              <w:pStyle w:val="-LettreTexteGEDA"/>
              <w:spacing w:before="0"/>
              <w:ind w:firstLine="0"/>
              <w:jc w:val="left"/>
              <w:rPr>
                <w:rFonts w:asciiTheme="majorHAnsi" w:hAnsiTheme="majorHAnsi"/>
                <w:szCs w:val="24"/>
              </w:rPr>
            </w:pPr>
            <w:r w:rsidRPr="00C5021C">
              <w:rPr>
                <w:rFonts w:asciiTheme="majorHAnsi" w:hAnsiTheme="majorHAnsi"/>
                <w:szCs w:val="24"/>
              </w:rPr>
              <w:t>Les travaux de peinture</w:t>
            </w:r>
          </w:p>
        </w:tc>
        <w:tc>
          <w:tcPr>
            <w:tcW w:w="1560" w:type="dxa"/>
            <w:vAlign w:val="center"/>
          </w:tcPr>
          <w:p w:rsidR="00B60BCC" w:rsidRPr="00C5021C" w:rsidRDefault="00B60BCC" w:rsidP="00B20954">
            <w:pPr>
              <w:pStyle w:val="-LettreTexteGEDA"/>
              <w:spacing w:before="0"/>
              <w:ind w:firstLine="0"/>
              <w:jc w:val="center"/>
              <w:rPr>
                <w:rFonts w:asciiTheme="majorHAnsi" w:hAnsiTheme="majorHAnsi"/>
                <w:noProof w:val="0"/>
                <w:szCs w:val="24"/>
              </w:rPr>
            </w:pPr>
            <w:r w:rsidRPr="00C5021C">
              <w:rPr>
                <w:rFonts w:asciiTheme="majorHAnsi" w:hAnsiTheme="majorHAnsi"/>
                <w:noProof w:val="0"/>
                <w:szCs w:val="24"/>
              </w:rPr>
              <w:t>5 788 425</w:t>
            </w:r>
          </w:p>
        </w:tc>
      </w:tr>
      <w:tr w:rsidR="00B60BCC" w:rsidRPr="00C5021C" w:rsidTr="00B20954">
        <w:trPr>
          <w:trHeight w:val="792"/>
        </w:trPr>
        <w:tc>
          <w:tcPr>
            <w:tcW w:w="2836" w:type="dxa"/>
            <w:vAlign w:val="center"/>
          </w:tcPr>
          <w:p w:rsidR="00B60BCC" w:rsidRPr="00C5021C" w:rsidRDefault="00B60BCC" w:rsidP="00B20954">
            <w:pPr>
              <w:pStyle w:val="-LettreTexteGEDA"/>
              <w:spacing w:after="120"/>
              <w:ind w:firstLine="0"/>
              <w:jc w:val="left"/>
              <w:rPr>
                <w:rFonts w:asciiTheme="majorHAnsi" w:hAnsiTheme="majorHAnsi"/>
                <w:noProof w:val="0"/>
                <w:szCs w:val="24"/>
              </w:rPr>
            </w:pPr>
            <w:r w:rsidRPr="00C5021C">
              <w:rPr>
                <w:rFonts w:asciiTheme="majorHAnsi" w:hAnsiTheme="majorHAnsi"/>
                <w:noProof w:val="0"/>
                <w:szCs w:val="24"/>
              </w:rPr>
              <w:t xml:space="preserve">Lycée  professionnel de </w:t>
            </w:r>
            <w:proofErr w:type="spellStart"/>
            <w:r w:rsidRPr="00C5021C">
              <w:rPr>
                <w:rFonts w:asciiTheme="majorHAnsi" w:hAnsiTheme="majorHAnsi"/>
                <w:noProof w:val="0"/>
                <w:szCs w:val="24"/>
              </w:rPr>
              <w:t>Faa’a</w:t>
            </w:r>
            <w:proofErr w:type="spellEnd"/>
          </w:p>
        </w:tc>
        <w:tc>
          <w:tcPr>
            <w:tcW w:w="6095" w:type="dxa"/>
            <w:vAlign w:val="center"/>
          </w:tcPr>
          <w:p w:rsidR="00B60BCC" w:rsidRPr="00C5021C" w:rsidRDefault="00B60BCC" w:rsidP="00B20954">
            <w:pPr>
              <w:pStyle w:val="-LettreTexteGEDA"/>
              <w:spacing w:before="0"/>
              <w:ind w:firstLine="0"/>
              <w:jc w:val="left"/>
              <w:rPr>
                <w:rFonts w:asciiTheme="majorHAnsi" w:hAnsiTheme="majorHAnsi"/>
                <w:szCs w:val="24"/>
              </w:rPr>
            </w:pPr>
            <w:r w:rsidRPr="00C5021C">
              <w:rPr>
                <w:rFonts w:asciiTheme="majorHAnsi" w:hAnsiTheme="majorHAnsi"/>
                <w:szCs w:val="24"/>
              </w:rPr>
              <w:t>Le transport scolaire</w:t>
            </w:r>
          </w:p>
        </w:tc>
        <w:tc>
          <w:tcPr>
            <w:tcW w:w="1560" w:type="dxa"/>
            <w:vAlign w:val="center"/>
          </w:tcPr>
          <w:p w:rsidR="00B60BCC" w:rsidRPr="00C5021C" w:rsidRDefault="00B60BCC" w:rsidP="00B20954">
            <w:pPr>
              <w:pStyle w:val="-LettreTexteGEDA"/>
              <w:spacing w:before="0"/>
              <w:ind w:firstLine="0"/>
              <w:jc w:val="center"/>
              <w:rPr>
                <w:rFonts w:asciiTheme="majorHAnsi" w:hAnsiTheme="majorHAnsi"/>
                <w:noProof w:val="0"/>
                <w:szCs w:val="24"/>
              </w:rPr>
            </w:pPr>
            <w:r w:rsidRPr="00C5021C">
              <w:rPr>
                <w:rFonts w:asciiTheme="majorHAnsi" w:hAnsiTheme="majorHAnsi"/>
                <w:noProof w:val="0"/>
                <w:szCs w:val="24"/>
              </w:rPr>
              <w:t>3 213 000</w:t>
            </w:r>
          </w:p>
        </w:tc>
      </w:tr>
    </w:tbl>
    <w:p w:rsidR="00B60BCC" w:rsidRPr="00C5021C" w:rsidRDefault="00B60BCC" w:rsidP="00B60BCC">
      <w:pPr>
        <w:pStyle w:val="-LettreTexteGEDA"/>
        <w:spacing w:before="360"/>
        <w:ind w:firstLine="0"/>
        <w:rPr>
          <w:rFonts w:asciiTheme="majorHAnsi" w:hAnsiTheme="majorHAnsi"/>
          <w:noProof w:val="0"/>
          <w:szCs w:val="24"/>
        </w:rPr>
      </w:pPr>
      <w:r w:rsidRPr="00C5021C">
        <w:rPr>
          <w:rFonts w:asciiTheme="majorHAnsi" w:hAnsiTheme="majorHAnsi"/>
          <w:noProof w:val="0"/>
          <w:szCs w:val="24"/>
        </w:rPr>
        <w:t xml:space="preserve">Le montant global des subventions octroyées est de 12 113 558 </w:t>
      </w:r>
      <w:proofErr w:type="spellStart"/>
      <w:r w:rsidRPr="00C5021C">
        <w:rPr>
          <w:rFonts w:asciiTheme="majorHAnsi" w:hAnsiTheme="majorHAnsi"/>
          <w:noProof w:val="0"/>
          <w:szCs w:val="24"/>
        </w:rPr>
        <w:t>Fcfp</w:t>
      </w:r>
      <w:proofErr w:type="spellEnd"/>
      <w:r w:rsidRPr="00C5021C">
        <w:rPr>
          <w:rFonts w:asciiTheme="majorHAnsi" w:hAnsiTheme="majorHAnsi"/>
          <w:noProof w:val="0"/>
          <w:szCs w:val="24"/>
        </w:rPr>
        <w:t>.</w:t>
      </w:r>
    </w:p>
    <w:p w:rsidR="00B60BCC" w:rsidRPr="00C5021C" w:rsidRDefault="00B60BCC" w:rsidP="00B60BCC">
      <w:pPr>
        <w:widowControl w:val="0"/>
        <w:autoSpaceDE w:val="0"/>
        <w:autoSpaceDN w:val="0"/>
        <w:adjustRightInd w:val="0"/>
        <w:rPr>
          <w:rFonts w:asciiTheme="majorHAnsi" w:hAnsiTheme="majorHAnsi"/>
          <w:b/>
        </w:rPr>
      </w:pPr>
    </w:p>
    <w:p w:rsidR="00BF3AE2" w:rsidRPr="00C5021C" w:rsidRDefault="00BF3AE2" w:rsidP="00B60BCC">
      <w:pPr>
        <w:rPr>
          <w:rFonts w:asciiTheme="majorHAnsi" w:hAnsiTheme="majorHAnsi"/>
          <w:b/>
        </w:rPr>
      </w:pPr>
    </w:p>
    <w:p w:rsidR="00B60BCC" w:rsidRPr="00C5021C" w:rsidRDefault="00B60BCC" w:rsidP="00B60BCC">
      <w:pPr>
        <w:rPr>
          <w:rFonts w:asciiTheme="majorHAnsi" w:hAnsiTheme="majorHAnsi"/>
          <w:b/>
        </w:rPr>
      </w:pPr>
      <w:r w:rsidRPr="00C5021C">
        <w:rPr>
          <w:rFonts w:asciiTheme="majorHAnsi" w:hAnsiTheme="majorHAnsi"/>
          <w:b/>
        </w:rPr>
        <w:lastRenderedPageBreak/>
        <w:t>Subventions de fonctionnement aux associations sportives et de jeunesse</w:t>
      </w:r>
    </w:p>
    <w:p w:rsidR="00B60BCC" w:rsidRPr="00C5021C" w:rsidRDefault="00B60BCC" w:rsidP="00B60BCC">
      <w:pPr>
        <w:jc w:val="both"/>
        <w:rPr>
          <w:rFonts w:asciiTheme="majorHAnsi" w:hAnsiTheme="majorHAnsi"/>
        </w:rPr>
      </w:pPr>
    </w:p>
    <w:p w:rsidR="00B60BCC" w:rsidRPr="00C5021C" w:rsidRDefault="00B60BCC" w:rsidP="00B60BCC">
      <w:pPr>
        <w:jc w:val="both"/>
        <w:rPr>
          <w:rFonts w:asciiTheme="majorHAnsi" w:hAnsiTheme="majorHAnsi"/>
        </w:rPr>
      </w:pPr>
      <w:r w:rsidRPr="00C5021C">
        <w:rPr>
          <w:rFonts w:asciiTheme="majorHAnsi" w:hAnsiTheme="majorHAnsi"/>
        </w:rPr>
        <w:t xml:space="preserve">Le Conseil des ministres a examiné 16 dossiers de subventions destinées aux associations et fédérations sportives et de jeunesse, pour un montant global de 9 646 000 </w:t>
      </w:r>
      <w:proofErr w:type="spellStart"/>
      <w:r w:rsidRPr="00C5021C">
        <w:rPr>
          <w:rFonts w:asciiTheme="majorHAnsi" w:hAnsiTheme="majorHAnsi"/>
        </w:rPr>
        <w:t>Fcfp</w:t>
      </w:r>
      <w:proofErr w:type="spellEnd"/>
      <w:r w:rsidRPr="00C5021C">
        <w:rPr>
          <w:rFonts w:asciiTheme="majorHAnsi" w:hAnsiTheme="majorHAnsi"/>
        </w:rPr>
        <w:t>.</w:t>
      </w:r>
    </w:p>
    <w:p w:rsidR="00B60BCC" w:rsidRPr="00C5021C" w:rsidRDefault="00B60BCC" w:rsidP="00B60BCC">
      <w:pPr>
        <w:jc w:val="both"/>
        <w:rPr>
          <w:rFonts w:asciiTheme="majorHAnsi" w:hAnsiTheme="majorHAnsi"/>
        </w:rPr>
      </w:pPr>
    </w:p>
    <w:p w:rsidR="00B60BCC" w:rsidRPr="00C5021C" w:rsidRDefault="00B60BCC" w:rsidP="00B60BCC">
      <w:pPr>
        <w:jc w:val="both"/>
        <w:rPr>
          <w:rFonts w:asciiTheme="majorHAnsi" w:hAnsiTheme="majorHAnsi"/>
        </w:rPr>
      </w:pPr>
      <w:r w:rsidRPr="00C5021C">
        <w:rPr>
          <w:rFonts w:asciiTheme="majorHAnsi" w:hAnsiTheme="majorHAnsi"/>
        </w:rPr>
        <w:t xml:space="preserve">Les subventions attribuées sont les suivantes : </w:t>
      </w:r>
    </w:p>
    <w:p w:rsidR="00B60BCC" w:rsidRPr="00C5021C" w:rsidRDefault="00B60BCC" w:rsidP="00B60BCC">
      <w:pPr>
        <w:jc w:val="both"/>
        <w:rPr>
          <w:rFonts w:asciiTheme="majorHAnsi" w:hAnsiTheme="majorHAnsi"/>
        </w:rPr>
      </w:pPr>
    </w:p>
    <w:p w:rsidR="00B60BCC" w:rsidRPr="00C5021C" w:rsidRDefault="00B60BCC" w:rsidP="00B60BCC">
      <w:pPr>
        <w:pStyle w:val="Paragraphedeliste"/>
        <w:spacing w:after="240"/>
        <w:ind w:left="360"/>
        <w:jc w:val="both"/>
        <w:rPr>
          <w:rFonts w:asciiTheme="majorHAnsi" w:hAnsiTheme="majorHAnsi"/>
          <w:sz w:val="24"/>
          <w:szCs w:val="24"/>
        </w:rPr>
      </w:pPr>
      <w:r w:rsidRPr="00C5021C">
        <w:rPr>
          <w:rFonts w:asciiTheme="majorHAnsi" w:hAnsiTheme="majorHAnsi"/>
          <w:sz w:val="24"/>
          <w:szCs w:val="24"/>
        </w:rPr>
        <w:t>Subventions de fonctionnement au titre des activités générales pour 2019 :</w:t>
      </w:r>
    </w:p>
    <w:p w:rsidR="00B60BCC" w:rsidRPr="00C5021C" w:rsidRDefault="00B60BCC" w:rsidP="00B60BCC">
      <w:pPr>
        <w:pStyle w:val="Paragraphedeliste"/>
        <w:numPr>
          <w:ilvl w:val="1"/>
          <w:numId w:val="1"/>
        </w:numPr>
        <w:spacing w:before="240"/>
        <w:ind w:left="709"/>
        <w:jc w:val="both"/>
        <w:rPr>
          <w:rFonts w:asciiTheme="majorHAnsi" w:hAnsiTheme="majorHAnsi"/>
          <w:sz w:val="24"/>
          <w:szCs w:val="24"/>
        </w:rPr>
      </w:pPr>
      <w:r w:rsidRPr="00C5021C">
        <w:rPr>
          <w:rFonts w:asciiTheme="majorHAnsi" w:hAnsiTheme="majorHAnsi"/>
          <w:sz w:val="24"/>
          <w:szCs w:val="24"/>
        </w:rPr>
        <w:t xml:space="preserve">Fédération Tahitienne de Football Américain pour un montant de 1.765.000 </w:t>
      </w:r>
      <w:proofErr w:type="spellStart"/>
      <w:r w:rsidRPr="00C5021C">
        <w:rPr>
          <w:rFonts w:asciiTheme="majorHAnsi" w:hAnsiTheme="majorHAnsi"/>
          <w:sz w:val="24"/>
          <w:szCs w:val="24"/>
        </w:rPr>
        <w:t>Fcfp</w:t>
      </w:r>
      <w:proofErr w:type="spellEnd"/>
      <w:r w:rsidRPr="00C5021C">
        <w:rPr>
          <w:rFonts w:asciiTheme="majorHAnsi" w:hAnsiTheme="majorHAnsi"/>
          <w:sz w:val="24"/>
          <w:szCs w:val="24"/>
        </w:rPr>
        <w:t>;</w:t>
      </w:r>
    </w:p>
    <w:p w:rsidR="00B60BCC" w:rsidRPr="00C5021C" w:rsidRDefault="00B60BCC" w:rsidP="00B60BCC">
      <w:pPr>
        <w:pStyle w:val="Paragraphedeliste"/>
        <w:numPr>
          <w:ilvl w:val="0"/>
          <w:numId w:val="3"/>
        </w:numPr>
        <w:spacing w:before="120" w:after="240"/>
        <w:ind w:left="709"/>
        <w:jc w:val="both"/>
        <w:rPr>
          <w:rFonts w:asciiTheme="majorHAnsi" w:hAnsiTheme="majorHAnsi"/>
          <w:sz w:val="24"/>
          <w:szCs w:val="24"/>
        </w:rPr>
      </w:pPr>
      <w:r w:rsidRPr="00C5021C">
        <w:rPr>
          <w:rFonts w:asciiTheme="majorHAnsi" w:hAnsiTheme="majorHAnsi"/>
          <w:sz w:val="24"/>
          <w:szCs w:val="24"/>
        </w:rPr>
        <w:t xml:space="preserve">District de Volley-ball </w:t>
      </w:r>
      <w:proofErr w:type="spellStart"/>
      <w:r w:rsidRPr="00C5021C">
        <w:rPr>
          <w:rFonts w:asciiTheme="majorHAnsi" w:hAnsiTheme="majorHAnsi"/>
          <w:sz w:val="24"/>
          <w:szCs w:val="24"/>
        </w:rPr>
        <w:t>Apatoa</w:t>
      </w:r>
      <w:proofErr w:type="spellEnd"/>
      <w:r w:rsidRPr="00C5021C">
        <w:rPr>
          <w:rFonts w:asciiTheme="majorHAnsi" w:hAnsiTheme="majorHAnsi"/>
          <w:sz w:val="24"/>
          <w:szCs w:val="24"/>
        </w:rPr>
        <w:t xml:space="preserve"> O Te Ra pour un montant de 350 000 </w:t>
      </w:r>
      <w:proofErr w:type="spellStart"/>
      <w:r w:rsidRPr="00C5021C">
        <w:rPr>
          <w:rFonts w:asciiTheme="majorHAnsi" w:hAnsiTheme="majorHAnsi"/>
          <w:sz w:val="24"/>
          <w:szCs w:val="24"/>
        </w:rPr>
        <w:t>Fcfp</w:t>
      </w:r>
      <w:proofErr w:type="spellEnd"/>
      <w:r w:rsidRPr="00C5021C">
        <w:rPr>
          <w:rFonts w:asciiTheme="majorHAnsi" w:hAnsiTheme="majorHAnsi"/>
          <w:sz w:val="24"/>
          <w:szCs w:val="24"/>
        </w:rPr>
        <w:t> ;</w:t>
      </w:r>
    </w:p>
    <w:p w:rsidR="00B60BCC" w:rsidRPr="00C5021C" w:rsidRDefault="00B60BCC" w:rsidP="00B60BCC">
      <w:pPr>
        <w:pStyle w:val="Paragraphedeliste"/>
        <w:numPr>
          <w:ilvl w:val="0"/>
          <w:numId w:val="3"/>
        </w:numPr>
        <w:spacing w:before="120" w:after="240"/>
        <w:ind w:left="709"/>
        <w:jc w:val="both"/>
        <w:rPr>
          <w:rFonts w:asciiTheme="majorHAnsi" w:hAnsiTheme="majorHAnsi"/>
          <w:sz w:val="24"/>
          <w:szCs w:val="24"/>
        </w:rPr>
      </w:pPr>
      <w:r w:rsidRPr="00C5021C">
        <w:rPr>
          <w:rFonts w:asciiTheme="majorHAnsi" w:hAnsiTheme="majorHAnsi"/>
          <w:sz w:val="24"/>
          <w:szCs w:val="24"/>
        </w:rPr>
        <w:t xml:space="preserve">Association </w:t>
      </w:r>
      <w:proofErr w:type="spellStart"/>
      <w:r w:rsidRPr="00C5021C">
        <w:rPr>
          <w:rFonts w:asciiTheme="majorHAnsi" w:hAnsiTheme="majorHAnsi"/>
          <w:sz w:val="24"/>
          <w:szCs w:val="24"/>
        </w:rPr>
        <w:t>Ta’inuna</w:t>
      </w:r>
      <w:proofErr w:type="spellEnd"/>
      <w:r w:rsidRPr="00C5021C">
        <w:rPr>
          <w:rFonts w:asciiTheme="majorHAnsi" w:hAnsiTheme="majorHAnsi"/>
          <w:sz w:val="24"/>
          <w:szCs w:val="24"/>
        </w:rPr>
        <w:t xml:space="preserve"> </w:t>
      </w:r>
      <w:proofErr w:type="spellStart"/>
      <w:r w:rsidRPr="00C5021C">
        <w:rPr>
          <w:rFonts w:asciiTheme="majorHAnsi" w:hAnsiTheme="majorHAnsi"/>
          <w:sz w:val="24"/>
          <w:szCs w:val="24"/>
        </w:rPr>
        <w:t>Va’a</w:t>
      </w:r>
      <w:proofErr w:type="spellEnd"/>
      <w:r w:rsidRPr="00C5021C">
        <w:rPr>
          <w:rFonts w:asciiTheme="majorHAnsi" w:hAnsiTheme="majorHAnsi"/>
          <w:sz w:val="24"/>
          <w:szCs w:val="24"/>
        </w:rPr>
        <w:t xml:space="preserve"> pour un montant de 611 000 </w:t>
      </w:r>
      <w:proofErr w:type="spellStart"/>
      <w:r w:rsidRPr="00C5021C">
        <w:rPr>
          <w:rFonts w:asciiTheme="majorHAnsi" w:hAnsiTheme="majorHAnsi"/>
          <w:sz w:val="24"/>
          <w:szCs w:val="24"/>
        </w:rPr>
        <w:t>Fcfp</w:t>
      </w:r>
      <w:proofErr w:type="spellEnd"/>
      <w:r w:rsidRPr="00C5021C">
        <w:rPr>
          <w:rFonts w:asciiTheme="majorHAnsi" w:hAnsiTheme="majorHAnsi"/>
          <w:sz w:val="24"/>
          <w:szCs w:val="24"/>
        </w:rPr>
        <w:t> ;</w:t>
      </w:r>
    </w:p>
    <w:p w:rsidR="00B60BCC" w:rsidRPr="00C5021C" w:rsidRDefault="00B60BCC" w:rsidP="00B60BCC">
      <w:pPr>
        <w:pStyle w:val="Paragraphedeliste"/>
        <w:numPr>
          <w:ilvl w:val="0"/>
          <w:numId w:val="3"/>
        </w:numPr>
        <w:spacing w:before="120" w:after="240"/>
        <w:ind w:left="709"/>
        <w:jc w:val="both"/>
        <w:rPr>
          <w:rFonts w:asciiTheme="majorHAnsi" w:hAnsiTheme="majorHAnsi"/>
          <w:sz w:val="24"/>
          <w:szCs w:val="24"/>
        </w:rPr>
      </w:pPr>
      <w:r w:rsidRPr="00C5021C">
        <w:rPr>
          <w:rFonts w:asciiTheme="majorHAnsi" w:hAnsiTheme="majorHAnsi"/>
          <w:sz w:val="24"/>
          <w:szCs w:val="24"/>
        </w:rPr>
        <w:t xml:space="preserve">Association </w:t>
      </w:r>
      <w:proofErr w:type="spellStart"/>
      <w:r w:rsidRPr="00C5021C">
        <w:rPr>
          <w:rFonts w:asciiTheme="majorHAnsi" w:hAnsiTheme="majorHAnsi"/>
          <w:sz w:val="24"/>
          <w:szCs w:val="24"/>
        </w:rPr>
        <w:t>Rairoa</w:t>
      </w:r>
      <w:proofErr w:type="spellEnd"/>
      <w:r w:rsidRPr="00C5021C">
        <w:rPr>
          <w:rFonts w:asciiTheme="majorHAnsi" w:hAnsiTheme="majorHAnsi"/>
          <w:sz w:val="24"/>
          <w:szCs w:val="24"/>
        </w:rPr>
        <w:t xml:space="preserve"> </w:t>
      </w:r>
      <w:proofErr w:type="spellStart"/>
      <w:r w:rsidRPr="00C5021C">
        <w:rPr>
          <w:rFonts w:asciiTheme="majorHAnsi" w:hAnsiTheme="majorHAnsi"/>
          <w:sz w:val="24"/>
          <w:szCs w:val="24"/>
        </w:rPr>
        <w:t>Va’a</w:t>
      </w:r>
      <w:proofErr w:type="spellEnd"/>
      <w:r w:rsidRPr="00C5021C">
        <w:rPr>
          <w:rFonts w:asciiTheme="majorHAnsi" w:hAnsiTheme="majorHAnsi"/>
          <w:sz w:val="24"/>
          <w:szCs w:val="24"/>
        </w:rPr>
        <w:t xml:space="preserve"> pour un montant de 300 000 </w:t>
      </w:r>
      <w:proofErr w:type="spellStart"/>
      <w:r w:rsidRPr="00C5021C">
        <w:rPr>
          <w:rFonts w:asciiTheme="majorHAnsi" w:hAnsiTheme="majorHAnsi"/>
          <w:sz w:val="24"/>
          <w:szCs w:val="24"/>
        </w:rPr>
        <w:t>Fcfp</w:t>
      </w:r>
      <w:proofErr w:type="spellEnd"/>
      <w:r w:rsidRPr="00C5021C">
        <w:rPr>
          <w:rFonts w:asciiTheme="majorHAnsi" w:hAnsiTheme="majorHAnsi"/>
          <w:sz w:val="24"/>
          <w:szCs w:val="24"/>
        </w:rPr>
        <w:t> ;</w:t>
      </w:r>
    </w:p>
    <w:p w:rsidR="00B60BCC" w:rsidRPr="00C5021C" w:rsidRDefault="00B60BCC" w:rsidP="00B60BCC">
      <w:pPr>
        <w:pStyle w:val="Paragraphedeliste"/>
        <w:numPr>
          <w:ilvl w:val="0"/>
          <w:numId w:val="3"/>
        </w:numPr>
        <w:spacing w:before="120" w:after="240"/>
        <w:ind w:left="709"/>
        <w:jc w:val="both"/>
        <w:rPr>
          <w:rFonts w:asciiTheme="majorHAnsi" w:hAnsiTheme="majorHAnsi"/>
          <w:sz w:val="24"/>
          <w:szCs w:val="24"/>
        </w:rPr>
      </w:pPr>
      <w:r w:rsidRPr="00C5021C">
        <w:rPr>
          <w:rFonts w:asciiTheme="majorHAnsi" w:hAnsiTheme="majorHAnsi"/>
          <w:sz w:val="24"/>
          <w:szCs w:val="24"/>
        </w:rPr>
        <w:t>Association L’</w:t>
      </w:r>
      <w:proofErr w:type="spellStart"/>
      <w:r w:rsidRPr="00C5021C">
        <w:rPr>
          <w:rFonts w:asciiTheme="majorHAnsi" w:hAnsiTheme="majorHAnsi"/>
          <w:sz w:val="24"/>
          <w:szCs w:val="24"/>
        </w:rPr>
        <w:t>Olympic</w:t>
      </w:r>
      <w:proofErr w:type="spellEnd"/>
      <w:r w:rsidRPr="00C5021C">
        <w:rPr>
          <w:rFonts w:asciiTheme="majorHAnsi" w:hAnsiTheme="majorHAnsi"/>
          <w:sz w:val="24"/>
          <w:szCs w:val="24"/>
        </w:rPr>
        <w:t xml:space="preserve"> de </w:t>
      </w:r>
      <w:proofErr w:type="spellStart"/>
      <w:r w:rsidRPr="00C5021C">
        <w:rPr>
          <w:rFonts w:asciiTheme="majorHAnsi" w:hAnsiTheme="majorHAnsi"/>
          <w:sz w:val="24"/>
          <w:szCs w:val="24"/>
        </w:rPr>
        <w:t>Mahina</w:t>
      </w:r>
      <w:proofErr w:type="spellEnd"/>
      <w:r w:rsidRPr="00C5021C">
        <w:rPr>
          <w:rFonts w:asciiTheme="majorHAnsi" w:hAnsiTheme="majorHAnsi"/>
          <w:sz w:val="24"/>
          <w:szCs w:val="24"/>
        </w:rPr>
        <w:t xml:space="preserve"> pou</w:t>
      </w:r>
      <w:bookmarkStart w:id="0" w:name="_GoBack"/>
      <w:bookmarkEnd w:id="0"/>
      <w:r w:rsidRPr="00C5021C">
        <w:rPr>
          <w:rFonts w:asciiTheme="majorHAnsi" w:hAnsiTheme="majorHAnsi"/>
          <w:sz w:val="24"/>
          <w:szCs w:val="24"/>
        </w:rPr>
        <w:t xml:space="preserve">r un montant de 900 000 </w:t>
      </w:r>
      <w:proofErr w:type="spellStart"/>
      <w:r w:rsidRPr="00C5021C">
        <w:rPr>
          <w:rFonts w:asciiTheme="majorHAnsi" w:hAnsiTheme="majorHAnsi"/>
          <w:sz w:val="24"/>
          <w:szCs w:val="24"/>
        </w:rPr>
        <w:t>Fcfp</w:t>
      </w:r>
      <w:proofErr w:type="spellEnd"/>
      <w:r w:rsidRPr="00C5021C">
        <w:rPr>
          <w:rFonts w:asciiTheme="majorHAnsi" w:hAnsiTheme="majorHAnsi"/>
          <w:sz w:val="24"/>
          <w:szCs w:val="24"/>
        </w:rPr>
        <w:t> ;</w:t>
      </w:r>
    </w:p>
    <w:p w:rsidR="00B60BCC" w:rsidRPr="00C5021C" w:rsidRDefault="00B60BCC" w:rsidP="00B60BCC">
      <w:pPr>
        <w:pStyle w:val="Paragraphedeliste"/>
        <w:numPr>
          <w:ilvl w:val="0"/>
          <w:numId w:val="3"/>
        </w:numPr>
        <w:spacing w:before="120" w:after="240"/>
        <w:ind w:left="709"/>
        <w:jc w:val="both"/>
        <w:rPr>
          <w:rFonts w:asciiTheme="majorHAnsi" w:hAnsiTheme="majorHAnsi"/>
          <w:sz w:val="24"/>
          <w:szCs w:val="24"/>
        </w:rPr>
      </w:pPr>
      <w:r w:rsidRPr="00C5021C">
        <w:rPr>
          <w:rFonts w:asciiTheme="majorHAnsi" w:hAnsiTheme="majorHAnsi"/>
          <w:sz w:val="24"/>
          <w:szCs w:val="24"/>
        </w:rPr>
        <w:t xml:space="preserve">Association sportive Te </w:t>
      </w:r>
      <w:proofErr w:type="spellStart"/>
      <w:r w:rsidRPr="00C5021C">
        <w:rPr>
          <w:rFonts w:asciiTheme="majorHAnsi" w:hAnsiTheme="majorHAnsi"/>
          <w:sz w:val="24"/>
          <w:szCs w:val="24"/>
        </w:rPr>
        <w:t>U’i</w:t>
      </w:r>
      <w:proofErr w:type="spellEnd"/>
      <w:r w:rsidRPr="00C5021C">
        <w:rPr>
          <w:rFonts w:asciiTheme="majorHAnsi" w:hAnsiTheme="majorHAnsi"/>
          <w:sz w:val="24"/>
          <w:szCs w:val="24"/>
        </w:rPr>
        <w:t xml:space="preserve"> </w:t>
      </w:r>
      <w:proofErr w:type="spellStart"/>
      <w:r w:rsidRPr="00C5021C">
        <w:rPr>
          <w:rFonts w:asciiTheme="majorHAnsi" w:hAnsiTheme="majorHAnsi"/>
          <w:sz w:val="24"/>
          <w:szCs w:val="24"/>
        </w:rPr>
        <w:t>Tefana</w:t>
      </w:r>
      <w:proofErr w:type="spellEnd"/>
      <w:r w:rsidRPr="00C5021C">
        <w:rPr>
          <w:rFonts w:asciiTheme="majorHAnsi" w:hAnsiTheme="majorHAnsi"/>
          <w:sz w:val="24"/>
          <w:szCs w:val="24"/>
        </w:rPr>
        <w:t xml:space="preserve"> pour un montant de 300 000 </w:t>
      </w:r>
      <w:proofErr w:type="spellStart"/>
      <w:r w:rsidRPr="00C5021C">
        <w:rPr>
          <w:rFonts w:asciiTheme="majorHAnsi" w:hAnsiTheme="majorHAnsi"/>
          <w:sz w:val="24"/>
          <w:szCs w:val="24"/>
        </w:rPr>
        <w:t>Fcfp</w:t>
      </w:r>
      <w:proofErr w:type="spellEnd"/>
      <w:r w:rsidRPr="00C5021C">
        <w:rPr>
          <w:rFonts w:asciiTheme="majorHAnsi" w:hAnsiTheme="majorHAnsi"/>
          <w:sz w:val="24"/>
          <w:szCs w:val="24"/>
        </w:rPr>
        <w:t> ;</w:t>
      </w:r>
    </w:p>
    <w:p w:rsidR="00B60BCC" w:rsidRPr="00C5021C" w:rsidRDefault="00B60BCC" w:rsidP="00B60BCC">
      <w:pPr>
        <w:pStyle w:val="Paragraphedeliste"/>
        <w:numPr>
          <w:ilvl w:val="0"/>
          <w:numId w:val="3"/>
        </w:numPr>
        <w:spacing w:before="120" w:after="240"/>
        <w:ind w:left="709"/>
        <w:jc w:val="both"/>
        <w:rPr>
          <w:rFonts w:asciiTheme="majorHAnsi" w:hAnsiTheme="majorHAnsi"/>
          <w:sz w:val="24"/>
          <w:szCs w:val="24"/>
        </w:rPr>
      </w:pPr>
      <w:r w:rsidRPr="00C5021C">
        <w:rPr>
          <w:rFonts w:asciiTheme="majorHAnsi" w:hAnsiTheme="majorHAnsi"/>
          <w:sz w:val="24"/>
          <w:szCs w:val="24"/>
        </w:rPr>
        <w:t xml:space="preserve">Association </w:t>
      </w:r>
      <w:proofErr w:type="spellStart"/>
      <w:r w:rsidRPr="00C5021C">
        <w:rPr>
          <w:rFonts w:asciiTheme="majorHAnsi" w:hAnsiTheme="majorHAnsi"/>
          <w:sz w:val="24"/>
          <w:szCs w:val="24"/>
        </w:rPr>
        <w:t>Tehau</w:t>
      </w:r>
      <w:proofErr w:type="spellEnd"/>
      <w:r w:rsidRPr="00C5021C">
        <w:rPr>
          <w:rFonts w:asciiTheme="majorHAnsi" w:hAnsiTheme="majorHAnsi"/>
          <w:sz w:val="24"/>
          <w:szCs w:val="24"/>
        </w:rPr>
        <w:t xml:space="preserve"> Nui No Moorea pour un montant de 175 000 </w:t>
      </w:r>
      <w:proofErr w:type="spellStart"/>
      <w:r w:rsidRPr="00C5021C">
        <w:rPr>
          <w:rFonts w:asciiTheme="majorHAnsi" w:hAnsiTheme="majorHAnsi"/>
          <w:sz w:val="24"/>
          <w:szCs w:val="24"/>
        </w:rPr>
        <w:t>Fcfp</w:t>
      </w:r>
      <w:proofErr w:type="spellEnd"/>
      <w:r w:rsidRPr="00C5021C">
        <w:rPr>
          <w:rFonts w:asciiTheme="majorHAnsi" w:hAnsiTheme="majorHAnsi"/>
          <w:sz w:val="24"/>
          <w:szCs w:val="24"/>
        </w:rPr>
        <w:t> ;</w:t>
      </w:r>
    </w:p>
    <w:p w:rsidR="00B60BCC" w:rsidRPr="00C5021C" w:rsidRDefault="00B60BCC" w:rsidP="00B60BCC">
      <w:pPr>
        <w:pStyle w:val="Paragraphedeliste"/>
        <w:numPr>
          <w:ilvl w:val="0"/>
          <w:numId w:val="3"/>
        </w:numPr>
        <w:spacing w:before="120" w:after="240"/>
        <w:ind w:left="709"/>
        <w:jc w:val="both"/>
        <w:rPr>
          <w:rFonts w:asciiTheme="majorHAnsi" w:hAnsiTheme="majorHAnsi"/>
          <w:sz w:val="24"/>
          <w:szCs w:val="24"/>
        </w:rPr>
      </w:pPr>
      <w:r w:rsidRPr="00C5021C">
        <w:rPr>
          <w:rFonts w:asciiTheme="majorHAnsi" w:hAnsiTheme="majorHAnsi"/>
          <w:sz w:val="24"/>
          <w:szCs w:val="24"/>
        </w:rPr>
        <w:t xml:space="preserve">Association sportive </w:t>
      </w:r>
      <w:proofErr w:type="spellStart"/>
      <w:r w:rsidRPr="00C5021C">
        <w:rPr>
          <w:rFonts w:asciiTheme="majorHAnsi" w:hAnsiTheme="majorHAnsi"/>
          <w:sz w:val="24"/>
          <w:szCs w:val="24"/>
        </w:rPr>
        <w:t>Tefana</w:t>
      </w:r>
      <w:proofErr w:type="spellEnd"/>
      <w:r w:rsidRPr="00C5021C">
        <w:rPr>
          <w:rFonts w:asciiTheme="majorHAnsi" w:hAnsiTheme="majorHAnsi"/>
          <w:sz w:val="24"/>
          <w:szCs w:val="24"/>
        </w:rPr>
        <w:t xml:space="preserve"> chasse sous-marine  pour un montant de 500 000 </w:t>
      </w:r>
      <w:proofErr w:type="spellStart"/>
      <w:r w:rsidRPr="00C5021C">
        <w:rPr>
          <w:rFonts w:asciiTheme="majorHAnsi" w:hAnsiTheme="majorHAnsi"/>
          <w:sz w:val="24"/>
          <w:szCs w:val="24"/>
        </w:rPr>
        <w:t>Fcfp</w:t>
      </w:r>
      <w:proofErr w:type="spellEnd"/>
      <w:r w:rsidRPr="00C5021C">
        <w:rPr>
          <w:rFonts w:asciiTheme="majorHAnsi" w:hAnsiTheme="majorHAnsi"/>
          <w:sz w:val="24"/>
          <w:szCs w:val="24"/>
        </w:rPr>
        <w:t> ;</w:t>
      </w:r>
    </w:p>
    <w:p w:rsidR="00B60BCC" w:rsidRPr="00C5021C" w:rsidRDefault="00B60BCC" w:rsidP="00B60BCC">
      <w:pPr>
        <w:pStyle w:val="Paragraphedeliste"/>
        <w:numPr>
          <w:ilvl w:val="0"/>
          <w:numId w:val="3"/>
        </w:numPr>
        <w:spacing w:before="120" w:after="240"/>
        <w:ind w:left="709"/>
        <w:jc w:val="both"/>
        <w:rPr>
          <w:rFonts w:asciiTheme="majorHAnsi" w:hAnsiTheme="majorHAnsi"/>
          <w:sz w:val="24"/>
          <w:szCs w:val="24"/>
        </w:rPr>
      </w:pPr>
      <w:r w:rsidRPr="00C5021C">
        <w:rPr>
          <w:rFonts w:asciiTheme="majorHAnsi" w:hAnsiTheme="majorHAnsi"/>
          <w:sz w:val="24"/>
          <w:szCs w:val="24"/>
        </w:rPr>
        <w:t xml:space="preserve">Association </w:t>
      </w:r>
      <w:proofErr w:type="spellStart"/>
      <w:r w:rsidRPr="00C5021C">
        <w:rPr>
          <w:rFonts w:asciiTheme="majorHAnsi" w:hAnsiTheme="majorHAnsi"/>
          <w:sz w:val="24"/>
          <w:szCs w:val="24"/>
        </w:rPr>
        <w:t>Liona</w:t>
      </w:r>
      <w:proofErr w:type="spellEnd"/>
      <w:r w:rsidRPr="00C5021C">
        <w:rPr>
          <w:rFonts w:asciiTheme="majorHAnsi" w:hAnsiTheme="majorHAnsi"/>
          <w:sz w:val="24"/>
          <w:szCs w:val="24"/>
        </w:rPr>
        <w:t xml:space="preserve"> pour un montant de 453 000 </w:t>
      </w:r>
      <w:proofErr w:type="spellStart"/>
      <w:r w:rsidRPr="00C5021C">
        <w:rPr>
          <w:rFonts w:asciiTheme="majorHAnsi" w:hAnsiTheme="majorHAnsi"/>
          <w:sz w:val="24"/>
          <w:szCs w:val="24"/>
        </w:rPr>
        <w:t>Fcfp</w:t>
      </w:r>
      <w:proofErr w:type="spellEnd"/>
      <w:r w:rsidRPr="00C5021C">
        <w:rPr>
          <w:rFonts w:asciiTheme="majorHAnsi" w:hAnsiTheme="majorHAnsi"/>
          <w:sz w:val="24"/>
          <w:szCs w:val="24"/>
        </w:rPr>
        <w:t> ;</w:t>
      </w:r>
    </w:p>
    <w:p w:rsidR="00B60BCC" w:rsidRPr="00C5021C" w:rsidRDefault="00B60BCC" w:rsidP="00B60BCC">
      <w:pPr>
        <w:pStyle w:val="Paragraphedeliste"/>
        <w:numPr>
          <w:ilvl w:val="0"/>
          <w:numId w:val="3"/>
        </w:numPr>
        <w:spacing w:before="120" w:after="240"/>
        <w:ind w:left="709"/>
        <w:jc w:val="both"/>
        <w:rPr>
          <w:rFonts w:asciiTheme="majorHAnsi" w:hAnsiTheme="majorHAnsi"/>
          <w:sz w:val="24"/>
          <w:szCs w:val="24"/>
        </w:rPr>
      </w:pPr>
      <w:r w:rsidRPr="00C5021C">
        <w:rPr>
          <w:rFonts w:asciiTheme="majorHAnsi" w:hAnsiTheme="majorHAnsi"/>
          <w:sz w:val="24"/>
          <w:szCs w:val="24"/>
        </w:rPr>
        <w:t xml:space="preserve">Association </w:t>
      </w:r>
      <w:proofErr w:type="spellStart"/>
      <w:r w:rsidRPr="00C5021C">
        <w:rPr>
          <w:rFonts w:asciiTheme="majorHAnsi" w:hAnsiTheme="majorHAnsi"/>
          <w:sz w:val="24"/>
          <w:szCs w:val="24"/>
        </w:rPr>
        <w:t>Apetahi</w:t>
      </w:r>
      <w:proofErr w:type="spellEnd"/>
      <w:r w:rsidRPr="00C5021C">
        <w:rPr>
          <w:rFonts w:asciiTheme="majorHAnsi" w:hAnsiTheme="majorHAnsi"/>
          <w:sz w:val="24"/>
          <w:szCs w:val="24"/>
        </w:rPr>
        <w:t xml:space="preserve"> </w:t>
      </w:r>
      <w:proofErr w:type="spellStart"/>
      <w:r w:rsidRPr="00C5021C">
        <w:rPr>
          <w:rFonts w:asciiTheme="majorHAnsi" w:hAnsiTheme="majorHAnsi"/>
          <w:sz w:val="24"/>
          <w:szCs w:val="24"/>
        </w:rPr>
        <w:t>Nahoata</w:t>
      </w:r>
      <w:proofErr w:type="spellEnd"/>
      <w:r w:rsidRPr="00C5021C">
        <w:rPr>
          <w:rFonts w:asciiTheme="majorHAnsi" w:hAnsiTheme="majorHAnsi"/>
          <w:sz w:val="24"/>
          <w:szCs w:val="24"/>
        </w:rPr>
        <w:t xml:space="preserve"> pour un montant de 747 000 </w:t>
      </w:r>
      <w:proofErr w:type="spellStart"/>
      <w:r w:rsidRPr="00C5021C">
        <w:rPr>
          <w:rFonts w:asciiTheme="majorHAnsi" w:hAnsiTheme="majorHAnsi"/>
          <w:sz w:val="24"/>
          <w:szCs w:val="24"/>
        </w:rPr>
        <w:t>Fcfp</w:t>
      </w:r>
      <w:proofErr w:type="spellEnd"/>
      <w:r w:rsidRPr="00C5021C">
        <w:rPr>
          <w:rFonts w:asciiTheme="majorHAnsi" w:hAnsiTheme="majorHAnsi"/>
          <w:sz w:val="24"/>
          <w:szCs w:val="24"/>
        </w:rPr>
        <w:t xml:space="preserve">  </w:t>
      </w:r>
    </w:p>
    <w:p w:rsidR="00B60BCC" w:rsidRPr="00C5021C" w:rsidRDefault="00B60BCC" w:rsidP="00B60BCC">
      <w:pPr>
        <w:pStyle w:val="Paragraphedeliste"/>
        <w:spacing w:before="120" w:after="240"/>
        <w:ind w:left="349"/>
        <w:jc w:val="both"/>
        <w:rPr>
          <w:rFonts w:asciiTheme="majorHAnsi" w:hAnsiTheme="majorHAnsi"/>
          <w:sz w:val="24"/>
          <w:szCs w:val="24"/>
        </w:rPr>
      </w:pPr>
    </w:p>
    <w:p w:rsidR="00B60BCC" w:rsidRPr="00C5021C" w:rsidRDefault="00B60BCC" w:rsidP="00B60BCC">
      <w:pPr>
        <w:pStyle w:val="Paragraphedeliste"/>
        <w:spacing w:before="120" w:after="240"/>
        <w:ind w:left="349"/>
        <w:jc w:val="both"/>
        <w:rPr>
          <w:rFonts w:asciiTheme="majorHAnsi" w:hAnsiTheme="majorHAnsi"/>
          <w:sz w:val="24"/>
          <w:szCs w:val="24"/>
        </w:rPr>
      </w:pPr>
      <w:r w:rsidRPr="00C5021C">
        <w:rPr>
          <w:rFonts w:asciiTheme="majorHAnsi" w:hAnsiTheme="majorHAnsi"/>
          <w:sz w:val="24"/>
          <w:szCs w:val="24"/>
        </w:rPr>
        <w:t>Subventions d’investissement :</w:t>
      </w:r>
    </w:p>
    <w:p w:rsidR="00B60BCC" w:rsidRPr="00C5021C" w:rsidRDefault="00B60BCC" w:rsidP="00B60BCC">
      <w:pPr>
        <w:pStyle w:val="Paragraphedeliste"/>
        <w:numPr>
          <w:ilvl w:val="0"/>
          <w:numId w:val="3"/>
        </w:numPr>
        <w:spacing w:before="120" w:after="240"/>
        <w:ind w:left="709"/>
        <w:jc w:val="both"/>
        <w:rPr>
          <w:rFonts w:asciiTheme="majorHAnsi" w:hAnsiTheme="majorHAnsi"/>
          <w:sz w:val="24"/>
          <w:szCs w:val="24"/>
        </w:rPr>
      </w:pPr>
      <w:r w:rsidRPr="00C5021C">
        <w:rPr>
          <w:rFonts w:asciiTheme="majorHAnsi" w:hAnsiTheme="majorHAnsi"/>
          <w:sz w:val="24"/>
          <w:szCs w:val="24"/>
        </w:rPr>
        <w:t xml:space="preserve">Association Rugby club de Pirae pour un montant de 285 000 </w:t>
      </w:r>
      <w:proofErr w:type="spellStart"/>
      <w:r w:rsidRPr="00C5021C">
        <w:rPr>
          <w:rFonts w:asciiTheme="majorHAnsi" w:hAnsiTheme="majorHAnsi"/>
          <w:sz w:val="24"/>
          <w:szCs w:val="24"/>
        </w:rPr>
        <w:t>Fcfp</w:t>
      </w:r>
      <w:proofErr w:type="spellEnd"/>
      <w:r w:rsidRPr="00C5021C">
        <w:rPr>
          <w:rFonts w:asciiTheme="majorHAnsi" w:hAnsiTheme="majorHAnsi"/>
          <w:sz w:val="24"/>
          <w:szCs w:val="24"/>
        </w:rPr>
        <w:t> pour le financement du matériel de sécurité lié à la pratique du rugby;</w:t>
      </w:r>
    </w:p>
    <w:p w:rsidR="00B60BCC" w:rsidRPr="00C5021C" w:rsidRDefault="00B60BCC" w:rsidP="00B60BCC">
      <w:pPr>
        <w:pStyle w:val="Paragraphedeliste"/>
        <w:spacing w:before="120" w:after="240"/>
        <w:ind w:left="709"/>
        <w:jc w:val="both"/>
        <w:rPr>
          <w:rFonts w:asciiTheme="majorHAnsi" w:hAnsiTheme="majorHAnsi"/>
          <w:sz w:val="24"/>
          <w:szCs w:val="24"/>
        </w:rPr>
      </w:pPr>
    </w:p>
    <w:p w:rsidR="00B60BCC" w:rsidRPr="00C5021C" w:rsidRDefault="00B60BCC" w:rsidP="00B60BCC">
      <w:pPr>
        <w:pStyle w:val="Paragraphedeliste"/>
        <w:numPr>
          <w:ilvl w:val="0"/>
          <w:numId w:val="3"/>
        </w:numPr>
        <w:spacing w:before="120" w:after="240"/>
        <w:ind w:left="709"/>
        <w:jc w:val="both"/>
        <w:rPr>
          <w:rFonts w:asciiTheme="majorHAnsi" w:hAnsiTheme="majorHAnsi"/>
          <w:sz w:val="24"/>
          <w:szCs w:val="24"/>
        </w:rPr>
      </w:pPr>
      <w:r w:rsidRPr="00C5021C">
        <w:rPr>
          <w:rFonts w:asciiTheme="majorHAnsi" w:hAnsiTheme="majorHAnsi"/>
          <w:sz w:val="24"/>
          <w:szCs w:val="24"/>
        </w:rPr>
        <w:t xml:space="preserve">Association </w:t>
      </w:r>
      <w:proofErr w:type="spellStart"/>
      <w:r w:rsidRPr="00C5021C">
        <w:rPr>
          <w:rFonts w:asciiTheme="majorHAnsi" w:hAnsiTheme="majorHAnsi"/>
          <w:sz w:val="24"/>
          <w:szCs w:val="24"/>
        </w:rPr>
        <w:t>Budokan</w:t>
      </w:r>
      <w:proofErr w:type="spellEnd"/>
      <w:r w:rsidRPr="00C5021C">
        <w:rPr>
          <w:rFonts w:asciiTheme="majorHAnsi" w:hAnsiTheme="majorHAnsi"/>
          <w:sz w:val="24"/>
          <w:szCs w:val="24"/>
        </w:rPr>
        <w:t xml:space="preserve"> Judo Pirae pour un montant de 850 000 </w:t>
      </w:r>
      <w:proofErr w:type="spellStart"/>
      <w:r w:rsidRPr="00C5021C">
        <w:rPr>
          <w:rFonts w:asciiTheme="majorHAnsi" w:hAnsiTheme="majorHAnsi"/>
          <w:sz w:val="24"/>
          <w:szCs w:val="24"/>
        </w:rPr>
        <w:t>Fcfp</w:t>
      </w:r>
      <w:proofErr w:type="spellEnd"/>
      <w:r w:rsidRPr="00C5021C">
        <w:rPr>
          <w:rFonts w:asciiTheme="majorHAnsi" w:hAnsiTheme="majorHAnsi"/>
          <w:sz w:val="24"/>
          <w:szCs w:val="24"/>
        </w:rPr>
        <w:t> pour le financement de Tapis de Judo au titre de l’année 2019;</w:t>
      </w:r>
    </w:p>
    <w:p w:rsidR="00B60BCC" w:rsidRPr="00C5021C" w:rsidRDefault="00B60BCC" w:rsidP="00B60BCC">
      <w:pPr>
        <w:pStyle w:val="Paragraphedeliste"/>
        <w:spacing w:before="120" w:after="240"/>
        <w:ind w:left="349"/>
        <w:jc w:val="both"/>
        <w:rPr>
          <w:rFonts w:asciiTheme="majorHAnsi" w:hAnsiTheme="majorHAnsi"/>
          <w:sz w:val="24"/>
          <w:szCs w:val="24"/>
        </w:rPr>
      </w:pPr>
    </w:p>
    <w:p w:rsidR="00B60BCC" w:rsidRPr="00C5021C" w:rsidRDefault="00B60BCC" w:rsidP="00B60BCC">
      <w:pPr>
        <w:pStyle w:val="Paragraphedeliste"/>
        <w:numPr>
          <w:ilvl w:val="0"/>
          <w:numId w:val="3"/>
        </w:numPr>
        <w:spacing w:before="120" w:after="240"/>
        <w:ind w:left="709"/>
        <w:jc w:val="both"/>
        <w:rPr>
          <w:rFonts w:asciiTheme="majorHAnsi" w:hAnsiTheme="majorHAnsi"/>
          <w:sz w:val="24"/>
          <w:szCs w:val="24"/>
        </w:rPr>
      </w:pPr>
      <w:r w:rsidRPr="00C5021C">
        <w:rPr>
          <w:rFonts w:asciiTheme="majorHAnsi" w:hAnsiTheme="majorHAnsi"/>
          <w:sz w:val="24"/>
          <w:szCs w:val="24"/>
        </w:rPr>
        <w:t xml:space="preserve">Association Papeete Rugby pour un montant de 360 000 </w:t>
      </w:r>
      <w:proofErr w:type="spellStart"/>
      <w:r w:rsidRPr="00C5021C">
        <w:rPr>
          <w:rFonts w:asciiTheme="majorHAnsi" w:hAnsiTheme="majorHAnsi"/>
          <w:sz w:val="24"/>
          <w:szCs w:val="24"/>
        </w:rPr>
        <w:t>Fcfp</w:t>
      </w:r>
      <w:proofErr w:type="spellEnd"/>
      <w:r w:rsidRPr="00C5021C">
        <w:rPr>
          <w:rFonts w:asciiTheme="majorHAnsi" w:hAnsiTheme="majorHAnsi"/>
          <w:sz w:val="24"/>
          <w:szCs w:val="24"/>
        </w:rPr>
        <w:t> pour l’acquisition d’un tableau d’affichage électronique ;</w:t>
      </w:r>
    </w:p>
    <w:p w:rsidR="00B60BCC" w:rsidRPr="00C5021C" w:rsidRDefault="00B60BCC" w:rsidP="00B60BCC">
      <w:pPr>
        <w:pStyle w:val="Paragraphedeliste"/>
        <w:spacing w:before="120" w:after="240"/>
        <w:ind w:left="349"/>
        <w:jc w:val="both"/>
        <w:rPr>
          <w:rFonts w:asciiTheme="majorHAnsi" w:hAnsiTheme="majorHAnsi"/>
          <w:sz w:val="24"/>
          <w:szCs w:val="24"/>
        </w:rPr>
      </w:pPr>
    </w:p>
    <w:p w:rsidR="00B60BCC" w:rsidRPr="00C5021C" w:rsidRDefault="00B60BCC" w:rsidP="00B60BCC">
      <w:pPr>
        <w:pStyle w:val="Paragraphedeliste"/>
        <w:numPr>
          <w:ilvl w:val="0"/>
          <w:numId w:val="3"/>
        </w:numPr>
        <w:spacing w:before="120" w:after="240"/>
        <w:ind w:left="709"/>
        <w:jc w:val="both"/>
        <w:rPr>
          <w:rFonts w:asciiTheme="majorHAnsi" w:hAnsiTheme="majorHAnsi"/>
          <w:sz w:val="24"/>
          <w:szCs w:val="24"/>
        </w:rPr>
      </w:pPr>
      <w:r w:rsidRPr="00C5021C">
        <w:rPr>
          <w:rFonts w:asciiTheme="majorHAnsi" w:hAnsiTheme="majorHAnsi"/>
          <w:sz w:val="24"/>
          <w:szCs w:val="24"/>
        </w:rPr>
        <w:t xml:space="preserve">Association sportive Team </w:t>
      </w:r>
      <w:proofErr w:type="spellStart"/>
      <w:r w:rsidRPr="00C5021C">
        <w:rPr>
          <w:rFonts w:asciiTheme="majorHAnsi" w:hAnsiTheme="majorHAnsi"/>
          <w:sz w:val="24"/>
          <w:szCs w:val="24"/>
        </w:rPr>
        <w:t>Faa’a</w:t>
      </w:r>
      <w:proofErr w:type="spellEnd"/>
      <w:r w:rsidRPr="00C5021C">
        <w:rPr>
          <w:rFonts w:asciiTheme="majorHAnsi" w:hAnsiTheme="majorHAnsi"/>
          <w:sz w:val="24"/>
          <w:szCs w:val="24"/>
        </w:rPr>
        <w:t xml:space="preserve"> </w:t>
      </w:r>
      <w:proofErr w:type="spellStart"/>
      <w:r w:rsidRPr="00C5021C">
        <w:rPr>
          <w:rFonts w:asciiTheme="majorHAnsi" w:hAnsiTheme="majorHAnsi"/>
          <w:sz w:val="24"/>
          <w:szCs w:val="24"/>
        </w:rPr>
        <w:t>Va’a</w:t>
      </w:r>
      <w:proofErr w:type="spellEnd"/>
      <w:r w:rsidRPr="00C5021C">
        <w:rPr>
          <w:rFonts w:asciiTheme="majorHAnsi" w:hAnsiTheme="majorHAnsi"/>
          <w:sz w:val="24"/>
          <w:szCs w:val="24"/>
        </w:rPr>
        <w:t xml:space="preserve"> pour un montant de 800 000 </w:t>
      </w:r>
      <w:proofErr w:type="spellStart"/>
      <w:r w:rsidRPr="00C5021C">
        <w:rPr>
          <w:rFonts w:asciiTheme="majorHAnsi" w:hAnsiTheme="majorHAnsi"/>
          <w:sz w:val="24"/>
          <w:szCs w:val="24"/>
        </w:rPr>
        <w:t>Fcfp</w:t>
      </w:r>
      <w:proofErr w:type="spellEnd"/>
      <w:r w:rsidRPr="00C5021C">
        <w:rPr>
          <w:rFonts w:asciiTheme="majorHAnsi" w:hAnsiTheme="majorHAnsi"/>
          <w:sz w:val="24"/>
          <w:szCs w:val="24"/>
        </w:rPr>
        <w:t> pour l’achat d’une pirogue V6 de compétition ;</w:t>
      </w:r>
    </w:p>
    <w:p w:rsidR="00B60BCC" w:rsidRPr="00C5021C" w:rsidRDefault="00B60BCC" w:rsidP="00B60BCC">
      <w:pPr>
        <w:pStyle w:val="Paragraphedeliste"/>
        <w:spacing w:before="120" w:after="240"/>
        <w:ind w:left="349"/>
        <w:jc w:val="both"/>
        <w:rPr>
          <w:rFonts w:asciiTheme="majorHAnsi" w:hAnsiTheme="majorHAnsi"/>
          <w:sz w:val="24"/>
          <w:szCs w:val="24"/>
        </w:rPr>
      </w:pPr>
    </w:p>
    <w:p w:rsidR="00B60BCC" w:rsidRPr="00C5021C" w:rsidRDefault="00B60BCC" w:rsidP="00B60BCC">
      <w:pPr>
        <w:pStyle w:val="Paragraphedeliste"/>
        <w:numPr>
          <w:ilvl w:val="0"/>
          <w:numId w:val="3"/>
        </w:numPr>
        <w:spacing w:before="120" w:after="240"/>
        <w:ind w:left="709"/>
        <w:jc w:val="both"/>
        <w:rPr>
          <w:rFonts w:asciiTheme="majorHAnsi" w:hAnsiTheme="majorHAnsi"/>
          <w:sz w:val="24"/>
          <w:szCs w:val="24"/>
        </w:rPr>
      </w:pPr>
      <w:r w:rsidRPr="00C5021C">
        <w:rPr>
          <w:rFonts w:asciiTheme="majorHAnsi" w:hAnsiTheme="majorHAnsi"/>
          <w:sz w:val="24"/>
          <w:szCs w:val="24"/>
        </w:rPr>
        <w:t xml:space="preserve">Association </w:t>
      </w:r>
      <w:proofErr w:type="spellStart"/>
      <w:r w:rsidRPr="00C5021C">
        <w:rPr>
          <w:rFonts w:asciiTheme="majorHAnsi" w:hAnsiTheme="majorHAnsi"/>
          <w:sz w:val="24"/>
          <w:szCs w:val="24"/>
        </w:rPr>
        <w:t>Ta’inuna</w:t>
      </w:r>
      <w:proofErr w:type="spellEnd"/>
      <w:r w:rsidRPr="00C5021C">
        <w:rPr>
          <w:rFonts w:asciiTheme="majorHAnsi" w:hAnsiTheme="majorHAnsi"/>
          <w:sz w:val="24"/>
          <w:szCs w:val="24"/>
        </w:rPr>
        <w:t xml:space="preserve"> </w:t>
      </w:r>
      <w:proofErr w:type="spellStart"/>
      <w:r w:rsidRPr="00C5021C">
        <w:rPr>
          <w:rFonts w:asciiTheme="majorHAnsi" w:hAnsiTheme="majorHAnsi"/>
          <w:sz w:val="24"/>
          <w:szCs w:val="24"/>
        </w:rPr>
        <w:t>Va’a</w:t>
      </w:r>
      <w:proofErr w:type="spellEnd"/>
      <w:r w:rsidRPr="00C5021C">
        <w:rPr>
          <w:rFonts w:asciiTheme="majorHAnsi" w:hAnsiTheme="majorHAnsi"/>
          <w:sz w:val="24"/>
          <w:szCs w:val="24"/>
        </w:rPr>
        <w:t xml:space="preserve"> pour un montant de 250 000 </w:t>
      </w:r>
      <w:proofErr w:type="spellStart"/>
      <w:r w:rsidRPr="00C5021C">
        <w:rPr>
          <w:rFonts w:asciiTheme="majorHAnsi" w:hAnsiTheme="majorHAnsi"/>
          <w:sz w:val="24"/>
          <w:szCs w:val="24"/>
        </w:rPr>
        <w:t>Fcfp</w:t>
      </w:r>
      <w:proofErr w:type="spellEnd"/>
      <w:r w:rsidRPr="00C5021C">
        <w:rPr>
          <w:rFonts w:asciiTheme="majorHAnsi" w:hAnsiTheme="majorHAnsi"/>
          <w:sz w:val="24"/>
          <w:szCs w:val="24"/>
        </w:rPr>
        <w:t> pour l’acquisition d’une pirogue V3 ;</w:t>
      </w:r>
    </w:p>
    <w:p w:rsidR="00B60BCC" w:rsidRPr="00C5021C" w:rsidRDefault="00B60BCC" w:rsidP="00B60BCC">
      <w:pPr>
        <w:pStyle w:val="Paragraphedeliste"/>
        <w:spacing w:before="120" w:after="240"/>
        <w:ind w:left="349"/>
        <w:jc w:val="both"/>
        <w:rPr>
          <w:rFonts w:asciiTheme="majorHAnsi" w:hAnsiTheme="majorHAnsi"/>
          <w:sz w:val="24"/>
          <w:szCs w:val="24"/>
        </w:rPr>
      </w:pPr>
    </w:p>
    <w:p w:rsidR="00B60BCC" w:rsidRPr="00C5021C" w:rsidRDefault="00B60BCC" w:rsidP="00B60BCC">
      <w:pPr>
        <w:pStyle w:val="Paragraphedeliste"/>
        <w:spacing w:before="120" w:after="240"/>
        <w:ind w:left="349"/>
        <w:jc w:val="both"/>
        <w:rPr>
          <w:rFonts w:asciiTheme="majorHAnsi" w:hAnsiTheme="majorHAnsi"/>
          <w:sz w:val="24"/>
          <w:szCs w:val="24"/>
        </w:rPr>
      </w:pPr>
      <w:r w:rsidRPr="00C5021C">
        <w:rPr>
          <w:rFonts w:asciiTheme="majorHAnsi" w:hAnsiTheme="majorHAnsi"/>
          <w:sz w:val="24"/>
          <w:szCs w:val="24"/>
        </w:rPr>
        <w:t>Subventions de fonctionnement au titre de l’année 2018 :</w:t>
      </w:r>
    </w:p>
    <w:p w:rsidR="00B60BCC" w:rsidRPr="00C5021C" w:rsidRDefault="00B60BCC" w:rsidP="00B60BCC">
      <w:pPr>
        <w:pStyle w:val="Paragraphedeliste"/>
        <w:numPr>
          <w:ilvl w:val="0"/>
          <w:numId w:val="3"/>
        </w:numPr>
        <w:spacing w:before="120" w:after="240"/>
        <w:ind w:left="709"/>
        <w:jc w:val="both"/>
        <w:rPr>
          <w:rFonts w:asciiTheme="majorHAnsi" w:hAnsiTheme="majorHAnsi"/>
          <w:sz w:val="24"/>
          <w:szCs w:val="24"/>
        </w:rPr>
      </w:pPr>
      <w:r w:rsidRPr="00C5021C">
        <w:rPr>
          <w:rFonts w:asciiTheme="majorHAnsi" w:hAnsiTheme="majorHAnsi"/>
          <w:sz w:val="24"/>
          <w:szCs w:val="24"/>
        </w:rPr>
        <w:t xml:space="preserve">Fédération Tahitienne de Tennis de Table pour un montant de 1.000 000 </w:t>
      </w:r>
      <w:proofErr w:type="spellStart"/>
      <w:r w:rsidRPr="00C5021C">
        <w:rPr>
          <w:rFonts w:asciiTheme="majorHAnsi" w:hAnsiTheme="majorHAnsi"/>
          <w:sz w:val="24"/>
          <w:szCs w:val="24"/>
        </w:rPr>
        <w:t>Fcfp</w:t>
      </w:r>
      <w:proofErr w:type="spellEnd"/>
      <w:r w:rsidRPr="00C5021C">
        <w:rPr>
          <w:rFonts w:asciiTheme="majorHAnsi" w:hAnsiTheme="majorHAnsi"/>
          <w:sz w:val="24"/>
          <w:szCs w:val="24"/>
        </w:rPr>
        <w:t xml:space="preserve"> pour la prise en charge partielle des frais liés aux </w:t>
      </w:r>
      <w:proofErr w:type="spellStart"/>
      <w:r w:rsidRPr="00C5021C">
        <w:rPr>
          <w:rFonts w:asciiTheme="majorHAnsi" w:hAnsiTheme="majorHAnsi"/>
          <w:sz w:val="24"/>
          <w:szCs w:val="24"/>
        </w:rPr>
        <w:t>VIèmes</w:t>
      </w:r>
      <w:proofErr w:type="spellEnd"/>
      <w:r w:rsidRPr="00C5021C">
        <w:rPr>
          <w:rFonts w:asciiTheme="majorHAnsi" w:hAnsiTheme="majorHAnsi"/>
          <w:sz w:val="24"/>
          <w:szCs w:val="24"/>
        </w:rPr>
        <w:t xml:space="preserve"> championnats de Polynésie de Tennis de Table.</w:t>
      </w:r>
    </w:p>
    <w:p w:rsidR="00A94B9D" w:rsidRPr="00C5021C" w:rsidRDefault="00A94B9D">
      <w:pPr>
        <w:spacing w:after="200" w:line="276" w:lineRule="auto"/>
        <w:rPr>
          <w:rFonts w:asciiTheme="majorHAnsi" w:eastAsia="Calibri" w:hAnsiTheme="majorHAnsi"/>
          <w:lang w:eastAsia="en-US"/>
        </w:rPr>
      </w:pPr>
      <w:r w:rsidRPr="00C5021C">
        <w:rPr>
          <w:rFonts w:asciiTheme="majorHAnsi" w:hAnsiTheme="majorHAnsi"/>
        </w:rPr>
        <w:br w:type="page"/>
      </w:r>
    </w:p>
    <w:p w:rsidR="00A94B9D" w:rsidRPr="00C5021C" w:rsidRDefault="00A94B9D" w:rsidP="00A94B9D">
      <w:pPr>
        <w:pStyle w:val="-LettreTexteGEDA"/>
        <w:ind w:firstLine="0"/>
        <w:rPr>
          <w:rFonts w:asciiTheme="majorHAnsi" w:hAnsiTheme="majorHAnsi"/>
          <w:b/>
          <w:bCs/>
        </w:rPr>
      </w:pPr>
      <w:r w:rsidRPr="00C5021C">
        <w:rPr>
          <w:rFonts w:asciiTheme="majorHAnsi" w:hAnsiTheme="majorHAnsi"/>
          <w:b/>
          <w:bCs/>
        </w:rPr>
        <w:lastRenderedPageBreak/>
        <w:t>Projet de construction du lycée de Moorea</w:t>
      </w:r>
    </w:p>
    <w:p w:rsidR="00A94B9D" w:rsidRPr="00C5021C" w:rsidRDefault="00A94B9D" w:rsidP="00A94B9D">
      <w:pPr>
        <w:pStyle w:val="-LettreTexteGEDA"/>
        <w:ind w:firstLine="0"/>
        <w:rPr>
          <w:rFonts w:asciiTheme="majorHAnsi" w:hAnsiTheme="majorHAnsi"/>
        </w:rPr>
      </w:pPr>
      <w:r w:rsidRPr="00C5021C">
        <w:rPr>
          <w:rFonts w:asciiTheme="majorHAnsi" w:hAnsiTheme="majorHAnsi"/>
        </w:rPr>
        <w:t>Le projet du lycée de Moorea est né de la volonté de créer un lycée d’enseignement général et professionnel sur l’île de Moorea, établissement inexistant pour l’heure sur l’île. Ce besoin a été constaté dès l’année 2012, et a abouti en 2014 à un premier projet de construction d’un lycée sur l’ile de Moorea en partenariat avec TNAD, et localisé à Pihaena. Les études géotechniques préliminaires menées sur la parcelle d’accueil ont montré que la nature des sols n’était pas en capacité d’accueillir un tel projet.</w:t>
      </w:r>
    </w:p>
    <w:p w:rsidR="00A94B9D" w:rsidRPr="00C5021C" w:rsidRDefault="00A94B9D" w:rsidP="00A94B9D">
      <w:pPr>
        <w:pStyle w:val="-LettreTexteGEDA"/>
        <w:ind w:firstLine="0"/>
        <w:rPr>
          <w:rFonts w:asciiTheme="majorHAnsi" w:hAnsiTheme="majorHAnsi"/>
        </w:rPr>
      </w:pPr>
      <w:r w:rsidRPr="00C5021C">
        <w:rPr>
          <w:rFonts w:asciiTheme="majorHAnsi" w:hAnsiTheme="majorHAnsi"/>
        </w:rPr>
        <w:t>Néanmoins, le besoin de cet établissement a continué à s’accentuer les années suivantes. En effet, au cours de l’année 2016, il a été constaté que 331 élèves étaient désireux de poursuivre leurs études dans la filière générale du baccalauréat. Par conséquent, ces élèves doivent obligatoirement se rendre sur l’île de Tahiti pour suivre ces études. Ils se trouvent cependant confrontés aux problèmes logistiques suivants :</w:t>
      </w:r>
    </w:p>
    <w:p w:rsidR="00A94B9D" w:rsidRPr="00C5021C" w:rsidRDefault="00A94B9D" w:rsidP="00A94B9D">
      <w:pPr>
        <w:pStyle w:val="-LettreTexteGEDA"/>
        <w:numPr>
          <w:ilvl w:val="0"/>
          <w:numId w:val="33"/>
        </w:numPr>
        <w:textAlignment w:val="auto"/>
        <w:rPr>
          <w:rFonts w:asciiTheme="majorHAnsi" w:hAnsiTheme="majorHAnsi"/>
        </w:rPr>
      </w:pPr>
      <w:r w:rsidRPr="00C5021C">
        <w:rPr>
          <w:rFonts w:asciiTheme="majorHAnsi" w:hAnsiTheme="majorHAnsi"/>
        </w:rPr>
        <w:t>résider en internats dans les lycées de Tahiti, qui sont d’ores et déjà saturé par l’accueil des élèves d’iles plus lointaines, auquel s’ajoute la séparation avec la cellule familiale ;</w:t>
      </w:r>
    </w:p>
    <w:p w:rsidR="00A94B9D" w:rsidRPr="00C5021C" w:rsidRDefault="00A94B9D" w:rsidP="00A94B9D">
      <w:pPr>
        <w:pStyle w:val="-LettreTexteGEDA"/>
        <w:numPr>
          <w:ilvl w:val="0"/>
          <w:numId w:val="33"/>
        </w:numPr>
        <w:textAlignment w:val="auto"/>
        <w:rPr>
          <w:rFonts w:asciiTheme="majorHAnsi" w:hAnsiTheme="majorHAnsi"/>
        </w:rPr>
      </w:pPr>
      <w:r w:rsidRPr="00C5021C">
        <w:rPr>
          <w:rFonts w:asciiTheme="majorHAnsi" w:hAnsiTheme="majorHAnsi"/>
        </w:rPr>
        <w:t>effectuer quotidiennement le trajet maritime entre leur domicile de Moorea et leur établissement à Tahiti, provoquant une augmentation de la fatigue au vu des horaires des navettes maritimes, et un surcoût financier pour les parents ;</w:t>
      </w:r>
    </w:p>
    <w:p w:rsidR="00A94B9D" w:rsidRPr="00C5021C" w:rsidRDefault="00A94B9D" w:rsidP="00A94B9D">
      <w:pPr>
        <w:pStyle w:val="-LettreTexteGEDA"/>
        <w:ind w:firstLine="0"/>
        <w:rPr>
          <w:rFonts w:asciiTheme="majorHAnsi" w:hAnsiTheme="majorHAnsi"/>
        </w:rPr>
      </w:pPr>
      <w:r w:rsidRPr="00C5021C">
        <w:rPr>
          <w:rFonts w:asciiTheme="majorHAnsi" w:hAnsiTheme="majorHAnsi"/>
        </w:rPr>
        <w:t>Dans un cas comme dans l’autre, la réussite des élèves dans la poursuite de leurs études en pâtit.</w:t>
      </w:r>
    </w:p>
    <w:p w:rsidR="00A94B9D" w:rsidRPr="00C5021C" w:rsidRDefault="00A94B9D" w:rsidP="00A94B9D">
      <w:pPr>
        <w:pStyle w:val="-LettreTexteGEDA"/>
        <w:ind w:firstLine="0"/>
        <w:rPr>
          <w:rFonts w:asciiTheme="majorHAnsi" w:hAnsiTheme="majorHAnsi"/>
        </w:rPr>
      </w:pPr>
      <w:r w:rsidRPr="00C5021C">
        <w:rPr>
          <w:rFonts w:asciiTheme="majorHAnsi" w:hAnsiTheme="majorHAnsi"/>
        </w:rPr>
        <w:t>C’est pourquoi, afin de répondre au besoin de la population de Moorea, le gouvernement envisage la construction d’un lycée d’enseignement général et professionnel d’une capacité de 317 élèves. La carte de formation retenue par le Ministère de l’éducation, de la jeunesse et des sports prévoit :</w:t>
      </w:r>
    </w:p>
    <w:p w:rsidR="00A94B9D" w:rsidRPr="00C5021C" w:rsidRDefault="00A94B9D" w:rsidP="00A94B9D">
      <w:pPr>
        <w:pStyle w:val="-LettreTexteGEDA"/>
        <w:numPr>
          <w:ilvl w:val="0"/>
          <w:numId w:val="33"/>
        </w:numPr>
        <w:textAlignment w:val="auto"/>
        <w:rPr>
          <w:rFonts w:asciiTheme="majorHAnsi" w:hAnsiTheme="majorHAnsi"/>
        </w:rPr>
      </w:pPr>
      <w:r w:rsidRPr="00C5021C">
        <w:rPr>
          <w:rFonts w:asciiTheme="majorHAnsi" w:hAnsiTheme="majorHAnsi"/>
        </w:rPr>
        <w:t>une voie générale, comprenant 3 sections de niveau « seconde », 2 sections de niveau « première » et 2 sections de niveau « terminale » pour un total de 245 élèves ;</w:t>
      </w:r>
    </w:p>
    <w:p w:rsidR="00A94B9D" w:rsidRPr="00C5021C" w:rsidRDefault="00A94B9D" w:rsidP="00A94B9D">
      <w:pPr>
        <w:pStyle w:val="-LettreTexteGEDA"/>
        <w:numPr>
          <w:ilvl w:val="0"/>
          <w:numId w:val="33"/>
        </w:numPr>
        <w:textAlignment w:val="auto"/>
        <w:rPr>
          <w:rFonts w:asciiTheme="majorHAnsi" w:hAnsiTheme="majorHAnsi"/>
        </w:rPr>
      </w:pPr>
      <w:r w:rsidRPr="00C5021C">
        <w:rPr>
          <w:rFonts w:asciiTheme="majorHAnsi" w:hAnsiTheme="majorHAnsi"/>
        </w:rPr>
        <w:t>une voie professionnelle de niveau CPAP (certificat polynésien d’aptitudes professionnelles) dans laquelle il y sera enseigné  « petite et moyenne hôtellerie - PMH », « polyvalence du bâtiment - PB » ainsi que le CPAP « exploitation polynésienne horticole et rurale – EPHR », pour un total de 72 élèves.</w:t>
      </w:r>
    </w:p>
    <w:p w:rsidR="00A94B9D" w:rsidRPr="00C5021C" w:rsidRDefault="00A94B9D" w:rsidP="00A94B9D">
      <w:pPr>
        <w:pStyle w:val="-LettreTexteGEDA"/>
        <w:spacing w:line="276" w:lineRule="auto"/>
        <w:ind w:firstLine="0"/>
        <w:rPr>
          <w:rFonts w:asciiTheme="majorHAnsi" w:hAnsiTheme="majorHAnsi"/>
        </w:rPr>
      </w:pPr>
      <w:r w:rsidRPr="00C5021C">
        <w:rPr>
          <w:rFonts w:asciiTheme="majorHAnsi" w:hAnsiTheme="majorHAnsi"/>
        </w:rPr>
        <w:t>Ce nouvel établissement sera attenant au lycée agricole d’Opunohu, afin de pouvoir mutualiser un certain nombre de moyen comme l’internat, les locaux de restauration ou encore les équipements sportifs. A ce titre, une demande de morcellement de la parcelle cadastrée ME-3 est actuellement en cours afin d’avoir une parcelle d’accueil pour ce futur établissement.</w:t>
      </w:r>
    </w:p>
    <w:p w:rsidR="00A94B9D" w:rsidRPr="00C5021C" w:rsidRDefault="00A94B9D" w:rsidP="00A94B9D">
      <w:pPr>
        <w:pStyle w:val="-LettreTexteGEDA"/>
        <w:spacing w:line="276" w:lineRule="auto"/>
        <w:ind w:firstLine="0"/>
        <w:rPr>
          <w:rFonts w:asciiTheme="majorHAnsi" w:hAnsiTheme="majorHAnsi"/>
        </w:rPr>
      </w:pPr>
      <w:r w:rsidRPr="00C5021C">
        <w:rPr>
          <w:rFonts w:asciiTheme="majorHAnsi" w:hAnsiTheme="majorHAnsi"/>
        </w:rPr>
        <w:t>Le lycée de Moorea sera conçu et construit en intégrant une approche environnementale au sein de son programme technique détaillé. Ainsi, le Ministère de l’éducation, de la jeunesse et des sports a pour objectif que cet établissement :</w:t>
      </w:r>
    </w:p>
    <w:p w:rsidR="00A94B9D" w:rsidRPr="00C5021C" w:rsidRDefault="00A94B9D" w:rsidP="00A94B9D">
      <w:pPr>
        <w:pStyle w:val="-LettreTexteGEDA"/>
        <w:numPr>
          <w:ilvl w:val="0"/>
          <w:numId w:val="33"/>
        </w:numPr>
        <w:textAlignment w:val="auto"/>
        <w:rPr>
          <w:rFonts w:asciiTheme="majorHAnsi" w:hAnsiTheme="majorHAnsi"/>
        </w:rPr>
      </w:pPr>
      <w:r w:rsidRPr="00C5021C">
        <w:rPr>
          <w:rFonts w:asciiTheme="majorHAnsi" w:hAnsiTheme="majorHAnsi"/>
        </w:rPr>
        <w:t>soit conforme dès son ouverture à la future réglementation thermique du Pays ;</w:t>
      </w:r>
    </w:p>
    <w:p w:rsidR="00A94B9D" w:rsidRPr="00C5021C" w:rsidRDefault="00A94B9D" w:rsidP="00A94B9D">
      <w:pPr>
        <w:pStyle w:val="-LettreTexteGEDA"/>
        <w:numPr>
          <w:ilvl w:val="0"/>
          <w:numId w:val="33"/>
        </w:numPr>
        <w:textAlignment w:val="auto"/>
        <w:rPr>
          <w:rFonts w:asciiTheme="majorHAnsi" w:hAnsiTheme="majorHAnsi"/>
        </w:rPr>
      </w:pPr>
      <w:r w:rsidRPr="00C5021C">
        <w:rPr>
          <w:rFonts w:asciiTheme="majorHAnsi" w:hAnsiTheme="majorHAnsi"/>
        </w:rPr>
        <w:t>mette en œuvre au moment de sa construction du bois local issu de la forêt de pin du domaine d’Opunohu ;</w:t>
      </w:r>
    </w:p>
    <w:p w:rsidR="00A94B9D" w:rsidRPr="00C5021C" w:rsidRDefault="00A94B9D" w:rsidP="00A94B9D">
      <w:pPr>
        <w:pStyle w:val="-LettreTexteGEDA"/>
        <w:numPr>
          <w:ilvl w:val="0"/>
          <w:numId w:val="33"/>
        </w:numPr>
        <w:textAlignment w:val="auto"/>
        <w:rPr>
          <w:rFonts w:asciiTheme="majorHAnsi" w:hAnsiTheme="majorHAnsi"/>
        </w:rPr>
      </w:pPr>
      <w:r w:rsidRPr="00C5021C">
        <w:rPr>
          <w:rFonts w:asciiTheme="majorHAnsi" w:hAnsiTheme="majorHAnsi"/>
        </w:rPr>
        <w:lastRenderedPageBreak/>
        <w:t>favorise la mise en place des énergies renouvelables ;</w:t>
      </w:r>
    </w:p>
    <w:p w:rsidR="00A94B9D" w:rsidRPr="00C5021C" w:rsidRDefault="00A94B9D" w:rsidP="00A94B9D">
      <w:pPr>
        <w:pStyle w:val="-LettreTexteGEDA"/>
        <w:numPr>
          <w:ilvl w:val="0"/>
          <w:numId w:val="33"/>
        </w:numPr>
        <w:textAlignment w:val="auto"/>
        <w:rPr>
          <w:rFonts w:asciiTheme="majorHAnsi" w:hAnsiTheme="majorHAnsi"/>
        </w:rPr>
      </w:pPr>
      <w:r w:rsidRPr="00C5021C">
        <w:rPr>
          <w:rFonts w:asciiTheme="majorHAnsi" w:hAnsiTheme="majorHAnsi"/>
        </w:rPr>
        <w:t>améliore le confort global des utilisateurs ;</w:t>
      </w:r>
    </w:p>
    <w:p w:rsidR="00A94B9D" w:rsidRPr="00C5021C" w:rsidRDefault="00A94B9D" w:rsidP="00A94B9D">
      <w:pPr>
        <w:pStyle w:val="-LettreTexteGEDA"/>
        <w:numPr>
          <w:ilvl w:val="0"/>
          <w:numId w:val="33"/>
        </w:numPr>
        <w:textAlignment w:val="auto"/>
        <w:rPr>
          <w:rFonts w:asciiTheme="majorHAnsi" w:hAnsiTheme="majorHAnsi"/>
        </w:rPr>
      </w:pPr>
      <w:r w:rsidRPr="00C5021C">
        <w:rPr>
          <w:rFonts w:asciiTheme="majorHAnsi" w:hAnsiTheme="majorHAnsi"/>
        </w:rPr>
        <w:t>améliore la qualité des matériaux mis en œuvre et la protection solaire, isoler les ouvrages afin de diminuer les coûts de fonctionnement.</w:t>
      </w:r>
    </w:p>
    <w:p w:rsidR="00A94B9D" w:rsidRPr="00C5021C" w:rsidRDefault="00A94B9D" w:rsidP="00A94B9D">
      <w:pPr>
        <w:pStyle w:val="-LettreTexteGEDA"/>
        <w:spacing w:line="276" w:lineRule="auto"/>
        <w:ind w:firstLine="0"/>
        <w:rPr>
          <w:rFonts w:asciiTheme="majorHAnsi" w:hAnsiTheme="majorHAnsi"/>
        </w:rPr>
      </w:pPr>
      <w:r w:rsidRPr="00C5021C">
        <w:rPr>
          <w:rFonts w:asciiTheme="majorHAnsi" w:hAnsiTheme="majorHAnsi"/>
        </w:rPr>
        <w:t>Le ministère de l’Education, de la jeunesse et des sports a choisi Tahiti Nui Aménagement et Développement - TNAD en tant que maître d’ouvrage délégué pour l’assister dans ce projet. La signature de cette convention est nécessaire pour permettre de démarrer rapidement les études préliminaires nécessaires.</w:t>
      </w:r>
    </w:p>
    <w:p w:rsidR="00A94B9D" w:rsidRPr="00C5021C" w:rsidRDefault="00A94B9D" w:rsidP="00A94B9D">
      <w:pPr>
        <w:pStyle w:val="Paragraphedeliste"/>
        <w:spacing w:before="120" w:after="240"/>
        <w:ind w:left="709"/>
        <w:jc w:val="both"/>
        <w:rPr>
          <w:rFonts w:asciiTheme="majorHAnsi" w:hAnsiTheme="majorHAnsi"/>
          <w:sz w:val="24"/>
          <w:szCs w:val="24"/>
        </w:rPr>
      </w:pPr>
    </w:p>
    <w:p w:rsidR="00B60BCC" w:rsidRPr="00C5021C" w:rsidRDefault="00B60BCC" w:rsidP="00B60BCC">
      <w:pPr>
        <w:rPr>
          <w:rFonts w:asciiTheme="majorHAnsi" w:hAnsiTheme="majorHAnsi"/>
          <w:lang w:eastAsia="fr-FR"/>
        </w:rPr>
      </w:pPr>
    </w:p>
    <w:p w:rsidR="00E0177C" w:rsidRPr="00C5021C" w:rsidRDefault="00E0177C" w:rsidP="00E0177C">
      <w:pPr>
        <w:widowControl w:val="0"/>
        <w:autoSpaceDE w:val="0"/>
        <w:autoSpaceDN w:val="0"/>
        <w:adjustRightInd w:val="0"/>
        <w:rPr>
          <w:rFonts w:asciiTheme="majorHAnsi" w:hAnsiTheme="majorHAnsi" w:cs="Century Schoolbook"/>
        </w:rPr>
      </w:pPr>
    </w:p>
    <w:p w:rsidR="008059E4" w:rsidRPr="006A3579" w:rsidRDefault="00CE47CE" w:rsidP="006A3579">
      <w:pPr>
        <w:widowControl w:val="0"/>
        <w:autoSpaceDE w:val="0"/>
        <w:autoSpaceDN w:val="0"/>
        <w:adjustRightInd w:val="0"/>
        <w:jc w:val="center"/>
        <w:rPr>
          <w:rFonts w:ascii="Cambria" w:hAnsi="Cambria" w:cs="Century Schoolbook"/>
        </w:rPr>
      </w:pPr>
      <w:r w:rsidRPr="004377F6">
        <w:rPr>
          <w:rFonts w:ascii="Cambria" w:hAnsi="Cambria" w:cs="Century Schoolbook"/>
        </w:rPr>
        <w:t>-o-o-o-o-o-</w:t>
      </w:r>
    </w:p>
    <w:sectPr w:rsidR="008059E4" w:rsidRPr="006A3579" w:rsidSect="00922ABB">
      <w:footerReference w:type="even" r:id="rId11"/>
      <w:footerReference w:type="default" r:id="rId12"/>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66B" w:rsidRDefault="00DA066B">
      <w:r>
        <w:separator/>
      </w:r>
    </w:p>
  </w:endnote>
  <w:endnote w:type="continuationSeparator" w:id="0">
    <w:p w:rsidR="00DA066B" w:rsidRDefault="00DA0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ABB" w:rsidRDefault="00922ABB" w:rsidP="00922AB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922ABB" w:rsidRDefault="00DA066B" w:rsidP="00922ABB">
    <w:pPr>
      <w:pStyle w:val="Pieddepage"/>
      <w:ind w:right="360"/>
    </w:pPr>
    <w:sdt>
      <w:sdtPr>
        <w:id w:val="969400743"/>
        <w:temporary/>
        <w:showingPlcHdr/>
      </w:sdtPr>
      <w:sdtEndPr/>
      <w:sdtContent>
        <w:r w:rsidR="00922ABB">
          <w:t>[Tapez le texte]</w:t>
        </w:r>
      </w:sdtContent>
    </w:sdt>
    <w:r w:rsidR="00922ABB">
      <w:ptab w:relativeTo="margin" w:alignment="center" w:leader="none"/>
    </w:r>
    <w:sdt>
      <w:sdtPr>
        <w:id w:val="969400748"/>
        <w:temporary/>
        <w:showingPlcHdr/>
      </w:sdtPr>
      <w:sdtEndPr/>
      <w:sdtContent>
        <w:r w:rsidR="00922ABB">
          <w:t>[Tapez le texte]</w:t>
        </w:r>
      </w:sdtContent>
    </w:sdt>
    <w:r w:rsidR="00922ABB">
      <w:ptab w:relativeTo="margin" w:alignment="right" w:leader="none"/>
    </w:r>
    <w:sdt>
      <w:sdtPr>
        <w:id w:val="969400753"/>
        <w:temporary/>
        <w:showingPlcHdr/>
      </w:sdtPr>
      <w:sdtEndPr/>
      <w:sdtContent>
        <w:r w:rsidR="00922ABB">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ABB" w:rsidRPr="00BA209E" w:rsidRDefault="00922ABB" w:rsidP="00922ABB">
    <w:pPr>
      <w:pStyle w:val="Pieddepage"/>
      <w:jc w:val="center"/>
      <w:rPr>
        <w:i/>
        <w:sz w:val="20"/>
        <w:szCs w:val="20"/>
      </w:rPr>
    </w:pPr>
    <w:r w:rsidRPr="00BA209E">
      <w:rPr>
        <w:i/>
        <w:sz w:val="20"/>
        <w:szCs w:val="20"/>
      </w:rPr>
      <w:t>Présidence de la Polynésie Française</w:t>
    </w:r>
  </w:p>
  <w:p w:rsidR="00922ABB" w:rsidRPr="00BA209E" w:rsidRDefault="00922ABB" w:rsidP="00922ABB">
    <w:pPr>
      <w:pStyle w:val="Pieddepage"/>
      <w:jc w:val="center"/>
      <w:rPr>
        <w:i/>
        <w:sz w:val="20"/>
        <w:szCs w:val="20"/>
      </w:rPr>
    </w:pPr>
    <w:r w:rsidRPr="00BA209E">
      <w:rPr>
        <w:i/>
        <w:sz w:val="20"/>
        <w:szCs w:val="20"/>
      </w:rPr>
      <w:t xml:space="preserve">Service </w:t>
    </w:r>
    <w:r>
      <w:rPr>
        <w:i/>
        <w:sz w:val="20"/>
        <w:szCs w:val="20"/>
      </w:rPr>
      <w:t>de la communication</w:t>
    </w:r>
  </w:p>
  <w:p w:rsidR="00922ABB" w:rsidRPr="00BA209E" w:rsidRDefault="00DA066B" w:rsidP="00922ABB">
    <w:pPr>
      <w:pStyle w:val="Pieddepage"/>
      <w:jc w:val="center"/>
      <w:rPr>
        <w:sz w:val="20"/>
        <w:szCs w:val="20"/>
      </w:rPr>
    </w:pPr>
    <w:hyperlink r:id="rId1" w:history="1">
      <w:r w:rsidR="00922ABB" w:rsidRPr="00E264FC">
        <w:rPr>
          <w:rStyle w:val="Lienhypertexte"/>
          <w:sz w:val="20"/>
        </w:rPr>
        <w:t>communication@presidence.pf</w:t>
      </w:r>
    </w:hyperlink>
    <w:r w:rsidR="00922ABB" w:rsidRPr="00BA209E">
      <w:rPr>
        <w:sz w:val="20"/>
        <w:szCs w:val="20"/>
      </w:rPr>
      <w:t xml:space="preserve"> – </w:t>
    </w:r>
    <w:r w:rsidR="00922ABB">
      <w:rPr>
        <w:sz w:val="20"/>
        <w:szCs w:val="20"/>
      </w:rPr>
      <w:t xml:space="preserve">40 </w:t>
    </w:r>
    <w:r w:rsidR="00922ABB" w:rsidRPr="00BA209E">
      <w:rPr>
        <w:sz w:val="20"/>
        <w:szCs w:val="20"/>
      </w:rPr>
      <w:t>47 20 00</w:t>
    </w:r>
  </w:p>
  <w:p w:rsidR="00922ABB" w:rsidRDefault="00922AB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66B" w:rsidRDefault="00DA066B">
      <w:r>
        <w:separator/>
      </w:r>
    </w:p>
  </w:footnote>
  <w:footnote w:type="continuationSeparator" w:id="0">
    <w:p w:rsidR="00DA066B" w:rsidRDefault="00DA06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4F2"/>
    <w:multiLevelType w:val="hybridMultilevel"/>
    <w:tmpl w:val="BD607E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A6B668B"/>
    <w:multiLevelType w:val="hybridMultilevel"/>
    <w:tmpl w:val="41CE10B4"/>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
    <w:nsid w:val="0EC605E4"/>
    <w:multiLevelType w:val="hybridMultilevel"/>
    <w:tmpl w:val="9FAAA6BA"/>
    <w:lvl w:ilvl="0" w:tplc="6F0C7A84">
      <w:numFmt w:val="bullet"/>
      <w:lvlText w:val="-"/>
      <w:lvlJc w:val="left"/>
      <w:pPr>
        <w:ind w:left="1133" w:hanging="360"/>
      </w:pPr>
      <w:rPr>
        <w:rFonts w:ascii="Times New Roman" w:eastAsia="Calibri" w:hAnsi="Times New Roman" w:cs="Times New Roman" w:hint="default"/>
      </w:rPr>
    </w:lvl>
    <w:lvl w:ilvl="1" w:tplc="040C0003" w:tentative="1">
      <w:start w:val="1"/>
      <w:numFmt w:val="bullet"/>
      <w:lvlText w:val="o"/>
      <w:lvlJc w:val="left"/>
      <w:pPr>
        <w:ind w:left="1853" w:hanging="360"/>
      </w:pPr>
      <w:rPr>
        <w:rFonts w:ascii="Courier New" w:hAnsi="Courier New" w:cs="Courier New" w:hint="default"/>
      </w:rPr>
    </w:lvl>
    <w:lvl w:ilvl="2" w:tplc="040C0005" w:tentative="1">
      <w:start w:val="1"/>
      <w:numFmt w:val="bullet"/>
      <w:lvlText w:val=""/>
      <w:lvlJc w:val="left"/>
      <w:pPr>
        <w:ind w:left="2573" w:hanging="360"/>
      </w:pPr>
      <w:rPr>
        <w:rFonts w:ascii="Wingdings" w:hAnsi="Wingdings" w:hint="default"/>
      </w:rPr>
    </w:lvl>
    <w:lvl w:ilvl="3" w:tplc="040C0001" w:tentative="1">
      <w:start w:val="1"/>
      <w:numFmt w:val="bullet"/>
      <w:lvlText w:val=""/>
      <w:lvlJc w:val="left"/>
      <w:pPr>
        <w:ind w:left="3293" w:hanging="360"/>
      </w:pPr>
      <w:rPr>
        <w:rFonts w:ascii="Symbol" w:hAnsi="Symbol" w:hint="default"/>
      </w:rPr>
    </w:lvl>
    <w:lvl w:ilvl="4" w:tplc="040C0003" w:tentative="1">
      <w:start w:val="1"/>
      <w:numFmt w:val="bullet"/>
      <w:lvlText w:val="o"/>
      <w:lvlJc w:val="left"/>
      <w:pPr>
        <w:ind w:left="4013" w:hanging="360"/>
      </w:pPr>
      <w:rPr>
        <w:rFonts w:ascii="Courier New" w:hAnsi="Courier New" w:cs="Courier New" w:hint="default"/>
      </w:rPr>
    </w:lvl>
    <w:lvl w:ilvl="5" w:tplc="040C0005" w:tentative="1">
      <w:start w:val="1"/>
      <w:numFmt w:val="bullet"/>
      <w:lvlText w:val=""/>
      <w:lvlJc w:val="left"/>
      <w:pPr>
        <w:ind w:left="4733" w:hanging="360"/>
      </w:pPr>
      <w:rPr>
        <w:rFonts w:ascii="Wingdings" w:hAnsi="Wingdings" w:hint="default"/>
      </w:rPr>
    </w:lvl>
    <w:lvl w:ilvl="6" w:tplc="040C0001" w:tentative="1">
      <w:start w:val="1"/>
      <w:numFmt w:val="bullet"/>
      <w:lvlText w:val=""/>
      <w:lvlJc w:val="left"/>
      <w:pPr>
        <w:ind w:left="5453" w:hanging="360"/>
      </w:pPr>
      <w:rPr>
        <w:rFonts w:ascii="Symbol" w:hAnsi="Symbol" w:hint="default"/>
      </w:rPr>
    </w:lvl>
    <w:lvl w:ilvl="7" w:tplc="040C0003" w:tentative="1">
      <w:start w:val="1"/>
      <w:numFmt w:val="bullet"/>
      <w:lvlText w:val="o"/>
      <w:lvlJc w:val="left"/>
      <w:pPr>
        <w:ind w:left="6173" w:hanging="360"/>
      </w:pPr>
      <w:rPr>
        <w:rFonts w:ascii="Courier New" w:hAnsi="Courier New" w:cs="Courier New" w:hint="default"/>
      </w:rPr>
    </w:lvl>
    <w:lvl w:ilvl="8" w:tplc="040C0005" w:tentative="1">
      <w:start w:val="1"/>
      <w:numFmt w:val="bullet"/>
      <w:lvlText w:val=""/>
      <w:lvlJc w:val="left"/>
      <w:pPr>
        <w:ind w:left="6893" w:hanging="360"/>
      </w:pPr>
      <w:rPr>
        <w:rFonts w:ascii="Wingdings" w:hAnsi="Wingdings" w:hint="default"/>
      </w:rPr>
    </w:lvl>
  </w:abstractNum>
  <w:abstractNum w:abstractNumId="3">
    <w:nsid w:val="19F04A28"/>
    <w:multiLevelType w:val="hybridMultilevel"/>
    <w:tmpl w:val="DF76381C"/>
    <w:lvl w:ilvl="0" w:tplc="05281BEE">
      <w:numFmt w:val="bullet"/>
      <w:lvlText w:val="-"/>
      <w:lvlJc w:val="left"/>
      <w:pPr>
        <w:ind w:left="1494" w:hanging="360"/>
      </w:pPr>
      <w:rPr>
        <w:rFonts w:ascii="Cambria" w:eastAsia="Calibri" w:hAnsi="Cambria"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4">
    <w:nsid w:val="1B362E02"/>
    <w:multiLevelType w:val="hybridMultilevel"/>
    <w:tmpl w:val="ABDA3C32"/>
    <w:lvl w:ilvl="0" w:tplc="C1F2168E">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5">
    <w:nsid w:val="21C12EBC"/>
    <w:multiLevelType w:val="hybridMultilevel"/>
    <w:tmpl w:val="324CE76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6">
    <w:nsid w:val="28D07585"/>
    <w:multiLevelType w:val="hybridMultilevel"/>
    <w:tmpl w:val="79F89258"/>
    <w:lvl w:ilvl="0" w:tplc="040C0003">
      <w:start w:val="1"/>
      <w:numFmt w:val="bullet"/>
      <w:lvlText w:val="o"/>
      <w:lvlJc w:val="left"/>
      <w:pPr>
        <w:ind w:left="1485" w:hanging="360"/>
      </w:pPr>
      <w:rPr>
        <w:rFonts w:ascii="Courier New" w:hAnsi="Courier New" w:cs="Courier New"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7">
    <w:nsid w:val="2BB62CFE"/>
    <w:multiLevelType w:val="hybridMultilevel"/>
    <w:tmpl w:val="4C909F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FB74E5C"/>
    <w:multiLevelType w:val="hybridMultilevel"/>
    <w:tmpl w:val="A058E7BC"/>
    <w:lvl w:ilvl="0" w:tplc="E7F66CA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0903B23"/>
    <w:multiLevelType w:val="hybridMultilevel"/>
    <w:tmpl w:val="6D282ACA"/>
    <w:lvl w:ilvl="0" w:tplc="0C160238">
      <w:numFmt w:val="bullet"/>
      <w:lvlText w:val="-"/>
      <w:lvlJc w:val="left"/>
      <w:pPr>
        <w:tabs>
          <w:tab w:val="num" w:pos="1211"/>
        </w:tabs>
        <w:ind w:left="1211" w:hanging="360"/>
      </w:pPr>
      <w:rPr>
        <w:rFonts w:ascii="Times New Roman" w:eastAsia="Times New Roman" w:hAnsi="Times New Roman" w:cs="Times New Roman" w:hint="default"/>
      </w:rPr>
    </w:lvl>
    <w:lvl w:ilvl="1" w:tplc="040C0003">
      <w:start w:val="1"/>
      <w:numFmt w:val="bullet"/>
      <w:lvlText w:val="o"/>
      <w:lvlJc w:val="left"/>
      <w:pPr>
        <w:tabs>
          <w:tab w:val="num" w:pos="1931"/>
        </w:tabs>
        <w:ind w:left="1931" w:hanging="360"/>
      </w:pPr>
      <w:rPr>
        <w:rFonts w:ascii="Courier New" w:hAnsi="Courier New" w:cs="Courier New" w:hint="default"/>
      </w:rPr>
    </w:lvl>
    <w:lvl w:ilvl="2" w:tplc="040C0005">
      <w:start w:val="1"/>
      <w:numFmt w:val="bullet"/>
      <w:lvlText w:val=""/>
      <w:lvlJc w:val="left"/>
      <w:pPr>
        <w:tabs>
          <w:tab w:val="num" w:pos="2651"/>
        </w:tabs>
        <w:ind w:left="2651"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331D29BA"/>
    <w:multiLevelType w:val="hybridMultilevel"/>
    <w:tmpl w:val="83B65624"/>
    <w:lvl w:ilvl="0" w:tplc="D518B2E4">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1">
    <w:nsid w:val="380557AA"/>
    <w:multiLevelType w:val="hybridMultilevel"/>
    <w:tmpl w:val="A238D466"/>
    <w:lvl w:ilvl="0" w:tplc="41FA8E4C">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2">
    <w:nsid w:val="3F205DA2"/>
    <w:multiLevelType w:val="hybridMultilevel"/>
    <w:tmpl w:val="DA64CF74"/>
    <w:lvl w:ilvl="0" w:tplc="23467894">
      <w:numFmt w:val="bullet"/>
      <w:lvlText w:val="-"/>
      <w:lvlJc w:val="left"/>
      <w:pPr>
        <w:ind w:left="1571" w:hanging="360"/>
      </w:pPr>
      <w:rPr>
        <w:rFonts w:ascii="Times New Roman" w:eastAsia="Times New Roman" w:hAnsi="Times New Roman" w:cs="Times New Roman"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3">
    <w:nsid w:val="3FF3178B"/>
    <w:multiLevelType w:val="singleLevel"/>
    <w:tmpl w:val="305E1772"/>
    <w:lvl w:ilvl="0">
      <w:start w:val="1"/>
      <w:numFmt w:val="none"/>
      <w:pStyle w:val="-ActeAttenduVuGEDA"/>
      <w:lvlText w:val="Vu"/>
      <w:legacy w:legacy="1" w:legacySpace="0" w:legacyIndent="340"/>
      <w:lvlJc w:val="left"/>
      <w:pPr>
        <w:ind w:left="340" w:hanging="340"/>
      </w:pPr>
      <w:rPr>
        <w:sz w:val="20"/>
      </w:rPr>
    </w:lvl>
  </w:abstractNum>
  <w:abstractNum w:abstractNumId="14">
    <w:nsid w:val="40FA6A1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15">
    <w:nsid w:val="4272626A"/>
    <w:multiLevelType w:val="hybridMultilevel"/>
    <w:tmpl w:val="AC1AED7C"/>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6">
    <w:nsid w:val="475F5C84"/>
    <w:multiLevelType w:val="hybridMultilevel"/>
    <w:tmpl w:val="165ABD6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92427A2"/>
    <w:multiLevelType w:val="hybridMultilevel"/>
    <w:tmpl w:val="2A66EF4C"/>
    <w:lvl w:ilvl="0" w:tplc="23467894">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8">
    <w:nsid w:val="4A666337"/>
    <w:multiLevelType w:val="hybridMultilevel"/>
    <w:tmpl w:val="D084D950"/>
    <w:lvl w:ilvl="0" w:tplc="5DC01EF6">
      <w:start w:val="1"/>
      <w:numFmt w:val="none"/>
      <w:pStyle w:val="-LettreAffairesuivieGEDA"/>
      <w:lvlText w:val="%1Affaire suivie par :"/>
      <w:lvlJc w:val="left"/>
      <w:pPr>
        <w:tabs>
          <w:tab w:val="num" w:pos="2880"/>
        </w:tabs>
        <w:ind w:left="1080" w:hanging="360"/>
      </w:pPr>
      <w:rPr>
        <w:rFonts w:hint="default"/>
        <w:b w:val="0"/>
        <w:i/>
        <w:sz w:val="18"/>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4F4C5B50"/>
    <w:multiLevelType w:val="hybridMultilevel"/>
    <w:tmpl w:val="CB483338"/>
    <w:lvl w:ilvl="0" w:tplc="040C000D">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5EB6560"/>
    <w:multiLevelType w:val="hybridMultilevel"/>
    <w:tmpl w:val="E716CC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68320C5"/>
    <w:multiLevelType w:val="hybridMultilevel"/>
    <w:tmpl w:val="A47482F2"/>
    <w:lvl w:ilvl="0" w:tplc="D6949E7A">
      <w:start w:val="1"/>
      <w:numFmt w:val="bullet"/>
      <w:lvlText w:val="-"/>
      <w:lvlJc w:val="left"/>
      <w:pPr>
        <w:ind w:left="928" w:hanging="360"/>
      </w:pPr>
      <w:rPr>
        <w:rFonts w:ascii="Trebuchet MS" w:hAnsi="Trebuchet M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9D579C8"/>
    <w:multiLevelType w:val="hybridMultilevel"/>
    <w:tmpl w:val="80C48268"/>
    <w:lvl w:ilvl="0" w:tplc="9514CA04">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5A7D3F4C"/>
    <w:multiLevelType w:val="hybridMultilevel"/>
    <w:tmpl w:val="31528024"/>
    <w:lvl w:ilvl="0" w:tplc="E7E602D6">
      <w:start w:val="2"/>
      <w:numFmt w:val="bullet"/>
      <w:lvlText w:val="-"/>
      <w:lvlJc w:val="left"/>
      <w:pPr>
        <w:ind w:left="720" w:hanging="360"/>
      </w:pPr>
      <w:rPr>
        <w:rFonts w:ascii="Cambria" w:eastAsia="Times New Roman"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nsid w:val="5C851BEA"/>
    <w:multiLevelType w:val="hybridMultilevel"/>
    <w:tmpl w:val="5BEE112C"/>
    <w:lvl w:ilvl="0" w:tplc="BBC85E9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6125227B"/>
    <w:multiLevelType w:val="hybridMultilevel"/>
    <w:tmpl w:val="425E779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2687911"/>
    <w:multiLevelType w:val="hybridMultilevel"/>
    <w:tmpl w:val="B764170C"/>
    <w:lvl w:ilvl="0" w:tplc="040C000F">
      <w:start w:val="1"/>
      <w:numFmt w:val="decimal"/>
      <w:lvlText w:val="%1."/>
      <w:lvlJc w:val="left"/>
      <w:pPr>
        <w:ind w:left="1430" w:hanging="360"/>
      </w:pPr>
    </w:lvl>
    <w:lvl w:ilvl="1" w:tplc="040C0019" w:tentative="1">
      <w:start w:val="1"/>
      <w:numFmt w:val="lowerLetter"/>
      <w:lvlText w:val="%2."/>
      <w:lvlJc w:val="left"/>
      <w:pPr>
        <w:ind w:left="2150" w:hanging="360"/>
      </w:pPr>
    </w:lvl>
    <w:lvl w:ilvl="2" w:tplc="040C001B" w:tentative="1">
      <w:start w:val="1"/>
      <w:numFmt w:val="lowerRoman"/>
      <w:lvlText w:val="%3."/>
      <w:lvlJc w:val="right"/>
      <w:pPr>
        <w:ind w:left="2870" w:hanging="180"/>
      </w:pPr>
    </w:lvl>
    <w:lvl w:ilvl="3" w:tplc="040C000F" w:tentative="1">
      <w:start w:val="1"/>
      <w:numFmt w:val="decimal"/>
      <w:lvlText w:val="%4."/>
      <w:lvlJc w:val="left"/>
      <w:pPr>
        <w:ind w:left="3590" w:hanging="360"/>
      </w:pPr>
    </w:lvl>
    <w:lvl w:ilvl="4" w:tplc="040C0019" w:tentative="1">
      <w:start w:val="1"/>
      <w:numFmt w:val="lowerLetter"/>
      <w:lvlText w:val="%5."/>
      <w:lvlJc w:val="left"/>
      <w:pPr>
        <w:ind w:left="4310" w:hanging="360"/>
      </w:pPr>
    </w:lvl>
    <w:lvl w:ilvl="5" w:tplc="040C001B" w:tentative="1">
      <w:start w:val="1"/>
      <w:numFmt w:val="lowerRoman"/>
      <w:lvlText w:val="%6."/>
      <w:lvlJc w:val="right"/>
      <w:pPr>
        <w:ind w:left="5030" w:hanging="180"/>
      </w:pPr>
    </w:lvl>
    <w:lvl w:ilvl="6" w:tplc="040C000F" w:tentative="1">
      <w:start w:val="1"/>
      <w:numFmt w:val="decimal"/>
      <w:lvlText w:val="%7."/>
      <w:lvlJc w:val="left"/>
      <w:pPr>
        <w:ind w:left="5750" w:hanging="360"/>
      </w:pPr>
    </w:lvl>
    <w:lvl w:ilvl="7" w:tplc="040C0019" w:tentative="1">
      <w:start w:val="1"/>
      <w:numFmt w:val="lowerLetter"/>
      <w:lvlText w:val="%8."/>
      <w:lvlJc w:val="left"/>
      <w:pPr>
        <w:ind w:left="6470" w:hanging="360"/>
      </w:pPr>
    </w:lvl>
    <w:lvl w:ilvl="8" w:tplc="040C001B" w:tentative="1">
      <w:start w:val="1"/>
      <w:numFmt w:val="lowerRoman"/>
      <w:lvlText w:val="%9."/>
      <w:lvlJc w:val="right"/>
      <w:pPr>
        <w:ind w:left="7190" w:hanging="180"/>
      </w:pPr>
    </w:lvl>
  </w:abstractNum>
  <w:abstractNum w:abstractNumId="27">
    <w:nsid w:val="70941CE0"/>
    <w:multiLevelType w:val="hybridMultilevel"/>
    <w:tmpl w:val="9BB02636"/>
    <w:lvl w:ilvl="0" w:tplc="52201554">
      <w:start w:val="40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nsid w:val="7B431976"/>
    <w:multiLevelType w:val="hybridMultilevel"/>
    <w:tmpl w:val="FE5A6154"/>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
    <w:nsid w:val="7DD64253"/>
    <w:multiLevelType w:val="hybridMultilevel"/>
    <w:tmpl w:val="ED963768"/>
    <w:lvl w:ilvl="0" w:tplc="A8C8AA8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num w:numId="1">
    <w:abstractNumId w:val="21"/>
  </w:num>
  <w:num w:numId="2">
    <w:abstractNumId w:val="11"/>
  </w:num>
  <w:num w:numId="3">
    <w:abstractNumId w:val="6"/>
  </w:num>
  <w:num w:numId="4">
    <w:abstractNumId w:val="16"/>
  </w:num>
  <w:num w:numId="5">
    <w:abstractNumId w:val="17"/>
  </w:num>
  <w:num w:numId="6">
    <w:abstractNumId w:val="23"/>
  </w:num>
  <w:num w:numId="7">
    <w:abstractNumId w:val="16"/>
  </w:num>
  <w:num w:numId="8">
    <w:abstractNumId w:val="2"/>
  </w:num>
  <w:num w:numId="9">
    <w:abstractNumId w:val="4"/>
  </w:num>
  <w:num w:numId="10">
    <w:abstractNumId w:val="24"/>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7"/>
  </w:num>
  <w:num w:numId="14">
    <w:abstractNumId w:val="13"/>
  </w:num>
  <w:num w:numId="15">
    <w:abstractNumId w:val="14"/>
  </w:num>
  <w:num w:numId="16">
    <w:abstractNumId w:val="30"/>
  </w:num>
  <w:num w:numId="17">
    <w:abstractNumId w:val="15"/>
  </w:num>
  <w:num w:numId="18">
    <w:abstractNumId w:val="8"/>
  </w:num>
  <w:num w:numId="19">
    <w:abstractNumId w:val="7"/>
  </w:num>
  <w:num w:numId="20">
    <w:abstractNumId w:val="29"/>
  </w:num>
  <w:num w:numId="21">
    <w:abstractNumId w:val="3"/>
  </w:num>
  <w:num w:numId="22">
    <w:abstractNumId w:val="9"/>
  </w:num>
  <w:num w:numId="23">
    <w:abstractNumId w:val="21"/>
  </w:num>
  <w:num w:numId="24">
    <w:abstractNumId w:val="6"/>
  </w:num>
  <w:num w:numId="25">
    <w:abstractNumId w:val="5"/>
  </w:num>
  <w:num w:numId="26">
    <w:abstractNumId w:val="1"/>
  </w:num>
  <w:num w:numId="27">
    <w:abstractNumId w:val="12"/>
  </w:num>
  <w:num w:numId="28">
    <w:abstractNumId w:val="10"/>
  </w:num>
  <w:num w:numId="29">
    <w:abstractNumId w:val="0"/>
  </w:num>
  <w:num w:numId="30">
    <w:abstractNumId w:val="19"/>
  </w:num>
  <w:num w:numId="31">
    <w:abstractNumId w:val="18"/>
  </w:num>
  <w:num w:numId="32">
    <w:abstractNumId w:val="28"/>
  </w:num>
  <w:num w:numId="33">
    <w:abstractNumId w:val="25"/>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7CE"/>
    <w:rsid w:val="00017834"/>
    <w:rsid w:val="0002670F"/>
    <w:rsid w:val="00033658"/>
    <w:rsid w:val="000338AD"/>
    <w:rsid w:val="000508C8"/>
    <w:rsid w:val="00064A61"/>
    <w:rsid w:val="000B14D0"/>
    <w:rsid w:val="001260E1"/>
    <w:rsid w:val="001A2D2F"/>
    <w:rsid w:val="001C6C5E"/>
    <w:rsid w:val="001D354D"/>
    <w:rsid w:val="001E5D7F"/>
    <w:rsid w:val="00244AF6"/>
    <w:rsid w:val="00270AE2"/>
    <w:rsid w:val="00286FFA"/>
    <w:rsid w:val="002A6722"/>
    <w:rsid w:val="002E1D40"/>
    <w:rsid w:val="003175DF"/>
    <w:rsid w:val="0032141A"/>
    <w:rsid w:val="00335461"/>
    <w:rsid w:val="003444A6"/>
    <w:rsid w:val="0035386E"/>
    <w:rsid w:val="003625D8"/>
    <w:rsid w:val="00375466"/>
    <w:rsid w:val="003B14D7"/>
    <w:rsid w:val="003B5A14"/>
    <w:rsid w:val="003D62F0"/>
    <w:rsid w:val="003F0DC9"/>
    <w:rsid w:val="003F3E11"/>
    <w:rsid w:val="00415AE9"/>
    <w:rsid w:val="0042162D"/>
    <w:rsid w:val="0042227C"/>
    <w:rsid w:val="00424B02"/>
    <w:rsid w:val="004443F9"/>
    <w:rsid w:val="00447307"/>
    <w:rsid w:val="00464DBA"/>
    <w:rsid w:val="004824BE"/>
    <w:rsid w:val="004945F1"/>
    <w:rsid w:val="004C0B54"/>
    <w:rsid w:val="004E59E4"/>
    <w:rsid w:val="004F2666"/>
    <w:rsid w:val="004F6AB0"/>
    <w:rsid w:val="0054277A"/>
    <w:rsid w:val="00580ED3"/>
    <w:rsid w:val="005D1C04"/>
    <w:rsid w:val="005F67A7"/>
    <w:rsid w:val="006351F3"/>
    <w:rsid w:val="00636B0B"/>
    <w:rsid w:val="00643F5E"/>
    <w:rsid w:val="006717DA"/>
    <w:rsid w:val="006A3579"/>
    <w:rsid w:val="006A5DC1"/>
    <w:rsid w:val="006B623F"/>
    <w:rsid w:val="006E411F"/>
    <w:rsid w:val="006E5AAD"/>
    <w:rsid w:val="006E76C6"/>
    <w:rsid w:val="007052A3"/>
    <w:rsid w:val="00711F71"/>
    <w:rsid w:val="00716A05"/>
    <w:rsid w:val="00724780"/>
    <w:rsid w:val="0073621E"/>
    <w:rsid w:val="00745751"/>
    <w:rsid w:val="007503DC"/>
    <w:rsid w:val="00767E72"/>
    <w:rsid w:val="00782D32"/>
    <w:rsid w:val="007A6288"/>
    <w:rsid w:val="007A6645"/>
    <w:rsid w:val="007B3B1E"/>
    <w:rsid w:val="007D57D7"/>
    <w:rsid w:val="007E6573"/>
    <w:rsid w:val="008059E4"/>
    <w:rsid w:val="00822799"/>
    <w:rsid w:val="0082621E"/>
    <w:rsid w:val="008276FE"/>
    <w:rsid w:val="00852F12"/>
    <w:rsid w:val="008537CB"/>
    <w:rsid w:val="00866990"/>
    <w:rsid w:val="00874293"/>
    <w:rsid w:val="00891EDE"/>
    <w:rsid w:val="008C255E"/>
    <w:rsid w:val="008D6C23"/>
    <w:rsid w:val="008E053C"/>
    <w:rsid w:val="008E4691"/>
    <w:rsid w:val="00906D50"/>
    <w:rsid w:val="00922ABB"/>
    <w:rsid w:val="00954182"/>
    <w:rsid w:val="009B11A7"/>
    <w:rsid w:val="009B73C8"/>
    <w:rsid w:val="009D2B45"/>
    <w:rsid w:val="00A01888"/>
    <w:rsid w:val="00A31AE6"/>
    <w:rsid w:val="00A40622"/>
    <w:rsid w:val="00A45B8E"/>
    <w:rsid w:val="00A46EA3"/>
    <w:rsid w:val="00A73389"/>
    <w:rsid w:val="00A87746"/>
    <w:rsid w:val="00A93D19"/>
    <w:rsid w:val="00A94AE1"/>
    <w:rsid w:val="00A94B9D"/>
    <w:rsid w:val="00AA198C"/>
    <w:rsid w:val="00AA5DB0"/>
    <w:rsid w:val="00AB7D79"/>
    <w:rsid w:val="00AD5D6D"/>
    <w:rsid w:val="00AD5EDD"/>
    <w:rsid w:val="00AD5EE0"/>
    <w:rsid w:val="00B31AD4"/>
    <w:rsid w:val="00B60BCC"/>
    <w:rsid w:val="00B60F3D"/>
    <w:rsid w:val="00B74014"/>
    <w:rsid w:val="00B97371"/>
    <w:rsid w:val="00BA3B8B"/>
    <w:rsid w:val="00BD197C"/>
    <w:rsid w:val="00BF3AE2"/>
    <w:rsid w:val="00C2035B"/>
    <w:rsid w:val="00C25610"/>
    <w:rsid w:val="00C34DFF"/>
    <w:rsid w:val="00C5021C"/>
    <w:rsid w:val="00C80CB6"/>
    <w:rsid w:val="00C83E94"/>
    <w:rsid w:val="00C85666"/>
    <w:rsid w:val="00CA5FA6"/>
    <w:rsid w:val="00CD41CD"/>
    <w:rsid w:val="00CE47CE"/>
    <w:rsid w:val="00D001D6"/>
    <w:rsid w:val="00D032A7"/>
    <w:rsid w:val="00D409EF"/>
    <w:rsid w:val="00D41691"/>
    <w:rsid w:val="00D42763"/>
    <w:rsid w:val="00D61A9C"/>
    <w:rsid w:val="00D7269F"/>
    <w:rsid w:val="00D77283"/>
    <w:rsid w:val="00DA066B"/>
    <w:rsid w:val="00DD023E"/>
    <w:rsid w:val="00DE148E"/>
    <w:rsid w:val="00E0177C"/>
    <w:rsid w:val="00E066DB"/>
    <w:rsid w:val="00E069DD"/>
    <w:rsid w:val="00E14BA1"/>
    <w:rsid w:val="00E354E0"/>
    <w:rsid w:val="00E64585"/>
    <w:rsid w:val="00E6755C"/>
    <w:rsid w:val="00E726CC"/>
    <w:rsid w:val="00E72D76"/>
    <w:rsid w:val="00E75455"/>
    <w:rsid w:val="00EA5932"/>
    <w:rsid w:val="00EA73B5"/>
    <w:rsid w:val="00EF33F2"/>
    <w:rsid w:val="00EF67B9"/>
    <w:rsid w:val="00F20FFC"/>
    <w:rsid w:val="00F3421C"/>
    <w:rsid w:val="00F372AE"/>
    <w:rsid w:val="00F41ADF"/>
    <w:rsid w:val="00F868AE"/>
    <w:rsid w:val="00F90E7B"/>
    <w:rsid w:val="00F93C10"/>
    <w:rsid w:val="00FA4035"/>
    <w:rsid w:val="00FF4E27"/>
    <w:rsid w:val="00FF7F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7CE"/>
    <w:pPr>
      <w:spacing w:after="0" w:line="240" w:lineRule="auto"/>
    </w:pPr>
    <w:rPr>
      <w:rFonts w:ascii="Times New Roman" w:eastAsia="Times New Roman" w:hAnsi="Times New Roman" w:cs="Times New Roman"/>
      <w:sz w:val="24"/>
      <w:szCs w:val="24"/>
      <w:lang w:eastAsia="es-ES"/>
    </w:rPr>
  </w:style>
  <w:style w:type="paragraph" w:styleId="Titre7">
    <w:name w:val="heading 7"/>
    <w:basedOn w:val="Normal"/>
    <w:next w:val="Normal"/>
    <w:link w:val="Titre7Car"/>
    <w:uiPriority w:val="9"/>
    <w:semiHidden/>
    <w:unhideWhenUsed/>
    <w:qFormat/>
    <w:rsid w:val="00C34DFF"/>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Titre7"/>
    <w:next w:val="-LettreTexteGEDA"/>
    <w:link w:val="Titre8Car"/>
    <w:qFormat/>
    <w:rsid w:val="00C34DFF"/>
    <w:pPr>
      <w:numPr>
        <w:numId w:val="15"/>
      </w:numPr>
      <w:spacing w:before="180"/>
      <w:ind w:left="283" w:hanging="283"/>
      <w:outlineLvl w:val="7"/>
    </w:pPr>
    <w:rPr>
      <w:rFonts w:ascii="Times New Roman" w:eastAsia="Times New Roman" w:hAnsi="Times New Roman" w:cs="Arial"/>
      <w:i w:val="0"/>
      <w:iCs w:val="0"/>
      <w:color w:val="auto"/>
      <w:szCs w:val="20"/>
      <w:lang w:eastAsia="en-US"/>
    </w:rPr>
  </w:style>
  <w:style w:type="paragraph" w:styleId="Titre9">
    <w:name w:val="heading 9"/>
    <w:next w:val="-LettreTexteGEDA"/>
    <w:link w:val="Titre9Car"/>
    <w:qFormat/>
    <w:rsid w:val="00C34DFF"/>
    <w:pPr>
      <w:numPr>
        <w:numId w:val="16"/>
      </w:numPr>
      <w:spacing w:before="180" w:after="0" w:line="240" w:lineRule="auto"/>
      <w:jc w:val="both"/>
      <w:outlineLvl w:val="8"/>
    </w:pPr>
    <w:rPr>
      <w:rFonts w:ascii="Times New Roman" w:eastAsia="Times New Roman" w:hAnsi="Times New Roman" w:cs="Arial"/>
      <w:kern w:val="18"/>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E47CE"/>
    <w:pPr>
      <w:tabs>
        <w:tab w:val="center" w:pos="4536"/>
        <w:tab w:val="right" w:pos="9072"/>
      </w:tabs>
    </w:pPr>
  </w:style>
  <w:style w:type="character" w:customStyle="1" w:styleId="PieddepageCar">
    <w:name w:val="Pied de page Car"/>
    <w:basedOn w:val="Policepardfaut"/>
    <w:link w:val="Pieddepage"/>
    <w:uiPriority w:val="99"/>
    <w:rsid w:val="00CE47CE"/>
    <w:rPr>
      <w:rFonts w:ascii="Times New Roman" w:eastAsia="Times New Roman" w:hAnsi="Times New Roman" w:cs="Times New Roman"/>
      <w:sz w:val="24"/>
      <w:szCs w:val="24"/>
      <w:lang w:eastAsia="es-ES"/>
    </w:rPr>
  </w:style>
  <w:style w:type="character" w:styleId="Lienhypertexte">
    <w:name w:val="Hyperlink"/>
    <w:basedOn w:val="Policepardfaut"/>
    <w:uiPriority w:val="99"/>
    <w:unhideWhenUsed/>
    <w:rsid w:val="00CE47CE"/>
    <w:rPr>
      <w:color w:val="0000FF" w:themeColor="hyperlink"/>
      <w:u w:val="single"/>
    </w:rPr>
  </w:style>
  <w:style w:type="character" w:styleId="Numrodepage">
    <w:name w:val="page number"/>
    <w:basedOn w:val="Policepardfaut"/>
    <w:uiPriority w:val="99"/>
    <w:semiHidden/>
    <w:unhideWhenUsed/>
    <w:rsid w:val="00CE47CE"/>
  </w:style>
  <w:style w:type="paragraph" w:customStyle="1" w:styleId="Standard">
    <w:name w:val="Standard"/>
    <w:rsid w:val="00CE47CE"/>
    <w:pPr>
      <w:suppressAutoHyphens/>
      <w:autoSpaceDN w:val="0"/>
      <w:textAlignment w:val="baseline"/>
    </w:pPr>
    <w:rPr>
      <w:rFonts w:ascii="Calibri" w:eastAsia="Arial Unicode MS" w:hAnsi="Calibri" w:cs="Tahoma"/>
      <w:kern w:val="3"/>
    </w:rPr>
  </w:style>
  <w:style w:type="paragraph" w:customStyle="1" w:styleId="-LettreObjetGEDA">
    <w:name w:val="- Lettre:Objet                GEDA"/>
    <w:next w:val="Normal"/>
    <w:link w:val="-LettreObjetGEDACar"/>
    <w:rsid w:val="00CE47CE"/>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styleId="Sansinterligne">
    <w:name w:val="No Spacing"/>
    <w:qFormat/>
    <w:rsid w:val="00CE47CE"/>
    <w:pPr>
      <w:spacing w:after="0" w:line="240" w:lineRule="auto"/>
    </w:pPr>
    <w:rPr>
      <w:rFonts w:ascii="Times New Roman" w:eastAsia="Times New Roman" w:hAnsi="Times New Roman" w:cs="Times New Roman"/>
      <w:sz w:val="24"/>
      <w:szCs w:val="24"/>
      <w:lang w:eastAsia="es-ES"/>
    </w:rPr>
  </w:style>
  <w:style w:type="character" w:customStyle="1" w:styleId="-LettreObjetGEDACar">
    <w:name w:val="- Lettre:Objet                GEDA Car"/>
    <w:basedOn w:val="Policepardfaut"/>
    <w:link w:val="-LettreObjetGEDA"/>
    <w:locked/>
    <w:rsid w:val="00CE47CE"/>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qFormat/>
    <w:rsid w:val="00CE47CE"/>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locked/>
    <w:rsid w:val="00CE47CE"/>
    <w:rPr>
      <w:rFonts w:ascii="Times New Roman" w:eastAsia="Times New Roman" w:hAnsi="Times New Roman" w:cs="Times New Roman"/>
      <w:noProof/>
      <w:sz w:val="24"/>
      <w:szCs w:val="20"/>
      <w:lang w:eastAsia="fr-FR"/>
    </w:rPr>
  </w:style>
  <w:style w:type="paragraph" w:styleId="NormalWeb">
    <w:name w:val="Normal (Web)"/>
    <w:basedOn w:val="Normal"/>
    <w:semiHidden/>
    <w:unhideWhenUsed/>
    <w:rsid w:val="00CE47CE"/>
    <w:pPr>
      <w:spacing w:before="100" w:beforeAutospacing="1" w:after="100" w:afterAutospacing="1"/>
    </w:pPr>
    <w:rPr>
      <w:lang w:eastAsia="fr-FR"/>
    </w:rPr>
  </w:style>
  <w:style w:type="paragraph" w:styleId="Titre">
    <w:name w:val="Title"/>
    <w:next w:val="-LettreTexteGEDA"/>
    <w:link w:val="TitreCar"/>
    <w:qFormat/>
    <w:rsid w:val="00CE47CE"/>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CE47CE"/>
    <w:rPr>
      <w:rFonts w:ascii="Times New Roman" w:eastAsia="Times New Roman" w:hAnsi="Times New Roman" w:cs="Arial"/>
      <w:b/>
      <w:bCs/>
      <w:caps/>
      <w:spacing w:val="60"/>
      <w:kern w:val="28"/>
      <w:sz w:val="24"/>
      <w:szCs w:val="32"/>
      <w:u w:val="thick"/>
    </w:rPr>
  </w:style>
  <w:style w:type="paragraph" w:customStyle="1" w:styleId="-LettreSuiteORefPJGEDA">
    <w:name w:val="- Lettre:Suite O/Ref/PJ GEDA"/>
    <w:rsid w:val="00E6755C"/>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PJGEDA">
    <w:name w:val="- Lettre:P.J.                  GEDA"/>
    <w:basedOn w:val="-LettreObjetGEDA"/>
    <w:next w:val="-LettreSuiteORefPJGEDA"/>
    <w:rsid w:val="00E6755C"/>
    <w:pPr>
      <w:spacing w:before="80"/>
    </w:pPr>
  </w:style>
  <w:style w:type="paragraph" w:styleId="Paragraphedeliste">
    <w:name w:val="List Paragraph"/>
    <w:basedOn w:val="Normal"/>
    <w:uiPriority w:val="34"/>
    <w:qFormat/>
    <w:rsid w:val="00E6755C"/>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semiHidden/>
    <w:unhideWhenUsed/>
    <w:rsid w:val="00852F12"/>
    <w:rPr>
      <w:rFonts w:eastAsiaTheme="minorHAnsi"/>
      <w:lang w:eastAsia="fr-FR"/>
    </w:rPr>
  </w:style>
  <w:style w:type="character" w:customStyle="1" w:styleId="En-tteCar">
    <w:name w:val="En-tête Car"/>
    <w:basedOn w:val="Policepardfaut"/>
    <w:link w:val="En-tte"/>
    <w:uiPriority w:val="99"/>
    <w:semiHidden/>
    <w:rsid w:val="00852F12"/>
    <w:rPr>
      <w:rFonts w:ascii="Times New Roman" w:hAnsi="Times New Roman" w:cs="Times New Roman"/>
      <w:sz w:val="24"/>
      <w:szCs w:val="24"/>
      <w:lang w:eastAsia="fr-FR"/>
    </w:rPr>
  </w:style>
  <w:style w:type="paragraph" w:customStyle="1" w:styleId="-ConventionPrambuleGEDA">
    <w:name w:val="- Convention:Préambule           GEDA"/>
    <w:rsid w:val="00A93D19"/>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LettrehDestinataireadGEDA">
    <w:name w:val="- Lettre:h_Destinataire (ad)GEDA"/>
    <w:basedOn w:val="Normal"/>
    <w:rsid w:val="00A93D19"/>
    <w:pPr>
      <w:overflowPunct w:val="0"/>
      <w:autoSpaceDE w:val="0"/>
      <w:autoSpaceDN w:val="0"/>
      <w:adjustRightInd w:val="0"/>
      <w:jc w:val="center"/>
      <w:textAlignment w:val="baseline"/>
    </w:pPr>
    <w:rPr>
      <w:b/>
      <w:noProof/>
      <w:szCs w:val="20"/>
      <w:lang w:eastAsia="fr-FR"/>
    </w:rPr>
  </w:style>
  <w:style w:type="paragraph" w:styleId="Corpsdetexte">
    <w:name w:val="Body Text"/>
    <w:basedOn w:val="Normal"/>
    <w:link w:val="CorpsdetexteCar"/>
    <w:uiPriority w:val="99"/>
    <w:semiHidden/>
    <w:unhideWhenUsed/>
    <w:rsid w:val="00A93D19"/>
    <w:pPr>
      <w:spacing w:after="120"/>
    </w:pPr>
    <w:rPr>
      <w:lang w:eastAsia="fr-FR"/>
    </w:rPr>
  </w:style>
  <w:style w:type="character" w:customStyle="1" w:styleId="CorpsdetexteCar">
    <w:name w:val="Corps de texte Car"/>
    <w:basedOn w:val="Policepardfaut"/>
    <w:link w:val="Corpsdetexte"/>
    <w:uiPriority w:val="99"/>
    <w:semiHidden/>
    <w:rsid w:val="00A93D19"/>
    <w:rPr>
      <w:rFonts w:ascii="Times New Roman" w:eastAsia="Times New Roman" w:hAnsi="Times New Roman" w:cs="Times New Roman"/>
      <w:sz w:val="24"/>
      <w:szCs w:val="24"/>
      <w:lang w:eastAsia="fr-FR"/>
    </w:rPr>
  </w:style>
  <w:style w:type="paragraph" w:customStyle="1" w:styleId="-ActeAttenduVuGEDA">
    <w:name w:val="- Acte:Attendu (Vu)                 GEDA"/>
    <w:rsid w:val="00C34DFF"/>
    <w:pPr>
      <w:numPr>
        <w:numId w:val="14"/>
      </w:numPr>
      <w:overflowPunct w:val="0"/>
      <w:autoSpaceDE w:val="0"/>
      <w:autoSpaceDN w:val="0"/>
      <w:adjustRightInd w:val="0"/>
      <w:spacing w:before="180" w:after="0" w:line="240" w:lineRule="auto"/>
      <w:jc w:val="both"/>
      <w:textAlignment w:val="baseline"/>
    </w:pPr>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rsid w:val="00C34DFF"/>
    <w:rPr>
      <w:rFonts w:ascii="Times New Roman" w:eastAsia="Times New Roman" w:hAnsi="Times New Roman" w:cs="Arial"/>
      <w:sz w:val="24"/>
      <w:szCs w:val="20"/>
    </w:rPr>
  </w:style>
  <w:style w:type="character" w:customStyle="1" w:styleId="Titre9Car">
    <w:name w:val="Titre 9 Car"/>
    <w:basedOn w:val="Policepardfaut"/>
    <w:link w:val="Titre9"/>
    <w:rsid w:val="00C34DFF"/>
    <w:rPr>
      <w:rFonts w:ascii="Times New Roman" w:eastAsia="Times New Roman" w:hAnsi="Times New Roman" w:cs="Arial"/>
      <w:kern w:val="18"/>
      <w:sz w:val="24"/>
    </w:rPr>
  </w:style>
  <w:style w:type="character" w:customStyle="1" w:styleId="Titre7Car">
    <w:name w:val="Titre 7 Car"/>
    <w:basedOn w:val="Policepardfaut"/>
    <w:link w:val="Titre7"/>
    <w:uiPriority w:val="9"/>
    <w:semiHidden/>
    <w:rsid w:val="00C34DFF"/>
    <w:rPr>
      <w:rFonts w:asciiTheme="majorHAnsi" w:eastAsiaTheme="majorEastAsia" w:hAnsiTheme="majorHAnsi" w:cstheme="majorBidi"/>
      <w:i/>
      <w:iCs/>
      <w:color w:val="243F60" w:themeColor="accent1" w:themeShade="7F"/>
      <w:sz w:val="24"/>
      <w:szCs w:val="24"/>
      <w:lang w:eastAsia="es-ES"/>
    </w:rPr>
  </w:style>
  <w:style w:type="character" w:styleId="lev">
    <w:name w:val="Strong"/>
    <w:basedOn w:val="Policepardfaut"/>
    <w:qFormat/>
    <w:rsid w:val="007A6288"/>
    <w:rPr>
      <w:b/>
      <w:bCs/>
    </w:rPr>
  </w:style>
  <w:style w:type="paragraph" w:customStyle="1" w:styleId="gmail-m-117888043849725832-lettretextegeda">
    <w:name w:val="gmail-m_-117888043849725832-lettretextegeda"/>
    <w:basedOn w:val="Normal"/>
    <w:rsid w:val="003444A6"/>
    <w:pPr>
      <w:spacing w:before="100" w:beforeAutospacing="1" w:after="100" w:afterAutospacing="1"/>
    </w:pPr>
    <w:rPr>
      <w:lang w:eastAsia="fr-FR"/>
    </w:rPr>
  </w:style>
  <w:style w:type="character" w:customStyle="1" w:styleId="verdana">
    <w:name w:val="verdana"/>
    <w:basedOn w:val="Policepardfaut"/>
    <w:rsid w:val="00922ABB"/>
  </w:style>
  <w:style w:type="paragraph" w:styleId="Textedebulles">
    <w:name w:val="Balloon Text"/>
    <w:basedOn w:val="Normal"/>
    <w:link w:val="TextedebullesCar"/>
    <w:uiPriority w:val="99"/>
    <w:semiHidden/>
    <w:unhideWhenUsed/>
    <w:rsid w:val="0042227C"/>
    <w:rPr>
      <w:rFonts w:ascii="Tahoma" w:hAnsi="Tahoma" w:cs="Tahoma"/>
      <w:sz w:val="16"/>
      <w:szCs w:val="16"/>
    </w:rPr>
  </w:style>
  <w:style w:type="character" w:customStyle="1" w:styleId="TextedebullesCar">
    <w:name w:val="Texte de bulles Car"/>
    <w:basedOn w:val="Policepardfaut"/>
    <w:link w:val="Textedebulles"/>
    <w:uiPriority w:val="99"/>
    <w:semiHidden/>
    <w:rsid w:val="0042227C"/>
    <w:rPr>
      <w:rFonts w:ascii="Tahoma" w:eastAsia="Times New Roman" w:hAnsi="Tahoma" w:cs="Tahoma"/>
      <w:sz w:val="16"/>
      <w:szCs w:val="16"/>
      <w:lang w:eastAsia="es-ES"/>
    </w:rPr>
  </w:style>
  <w:style w:type="paragraph" w:customStyle="1" w:styleId="-LettreAffairesuivieGEDA">
    <w:name w:val="- Lettre:Affaire suivie                GEDA"/>
    <w:link w:val="-LettreAffairesuivieGEDACar"/>
    <w:qFormat/>
    <w:rsid w:val="00B97371"/>
    <w:pPr>
      <w:numPr>
        <w:numId w:val="31"/>
      </w:numPr>
      <w:tabs>
        <w:tab w:val="clear" w:pos="2880"/>
        <w:tab w:val="num" w:pos="2160"/>
      </w:tabs>
      <w:spacing w:before="240" w:after="0" w:line="240" w:lineRule="auto"/>
      <w:ind w:left="180" w:right="5652" w:firstLine="180"/>
      <w:jc w:val="center"/>
    </w:pPr>
    <w:rPr>
      <w:rFonts w:ascii="Times New Roman" w:eastAsia="Times New Roman" w:hAnsi="Times New Roman" w:cs="Times New Roman"/>
      <w:i/>
      <w:iCs/>
      <w:noProof/>
      <w:sz w:val="18"/>
      <w:szCs w:val="20"/>
      <w:lang w:eastAsia="fr-FR"/>
    </w:rPr>
  </w:style>
  <w:style w:type="character" w:customStyle="1" w:styleId="-LettreAffairesuivieGEDACar">
    <w:name w:val="- Lettre:Affaire suivie                GEDA Car"/>
    <w:link w:val="-LettreAffairesuivieGEDA"/>
    <w:rsid w:val="00B97371"/>
    <w:rPr>
      <w:rFonts w:ascii="Times New Roman" w:eastAsia="Times New Roman" w:hAnsi="Times New Roman" w:cs="Times New Roman"/>
      <w:i/>
      <w:iCs/>
      <w:noProof/>
      <w:sz w:val="18"/>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7CE"/>
    <w:pPr>
      <w:spacing w:after="0" w:line="240" w:lineRule="auto"/>
    </w:pPr>
    <w:rPr>
      <w:rFonts w:ascii="Times New Roman" w:eastAsia="Times New Roman" w:hAnsi="Times New Roman" w:cs="Times New Roman"/>
      <w:sz w:val="24"/>
      <w:szCs w:val="24"/>
      <w:lang w:eastAsia="es-ES"/>
    </w:rPr>
  </w:style>
  <w:style w:type="paragraph" w:styleId="Titre7">
    <w:name w:val="heading 7"/>
    <w:basedOn w:val="Normal"/>
    <w:next w:val="Normal"/>
    <w:link w:val="Titre7Car"/>
    <w:uiPriority w:val="9"/>
    <w:semiHidden/>
    <w:unhideWhenUsed/>
    <w:qFormat/>
    <w:rsid w:val="00C34DFF"/>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Titre7"/>
    <w:next w:val="-LettreTexteGEDA"/>
    <w:link w:val="Titre8Car"/>
    <w:qFormat/>
    <w:rsid w:val="00C34DFF"/>
    <w:pPr>
      <w:numPr>
        <w:numId w:val="15"/>
      </w:numPr>
      <w:spacing w:before="180"/>
      <w:ind w:left="283" w:hanging="283"/>
      <w:outlineLvl w:val="7"/>
    </w:pPr>
    <w:rPr>
      <w:rFonts w:ascii="Times New Roman" w:eastAsia="Times New Roman" w:hAnsi="Times New Roman" w:cs="Arial"/>
      <w:i w:val="0"/>
      <w:iCs w:val="0"/>
      <w:color w:val="auto"/>
      <w:szCs w:val="20"/>
      <w:lang w:eastAsia="en-US"/>
    </w:rPr>
  </w:style>
  <w:style w:type="paragraph" w:styleId="Titre9">
    <w:name w:val="heading 9"/>
    <w:next w:val="-LettreTexteGEDA"/>
    <w:link w:val="Titre9Car"/>
    <w:qFormat/>
    <w:rsid w:val="00C34DFF"/>
    <w:pPr>
      <w:numPr>
        <w:numId w:val="16"/>
      </w:numPr>
      <w:spacing w:before="180" w:after="0" w:line="240" w:lineRule="auto"/>
      <w:jc w:val="both"/>
      <w:outlineLvl w:val="8"/>
    </w:pPr>
    <w:rPr>
      <w:rFonts w:ascii="Times New Roman" w:eastAsia="Times New Roman" w:hAnsi="Times New Roman" w:cs="Arial"/>
      <w:kern w:val="18"/>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E47CE"/>
    <w:pPr>
      <w:tabs>
        <w:tab w:val="center" w:pos="4536"/>
        <w:tab w:val="right" w:pos="9072"/>
      </w:tabs>
    </w:pPr>
  </w:style>
  <w:style w:type="character" w:customStyle="1" w:styleId="PieddepageCar">
    <w:name w:val="Pied de page Car"/>
    <w:basedOn w:val="Policepardfaut"/>
    <w:link w:val="Pieddepage"/>
    <w:uiPriority w:val="99"/>
    <w:rsid w:val="00CE47CE"/>
    <w:rPr>
      <w:rFonts w:ascii="Times New Roman" w:eastAsia="Times New Roman" w:hAnsi="Times New Roman" w:cs="Times New Roman"/>
      <w:sz w:val="24"/>
      <w:szCs w:val="24"/>
      <w:lang w:eastAsia="es-ES"/>
    </w:rPr>
  </w:style>
  <w:style w:type="character" w:styleId="Lienhypertexte">
    <w:name w:val="Hyperlink"/>
    <w:basedOn w:val="Policepardfaut"/>
    <w:uiPriority w:val="99"/>
    <w:unhideWhenUsed/>
    <w:rsid w:val="00CE47CE"/>
    <w:rPr>
      <w:color w:val="0000FF" w:themeColor="hyperlink"/>
      <w:u w:val="single"/>
    </w:rPr>
  </w:style>
  <w:style w:type="character" w:styleId="Numrodepage">
    <w:name w:val="page number"/>
    <w:basedOn w:val="Policepardfaut"/>
    <w:uiPriority w:val="99"/>
    <w:semiHidden/>
    <w:unhideWhenUsed/>
    <w:rsid w:val="00CE47CE"/>
  </w:style>
  <w:style w:type="paragraph" w:customStyle="1" w:styleId="Standard">
    <w:name w:val="Standard"/>
    <w:rsid w:val="00CE47CE"/>
    <w:pPr>
      <w:suppressAutoHyphens/>
      <w:autoSpaceDN w:val="0"/>
      <w:textAlignment w:val="baseline"/>
    </w:pPr>
    <w:rPr>
      <w:rFonts w:ascii="Calibri" w:eastAsia="Arial Unicode MS" w:hAnsi="Calibri" w:cs="Tahoma"/>
      <w:kern w:val="3"/>
    </w:rPr>
  </w:style>
  <w:style w:type="paragraph" w:customStyle="1" w:styleId="-LettreObjetGEDA">
    <w:name w:val="- Lettre:Objet                GEDA"/>
    <w:next w:val="Normal"/>
    <w:link w:val="-LettreObjetGEDACar"/>
    <w:rsid w:val="00CE47CE"/>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styleId="Sansinterligne">
    <w:name w:val="No Spacing"/>
    <w:qFormat/>
    <w:rsid w:val="00CE47CE"/>
    <w:pPr>
      <w:spacing w:after="0" w:line="240" w:lineRule="auto"/>
    </w:pPr>
    <w:rPr>
      <w:rFonts w:ascii="Times New Roman" w:eastAsia="Times New Roman" w:hAnsi="Times New Roman" w:cs="Times New Roman"/>
      <w:sz w:val="24"/>
      <w:szCs w:val="24"/>
      <w:lang w:eastAsia="es-ES"/>
    </w:rPr>
  </w:style>
  <w:style w:type="character" w:customStyle="1" w:styleId="-LettreObjetGEDACar">
    <w:name w:val="- Lettre:Objet                GEDA Car"/>
    <w:basedOn w:val="Policepardfaut"/>
    <w:link w:val="-LettreObjetGEDA"/>
    <w:locked/>
    <w:rsid w:val="00CE47CE"/>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qFormat/>
    <w:rsid w:val="00CE47CE"/>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locked/>
    <w:rsid w:val="00CE47CE"/>
    <w:rPr>
      <w:rFonts w:ascii="Times New Roman" w:eastAsia="Times New Roman" w:hAnsi="Times New Roman" w:cs="Times New Roman"/>
      <w:noProof/>
      <w:sz w:val="24"/>
      <w:szCs w:val="20"/>
      <w:lang w:eastAsia="fr-FR"/>
    </w:rPr>
  </w:style>
  <w:style w:type="paragraph" w:styleId="NormalWeb">
    <w:name w:val="Normal (Web)"/>
    <w:basedOn w:val="Normal"/>
    <w:semiHidden/>
    <w:unhideWhenUsed/>
    <w:rsid w:val="00CE47CE"/>
    <w:pPr>
      <w:spacing w:before="100" w:beforeAutospacing="1" w:after="100" w:afterAutospacing="1"/>
    </w:pPr>
    <w:rPr>
      <w:lang w:eastAsia="fr-FR"/>
    </w:rPr>
  </w:style>
  <w:style w:type="paragraph" w:styleId="Titre">
    <w:name w:val="Title"/>
    <w:next w:val="-LettreTexteGEDA"/>
    <w:link w:val="TitreCar"/>
    <w:qFormat/>
    <w:rsid w:val="00CE47CE"/>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CE47CE"/>
    <w:rPr>
      <w:rFonts w:ascii="Times New Roman" w:eastAsia="Times New Roman" w:hAnsi="Times New Roman" w:cs="Arial"/>
      <w:b/>
      <w:bCs/>
      <w:caps/>
      <w:spacing w:val="60"/>
      <w:kern w:val="28"/>
      <w:sz w:val="24"/>
      <w:szCs w:val="32"/>
      <w:u w:val="thick"/>
    </w:rPr>
  </w:style>
  <w:style w:type="paragraph" w:customStyle="1" w:styleId="-LettreSuiteORefPJGEDA">
    <w:name w:val="- Lettre:Suite O/Ref/PJ GEDA"/>
    <w:rsid w:val="00E6755C"/>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PJGEDA">
    <w:name w:val="- Lettre:P.J.                  GEDA"/>
    <w:basedOn w:val="-LettreObjetGEDA"/>
    <w:next w:val="-LettreSuiteORefPJGEDA"/>
    <w:rsid w:val="00E6755C"/>
    <w:pPr>
      <w:spacing w:before="80"/>
    </w:pPr>
  </w:style>
  <w:style w:type="paragraph" w:styleId="Paragraphedeliste">
    <w:name w:val="List Paragraph"/>
    <w:basedOn w:val="Normal"/>
    <w:uiPriority w:val="34"/>
    <w:qFormat/>
    <w:rsid w:val="00E6755C"/>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semiHidden/>
    <w:unhideWhenUsed/>
    <w:rsid w:val="00852F12"/>
    <w:rPr>
      <w:rFonts w:eastAsiaTheme="minorHAnsi"/>
      <w:lang w:eastAsia="fr-FR"/>
    </w:rPr>
  </w:style>
  <w:style w:type="character" w:customStyle="1" w:styleId="En-tteCar">
    <w:name w:val="En-tête Car"/>
    <w:basedOn w:val="Policepardfaut"/>
    <w:link w:val="En-tte"/>
    <w:uiPriority w:val="99"/>
    <w:semiHidden/>
    <w:rsid w:val="00852F12"/>
    <w:rPr>
      <w:rFonts w:ascii="Times New Roman" w:hAnsi="Times New Roman" w:cs="Times New Roman"/>
      <w:sz w:val="24"/>
      <w:szCs w:val="24"/>
      <w:lang w:eastAsia="fr-FR"/>
    </w:rPr>
  </w:style>
  <w:style w:type="paragraph" w:customStyle="1" w:styleId="-ConventionPrambuleGEDA">
    <w:name w:val="- Convention:Préambule           GEDA"/>
    <w:rsid w:val="00A93D19"/>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LettrehDestinataireadGEDA">
    <w:name w:val="- Lettre:h_Destinataire (ad)GEDA"/>
    <w:basedOn w:val="Normal"/>
    <w:rsid w:val="00A93D19"/>
    <w:pPr>
      <w:overflowPunct w:val="0"/>
      <w:autoSpaceDE w:val="0"/>
      <w:autoSpaceDN w:val="0"/>
      <w:adjustRightInd w:val="0"/>
      <w:jc w:val="center"/>
      <w:textAlignment w:val="baseline"/>
    </w:pPr>
    <w:rPr>
      <w:b/>
      <w:noProof/>
      <w:szCs w:val="20"/>
      <w:lang w:eastAsia="fr-FR"/>
    </w:rPr>
  </w:style>
  <w:style w:type="paragraph" w:styleId="Corpsdetexte">
    <w:name w:val="Body Text"/>
    <w:basedOn w:val="Normal"/>
    <w:link w:val="CorpsdetexteCar"/>
    <w:uiPriority w:val="99"/>
    <w:semiHidden/>
    <w:unhideWhenUsed/>
    <w:rsid w:val="00A93D19"/>
    <w:pPr>
      <w:spacing w:after="120"/>
    </w:pPr>
    <w:rPr>
      <w:lang w:eastAsia="fr-FR"/>
    </w:rPr>
  </w:style>
  <w:style w:type="character" w:customStyle="1" w:styleId="CorpsdetexteCar">
    <w:name w:val="Corps de texte Car"/>
    <w:basedOn w:val="Policepardfaut"/>
    <w:link w:val="Corpsdetexte"/>
    <w:uiPriority w:val="99"/>
    <w:semiHidden/>
    <w:rsid w:val="00A93D19"/>
    <w:rPr>
      <w:rFonts w:ascii="Times New Roman" w:eastAsia="Times New Roman" w:hAnsi="Times New Roman" w:cs="Times New Roman"/>
      <w:sz w:val="24"/>
      <w:szCs w:val="24"/>
      <w:lang w:eastAsia="fr-FR"/>
    </w:rPr>
  </w:style>
  <w:style w:type="paragraph" w:customStyle="1" w:styleId="-ActeAttenduVuGEDA">
    <w:name w:val="- Acte:Attendu (Vu)                 GEDA"/>
    <w:rsid w:val="00C34DFF"/>
    <w:pPr>
      <w:numPr>
        <w:numId w:val="14"/>
      </w:numPr>
      <w:overflowPunct w:val="0"/>
      <w:autoSpaceDE w:val="0"/>
      <w:autoSpaceDN w:val="0"/>
      <w:adjustRightInd w:val="0"/>
      <w:spacing w:before="180" w:after="0" w:line="240" w:lineRule="auto"/>
      <w:jc w:val="both"/>
      <w:textAlignment w:val="baseline"/>
    </w:pPr>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rsid w:val="00C34DFF"/>
    <w:rPr>
      <w:rFonts w:ascii="Times New Roman" w:eastAsia="Times New Roman" w:hAnsi="Times New Roman" w:cs="Arial"/>
      <w:sz w:val="24"/>
      <w:szCs w:val="20"/>
    </w:rPr>
  </w:style>
  <w:style w:type="character" w:customStyle="1" w:styleId="Titre9Car">
    <w:name w:val="Titre 9 Car"/>
    <w:basedOn w:val="Policepardfaut"/>
    <w:link w:val="Titre9"/>
    <w:rsid w:val="00C34DFF"/>
    <w:rPr>
      <w:rFonts w:ascii="Times New Roman" w:eastAsia="Times New Roman" w:hAnsi="Times New Roman" w:cs="Arial"/>
      <w:kern w:val="18"/>
      <w:sz w:val="24"/>
    </w:rPr>
  </w:style>
  <w:style w:type="character" w:customStyle="1" w:styleId="Titre7Car">
    <w:name w:val="Titre 7 Car"/>
    <w:basedOn w:val="Policepardfaut"/>
    <w:link w:val="Titre7"/>
    <w:uiPriority w:val="9"/>
    <w:semiHidden/>
    <w:rsid w:val="00C34DFF"/>
    <w:rPr>
      <w:rFonts w:asciiTheme="majorHAnsi" w:eastAsiaTheme="majorEastAsia" w:hAnsiTheme="majorHAnsi" w:cstheme="majorBidi"/>
      <w:i/>
      <w:iCs/>
      <w:color w:val="243F60" w:themeColor="accent1" w:themeShade="7F"/>
      <w:sz w:val="24"/>
      <w:szCs w:val="24"/>
      <w:lang w:eastAsia="es-ES"/>
    </w:rPr>
  </w:style>
  <w:style w:type="character" w:styleId="lev">
    <w:name w:val="Strong"/>
    <w:basedOn w:val="Policepardfaut"/>
    <w:qFormat/>
    <w:rsid w:val="007A6288"/>
    <w:rPr>
      <w:b/>
      <w:bCs/>
    </w:rPr>
  </w:style>
  <w:style w:type="paragraph" w:customStyle="1" w:styleId="gmail-m-117888043849725832-lettretextegeda">
    <w:name w:val="gmail-m_-117888043849725832-lettretextegeda"/>
    <w:basedOn w:val="Normal"/>
    <w:rsid w:val="003444A6"/>
    <w:pPr>
      <w:spacing w:before="100" w:beforeAutospacing="1" w:after="100" w:afterAutospacing="1"/>
    </w:pPr>
    <w:rPr>
      <w:lang w:eastAsia="fr-FR"/>
    </w:rPr>
  </w:style>
  <w:style w:type="character" w:customStyle="1" w:styleId="verdana">
    <w:name w:val="verdana"/>
    <w:basedOn w:val="Policepardfaut"/>
    <w:rsid w:val="00922ABB"/>
  </w:style>
  <w:style w:type="paragraph" w:styleId="Textedebulles">
    <w:name w:val="Balloon Text"/>
    <w:basedOn w:val="Normal"/>
    <w:link w:val="TextedebullesCar"/>
    <w:uiPriority w:val="99"/>
    <w:semiHidden/>
    <w:unhideWhenUsed/>
    <w:rsid w:val="0042227C"/>
    <w:rPr>
      <w:rFonts w:ascii="Tahoma" w:hAnsi="Tahoma" w:cs="Tahoma"/>
      <w:sz w:val="16"/>
      <w:szCs w:val="16"/>
    </w:rPr>
  </w:style>
  <w:style w:type="character" w:customStyle="1" w:styleId="TextedebullesCar">
    <w:name w:val="Texte de bulles Car"/>
    <w:basedOn w:val="Policepardfaut"/>
    <w:link w:val="Textedebulles"/>
    <w:uiPriority w:val="99"/>
    <w:semiHidden/>
    <w:rsid w:val="0042227C"/>
    <w:rPr>
      <w:rFonts w:ascii="Tahoma" w:eastAsia="Times New Roman" w:hAnsi="Tahoma" w:cs="Tahoma"/>
      <w:sz w:val="16"/>
      <w:szCs w:val="16"/>
      <w:lang w:eastAsia="es-ES"/>
    </w:rPr>
  </w:style>
  <w:style w:type="paragraph" w:customStyle="1" w:styleId="-LettreAffairesuivieGEDA">
    <w:name w:val="- Lettre:Affaire suivie                GEDA"/>
    <w:link w:val="-LettreAffairesuivieGEDACar"/>
    <w:qFormat/>
    <w:rsid w:val="00B97371"/>
    <w:pPr>
      <w:numPr>
        <w:numId w:val="31"/>
      </w:numPr>
      <w:tabs>
        <w:tab w:val="clear" w:pos="2880"/>
        <w:tab w:val="num" w:pos="2160"/>
      </w:tabs>
      <w:spacing w:before="240" w:after="0" w:line="240" w:lineRule="auto"/>
      <w:ind w:left="180" w:right="5652" w:firstLine="180"/>
      <w:jc w:val="center"/>
    </w:pPr>
    <w:rPr>
      <w:rFonts w:ascii="Times New Roman" w:eastAsia="Times New Roman" w:hAnsi="Times New Roman" w:cs="Times New Roman"/>
      <w:i/>
      <w:iCs/>
      <w:noProof/>
      <w:sz w:val="18"/>
      <w:szCs w:val="20"/>
      <w:lang w:eastAsia="fr-FR"/>
    </w:rPr>
  </w:style>
  <w:style w:type="character" w:customStyle="1" w:styleId="-LettreAffairesuivieGEDACar">
    <w:name w:val="- Lettre:Affaire suivie                GEDA Car"/>
    <w:link w:val="-LettreAffairesuivieGEDA"/>
    <w:rsid w:val="00B97371"/>
    <w:rPr>
      <w:rFonts w:ascii="Times New Roman" w:eastAsia="Times New Roman" w:hAnsi="Times New Roman" w:cs="Times New Roman"/>
      <w:i/>
      <w:iCs/>
      <w:noProof/>
      <w:sz w:val="18"/>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063910">
      <w:bodyDiv w:val="1"/>
      <w:marLeft w:val="0"/>
      <w:marRight w:val="0"/>
      <w:marTop w:val="0"/>
      <w:marBottom w:val="0"/>
      <w:divBdr>
        <w:top w:val="none" w:sz="0" w:space="0" w:color="auto"/>
        <w:left w:val="none" w:sz="0" w:space="0" w:color="auto"/>
        <w:bottom w:val="none" w:sz="0" w:space="0" w:color="auto"/>
        <w:right w:val="none" w:sz="0" w:space="0" w:color="auto"/>
      </w:divBdr>
    </w:div>
    <w:div w:id="696002390">
      <w:bodyDiv w:val="1"/>
      <w:marLeft w:val="0"/>
      <w:marRight w:val="0"/>
      <w:marTop w:val="0"/>
      <w:marBottom w:val="0"/>
      <w:divBdr>
        <w:top w:val="none" w:sz="0" w:space="0" w:color="auto"/>
        <w:left w:val="none" w:sz="0" w:space="0" w:color="auto"/>
        <w:bottom w:val="none" w:sz="0" w:space="0" w:color="auto"/>
        <w:right w:val="none" w:sz="0" w:space="0" w:color="auto"/>
      </w:divBdr>
    </w:div>
    <w:div w:id="727530447">
      <w:bodyDiv w:val="1"/>
      <w:marLeft w:val="0"/>
      <w:marRight w:val="0"/>
      <w:marTop w:val="0"/>
      <w:marBottom w:val="0"/>
      <w:divBdr>
        <w:top w:val="none" w:sz="0" w:space="0" w:color="auto"/>
        <w:left w:val="none" w:sz="0" w:space="0" w:color="auto"/>
        <w:bottom w:val="none" w:sz="0" w:space="0" w:color="auto"/>
        <w:right w:val="none" w:sz="0" w:space="0" w:color="auto"/>
      </w:divBdr>
    </w:div>
    <w:div w:id="813911975">
      <w:bodyDiv w:val="1"/>
      <w:marLeft w:val="0"/>
      <w:marRight w:val="0"/>
      <w:marTop w:val="0"/>
      <w:marBottom w:val="0"/>
      <w:divBdr>
        <w:top w:val="none" w:sz="0" w:space="0" w:color="auto"/>
        <w:left w:val="none" w:sz="0" w:space="0" w:color="auto"/>
        <w:bottom w:val="none" w:sz="0" w:space="0" w:color="auto"/>
        <w:right w:val="none" w:sz="0" w:space="0" w:color="auto"/>
      </w:divBdr>
    </w:div>
    <w:div w:id="928318652">
      <w:bodyDiv w:val="1"/>
      <w:marLeft w:val="0"/>
      <w:marRight w:val="0"/>
      <w:marTop w:val="0"/>
      <w:marBottom w:val="0"/>
      <w:divBdr>
        <w:top w:val="none" w:sz="0" w:space="0" w:color="auto"/>
        <w:left w:val="none" w:sz="0" w:space="0" w:color="auto"/>
        <w:bottom w:val="none" w:sz="0" w:space="0" w:color="auto"/>
        <w:right w:val="none" w:sz="0" w:space="0" w:color="auto"/>
      </w:divBdr>
    </w:div>
    <w:div w:id="977035242">
      <w:bodyDiv w:val="1"/>
      <w:marLeft w:val="0"/>
      <w:marRight w:val="0"/>
      <w:marTop w:val="0"/>
      <w:marBottom w:val="0"/>
      <w:divBdr>
        <w:top w:val="none" w:sz="0" w:space="0" w:color="auto"/>
        <w:left w:val="none" w:sz="0" w:space="0" w:color="auto"/>
        <w:bottom w:val="none" w:sz="0" w:space="0" w:color="auto"/>
        <w:right w:val="none" w:sz="0" w:space="0" w:color="auto"/>
      </w:divBdr>
    </w:div>
    <w:div w:id="1217085433">
      <w:bodyDiv w:val="1"/>
      <w:marLeft w:val="0"/>
      <w:marRight w:val="0"/>
      <w:marTop w:val="0"/>
      <w:marBottom w:val="0"/>
      <w:divBdr>
        <w:top w:val="none" w:sz="0" w:space="0" w:color="auto"/>
        <w:left w:val="none" w:sz="0" w:space="0" w:color="auto"/>
        <w:bottom w:val="none" w:sz="0" w:space="0" w:color="auto"/>
        <w:right w:val="none" w:sz="0" w:space="0" w:color="auto"/>
      </w:divBdr>
    </w:div>
    <w:div w:id="1394083987">
      <w:bodyDiv w:val="1"/>
      <w:marLeft w:val="0"/>
      <w:marRight w:val="0"/>
      <w:marTop w:val="0"/>
      <w:marBottom w:val="0"/>
      <w:divBdr>
        <w:top w:val="none" w:sz="0" w:space="0" w:color="auto"/>
        <w:left w:val="none" w:sz="0" w:space="0" w:color="auto"/>
        <w:bottom w:val="none" w:sz="0" w:space="0" w:color="auto"/>
        <w:right w:val="none" w:sz="0" w:space="0" w:color="auto"/>
      </w:divBdr>
    </w:div>
    <w:div w:id="1551309364">
      <w:bodyDiv w:val="1"/>
      <w:marLeft w:val="0"/>
      <w:marRight w:val="0"/>
      <w:marTop w:val="0"/>
      <w:marBottom w:val="0"/>
      <w:divBdr>
        <w:top w:val="none" w:sz="0" w:space="0" w:color="auto"/>
        <w:left w:val="none" w:sz="0" w:space="0" w:color="auto"/>
        <w:bottom w:val="none" w:sz="0" w:space="0" w:color="auto"/>
        <w:right w:val="none" w:sz="0" w:space="0" w:color="auto"/>
      </w:divBdr>
    </w:div>
    <w:div w:id="1559199365">
      <w:bodyDiv w:val="1"/>
      <w:marLeft w:val="0"/>
      <w:marRight w:val="0"/>
      <w:marTop w:val="0"/>
      <w:marBottom w:val="0"/>
      <w:divBdr>
        <w:top w:val="none" w:sz="0" w:space="0" w:color="auto"/>
        <w:left w:val="none" w:sz="0" w:space="0" w:color="auto"/>
        <w:bottom w:val="none" w:sz="0" w:space="0" w:color="auto"/>
        <w:right w:val="none" w:sz="0" w:space="0" w:color="auto"/>
      </w:divBdr>
    </w:div>
    <w:div w:id="1664747084">
      <w:bodyDiv w:val="1"/>
      <w:marLeft w:val="0"/>
      <w:marRight w:val="0"/>
      <w:marTop w:val="0"/>
      <w:marBottom w:val="0"/>
      <w:divBdr>
        <w:top w:val="none" w:sz="0" w:space="0" w:color="auto"/>
        <w:left w:val="none" w:sz="0" w:space="0" w:color="auto"/>
        <w:bottom w:val="none" w:sz="0" w:space="0" w:color="auto"/>
        <w:right w:val="none" w:sz="0" w:space="0" w:color="auto"/>
      </w:divBdr>
    </w:div>
    <w:div w:id="1667585287">
      <w:bodyDiv w:val="1"/>
      <w:marLeft w:val="0"/>
      <w:marRight w:val="0"/>
      <w:marTop w:val="0"/>
      <w:marBottom w:val="0"/>
      <w:divBdr>
        <w:top w:val="none" w:sz="0" w:space="0" w:color="auto"/>
        <w:left w:val="none" w:sz="0" w:space="0" w:color="auto"/>
        <w:bottom w:val="none" w:sz="0" w:space="0" w:color="auto"/>
        <w:right w:val="none" w:sz="0" w:space="0" w:color="auto"/>
      </w:divBdr>
    </w:div>
    <w:div w:id="1737363855">
      <w:bodyDiv w:val="1"/>
      <w:marLeft w:val="0"/>
      <w:marRight w:val="0"/>
      <w:marTop w:val="0"/>
      <w:marBottom w:val="0"/>
      <w:divBdr>
        <w:top w:val="none" w:sz="0" w:space="0" w:color="auto"/>
        <w:left w:val="none" w:sz="0" w:space="0" w:color="auto"/>
        <w:bottom w:val="none" w:sz="0" w:space="0" w:color="auto"/>
        <w:right w:val="none" w:sz="0" w:space="0" w:color="auto"/>
      </w:divBdr>
    </w:div>
    <w:div w:id="196846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restructurations.defense.gouv.fr/spip.php?article397"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EB736-EA96-4013-B828-8AE3CAF4A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3390</Words>
  <Characters>18646</Characters>
  <Application>Microsoft Office Word</Application>
  <DocSecurity>0</DocSecurity>
  <Lines>155</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Katell KP. PERENNOU</dc:creator>
  <cp:lastModifiedBy>Raihei RH. HUNTER</cp:lastModifiedBy>
  <cp:revision>7</cp:revision>
  <cp:lastPrinted>2019-09-03T19:11:00Z</cp:lastPrinted>
  <dcterms:created xsi:type="dcterms:W3CDTF">2019-09-04T20:37:00Z</dcterms:created>
  <dcterms:modified xsi:type="dcterms:W3CDTF">2019-09-04T22:13:00Z</dcterms:modified>
</cp:coreProperties>
</file>