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0EF132"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D4396A" w:rsidP="00CE47CE">
      <w:pPr>
        <w:tabs>
          <w:tab w:val="left" w:pos="3240"/>
        </w:tabs>
        <w:jc w:val="center"/>
        <w:rPr>
          <w:rFonts w:ascii="Cambria" w:hAnsi="Cambria" w:cs="Arial"/>
          <w:b/>
          <w:i/>
        </w:rPr>
      </w:pPr>
      <w:r>
        <w:rPr>
          <w:rFonts w:ascii="Cambria" w:hAnsi="Cambria" w:cs="Arial"/>
          <w:b/>
          <w:i/>
        </w:rPr>
        <w:t xml:space="preserve">Mercredi </w:t>
      </w:r>
      <w:r w:rsidR="00D332FD">
        <w:rPr>
          <w:rFonts w:ascii="Cambria" w:hAnsi="Cambria" w:cs="Arial"/>
          <w:b/>
          <w:i/>
        </w:rPr>
        <w:t xml:space="preserve">26 </w:t>
      </w:r>
      <w:r w:rsidR="001F6D55">
        <w:rPr>
          <w:rFonts w:ascii="Cambria" w:hAnsi="Cambria" w:cs="Arial"/>
          <w:b/>
          <w:i/>
        </w:rPr>
        <w:t>février</w:t>
      </w:r>
      <w:r w:rsidR="00087CFE">
        <w:rPr>
          <w:rFonts w:ascii="Cambria" w:hAnsi="Cambria" w:cs="Arial"/>
          <w:b/>
          <w:i/>
        </w:rPr>
        <w:t xml:space="preserve"> 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E44D0D"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D2620D" w:rsidRDefault="00D2620D" w:rsidP="00D2620D">
      <w:pPr>
        <w:pStyle w:val="-LettreObjetGEDA"/>
        <w:ind w:left="0" w:firstLine="0"/>
        <w:rPr>
          <w:rFonts w:asciiTheme="majorHAnsi" w:hAnsiTheme="majorHAnsi"/>
          <w:b/>
        </w:rPr>
      </w:pPr>
    </w:p>
    <w:p w:rsidR="00D2620D" w:rsidRDefault="00D2620D" w:rsidP="00D2620D">
      <w:pPr>
        <w:pStyle w:val="-LettreObjetGEDA"/>
        <w:ind w:left="0" w:firstLine="0"/>
        <w:rPr>
          <w:rFonts w:ascii="Cambria" w:hAnsi="Cambria"/>
          <w:b/>
          <w:bCs/>
          <w:szCs w:val="24"/>
        </w:rPr>
      </w:pPr>
      <w:r>
        <w:rPr>
          <w:rFonts w:ascii="Cambria" w:hAnsi="Cambria"/>
          <w:b/>
          <w:bCs/>
        </w:rPr>
        <w:t>Création de deux Zones de Pêche Réglementée sur l'espace maritime au droit de l’île de Ua Huka</w:t>
      </w:r>
    </w:p>
    <w:p w:rsidR="00D2620D" w:rsidRDefault="00D2620D" w:rsidP="00D2620D">
      <w:pPr>
        <w:pStyle w:val="-LettreSuiteORefPJGEDA"/>
        <w:rPr>
          <w:rFonts w:ascii="Cambria" w:hAnsi="Cambria"/>
        </w:rPr>
      </w:pPr>
    </w:p>
    <w:p w:rsidR="00D2620D" w:rsidRDefault="00D2620D" w:rsidP="00D2620D">
      <w:pPr>
        <w:pStyle w:val="-LettreTexteGEDA"/>
        <w:ind w:firstLine="0"/>
        <w:rPr>
          <w:rFonts w:ascii="Cambria" w:hAnsi="Cambria"/>
        </w:rPr>
      </w:pPr>
      <w:r>
        <w:rPr>
          <w:rFonts w:ascii="Cambria" w:hAnsi="Cambria"/>
        </w:rPr>
        <w:t>Le Conseil des ministres a prononcé le classement de deux Zones de Pêche Règlementée (ZPR) dénommées « </w:t>
      </w:r>
      <w:r>
        <w:rPr>
          <w:rFonts w:ascii="Cambria" w:hAnsi="Cambria"/>
          <w:i/>
          <w:iCs/>
        </w:rPr>
        <w:t>Tokatai</w:t>
      </w:r>
      <w:r>
        <w:rPr>
          <w:rFonts w:ascii="Cambria" w:hAnsi="Cambria"/>
        </w:rPr>
        <w:t>» et « </w:t>
      </w:r>
      <w:r>
        <w:rPr>
          <w:rFonts w:ascii="Cambria" w:hAnsi="Cambria"/>
          <w:i/>
          <w:iCs/>
        </w:rPr>
        <w:t>Teuaua</w:t>
      </w:r>
      <w:r>
        <w:rPr>
          <w:rFonts w:ascii="Cambria" w:hAnsi="Cambria"/>
        </w:rPr>
        <w:t> » au droit de l’île de Ua Huka. Ce classement fait suite à une demande de la commune de Ua Huka qui s’est engagée dans une démarche de préservation de ses ressources marines.</w:t>
      </w:r>
    </w:p>
    <w:p w:rsidR="00D2620D" w:rsidRDefault="00D2620D" w:rsidP="00D2620D">
      <w:pPr>
        <w:pStyle w:val="-LettreTexteGEDA"/>
        <w:ind w:firstLine="0"/>
        <w:rPr>
          <w:rFonts w:ascii="Cambria" w:hAnsi="Cambria"/>
        </w:rPr>
      </w:pPr>
      <w:r>
        <w:rPr>
          <w:rFonts w:ascii="Cambria" w:hAnsi="Cambria"/>
        </w:rPr>
        <w:t xml:space="preserve">La première ZPR </w:t>
      </w:r>
      <w:r>
        <w:rPr>
          <w:rFonts w:ascii="Cambria" w:hAnsi="Cambria"/>
          <w:i/>
          <w:iCs/>
        </w:rPr>
        <w:t>Tokatai</w:t>
      </w:r>
      <w:r>
        <w:rPr>
          <w:rFonts w:ascii="Cambria" w:hAnsi="Cambria"/>
        </w:rPr>
        <w:t xml:space="preserve"> a une superficie de 128,76 hectares. Elle comprend une partie de la baie de </w:t>
      </w:r>
      <w:r>
        <w:rPr>
          <w:rFonts w:ascii="Cambria" w:hAnsi="Cambria"/>
          <w:i/>
          <w:iCs/>
        </w:rPr>
        <w:t>Hane</w:t>
      </w:r>
      <w:r>
        <w:rPr>
          <w:rFonts w:ascii="Cambria" w:hAnsi="Cambria"/>
        </w:rPr>
        <w:t xml:space="preserve">, une partie de l’aire marine éducative, et s’étend vers l’ouest jusqu’au motu Papa. La seconde ZPR </w:t>
      </w:r>
      <w:r>
        <w:rPr>
          <w:rFonts w:ascii="Cambria" w:hAnsi="Cambria"/>
          <w:i/>
          <w:iCs/>
        </w:rPr>
        <w:t>Teuaua</w:t>
      </w:r>
      <w:r>
        <w:rPr>
          <w:rFonts w:ascii="Cambria" w:hAnsi="Cambria"/>
        </w:rPr>
        <w:t xml:space="preserve"> a une superficie de 22,46 hectares. Elle comprend les motu </w:t>
      </w:r>
      <w:r>
        <w:rPr>
          <w:rFonts w:ascii="Cambria" w:hAnsi="Cambria"/>
          <w:i/>
          <w:iCs/>
        </w:rPr>
        <w:t>Manu</w:t>
      </w:r>
      <w:r>
        <w:rPr>
          <w:rFonts w:ascii="Cambria" w:hAnsi="Cambria"/>
        </w:rPr>
        <w:t xml:space="preserve"> (ou Teuaua) et </w:t>
      </w:r>
      <w:r>
        <w:rPr>
          <w:rFonts w:ascii="Cambria" w:hAnsi="Cambria"/>
          <w:i/>
          <w:iCs/>
        </w:rPr>
        <w:t>Hemeni</w:t>
      </w:r>
      <w:r>
        <w:rPr>
          <w:rFonts w:ascii="Cambria" w:hAnsi="Cambria"/>
        </w:rPr>
        <w:t>.</w:t>
      </w:r>
    </w:p>
    <w:p w:rsidR="00D2620D" w:rsidRDefault="00D2620D" w:rsidP="00D2620D">
      <w:pPr>
        <w:pStyle w:val="-LettreTexteGEDA"/>
        <w:ind w:firstLine="0"/>
        <w:rPr>
          <w:rFonts w:ascii="Cambria" w:hAnsi="Cambria"/>
        </w:rPr>
      </w:pPr>
      <w:r>
        <w:rPr>
          <w:rFonts w:ascii="Cambria" w:hAnsi="Cambria"/>
        </w:rPr>
        <w:t xml:space="preserve">Dans ces deux ZPR, toute pêche est interdite, quel que soit l’engin ou la technique de pêche, pour une durée de 4 années. L’objectif est de reconstituer les ressources, et plus spécifiquement certaines espèces de poissons, les langoustes et les crabes </w:t>
      </w:r>
      <w:r>
        <w:rPr>
          <w:rFonts w:ascii="Cambria" w:hAnsi="Cambria"/>
          <w:i/>
          <w:iCs/>
        </w:rPr>
        <w:t>toe toe</w:t>
      </w:r>
      <w:r>
        <w:rPr>
          <w:rFonts w:ascii="Cambria" w:hAnsi="Cambria"/>
        </w:rPr>
        <w:t>, qui sont plus fortement soumises à la pression de pêche.</w:t>
      </w:r>
    </w:p>
    <w:p w:rsidR="00D2620D" w:rsidRDefault="00D2620D" w:rsidP="00D2620D">
      <w:pPr>
        <w:pStyle w:val="-LettreTexteGEDA"/>
        <w:ind w:firstLine="0"/>
        <w:rPr>
          <w:rFonts w:ascii="Cambria" w:hAnsi="Cambria"/>
        </w:rPr>
      </w:pPr>
      <w:r>
        <w:rPr>
          <w:rFonts w:ascii="Cambria" w:hAnsi="Cambria"/>
        </w:rPr>
        <w:t>Le comité de gestion de ces ZPR sera constitué de représentants de la société civile dont des pêcheurs, afin de maintenir l’implication de la population dans la mise en œuvre et le suivi de ces ZPR. Ces deux ZPR sont les premières des îles Marquises.</w:t>
      </w:r>
    </w:p>
    <w:p w:rsidR="00D2620D" w:rsidRDefault="00D2620D" w:rsidP="00D2620D">
      <w:pPr>
        <w:pStyle w:val="-LettreTexteGEDA"/>
        <w:ind w:firstLine="0"/>
        <w:rPr>
          <w:rFonts w:ascii="Cambria" w:hAnsi="Cambria"/>
        </w:rPr>
      </w:pPr>
    </w:p>
    <w:p w:rsidR="00D2620D" w:rsidRDefault="00D2620D" w:rsidP="00D2620D">
      <w:pPr>
        <w:jc w:val="both"/>
        <w:rPr>
          <w:rFonts w:ascii="Cambria" w:hAnsi="Cambria"/>
        </w:rPr>
      </w:pPr>
      <w:r>
        <w:rPr>
          <w:rFonts w:ascii="Cambria" w:hAnsi="Cambria"/>
          <w:b/>
          <w:bCs/>
        </w:rPr>
        <w:t>Maintien du prix des hydrocarbures au 1</w:t>
      </w:r>
      <w:r>
        <w:rPr>
          <w:rFonts w:ascii="Cambria" w:hAnsi="Cambria"/>
          <w:b/>
          <w:bCs/>
          <w:vertAlign w:val="superscript"/>
        </w:rPr>
        <w:t>er</w:t>
      </w:r>
      <w:r>
        <w:rPr>
          <w:rFonts w:ascii="Cambria" w:hAnsi="Cambria"/>
          <w:b/>
          <w:bCs/>
        </w:rPr>
        <w:t xml:space="preserve"> mars</w:t>
      </w:r>
    </w:p>
    <w:p w:rsidR="00D2620D" w:rsidRDefault="00D2620D" w:rsidP="00D2620D">
      <w:pPr>
        <w:pStyle w:val="-LettreTexteGEDA"/>
        <w:spacing w:before="0"/>
        <w:ind w:firstLine="0"/>
        <w:jc w:val="center"/>
        <w:rPr>
          <w:rFonts w:ascii="Cambria" w:hAnsi="Cambria"/>
        </w:rPr>
      </w:pPr>
    </w:p>
    <w:p w:rsidR="00D2620D" w:rsidRDefault="00D2620D" w:rsidP="00D2620D">
      <w:pPr>
        <w:pStyle w:val="-LettreTexteGEDA"/>
        <w:ind w:firstLine="0"/>
        <w:rPr>
          <w:rFonts w:ascii="Cambria" w:hAnsi="Cambria"/>
        </w:rPr>
      </w:pPr>
      <w:r>
        <w:rPr>
          <w:rFonts w:ascii="Cambria" w:hAnsi="Cambria"/>
          <w:lang w:eastAsia="en-US"/>
        </w:rPr>
        <w:t xml:space="preserve">A la date de chargement du gaz butane, </w:t>
      </w:r>
      <w:r>
        <w:rPr>
          <w:rFonts w:ascii="Cambria" w:hAnsi="Cambria"/>
        </w:rPr>
        <w:t>la valeur</w:t>
      </w:r>
      <w:r>
        <w:rPr>
          <w:rFonts w:ascii="Cambria" w:hAnsi="Cambria"/>
          <w:lang w:eastAsia="en-US"/>
        </w:rPr>
        <w:t xml:space="preserve"> CAF exprimée en Fcfp augmente de 8,51 % </w:t>
      </w:r>
      <w:r>
        <w:rPr>
          <w:rFonts w:ascii="Cambria" w:hAnsi="Cambria"/>
        </w:rPr>
        <w:t>par rapport à la précédente livraison sous l’effet d’une hausse notable du coût du fret (+ 18,2 %).</w:t>
      </w:r>
    </w:p>
    <w:p w:rsidR="00D2620D" w:rsidRDefault="00D2620D" w:rsidP="00D2620D">
      <w:pPr>
        <w:pStyle w:val="-LettreTexteGEDA"/>
        <w:ind w:firstLine="0"/>
        <w:rPr>
          <w:rFonts w:ascii="Cambria" w:hAnsi="Cambria"/>
          <w:lang w:eastAsia="en-US"/>
        </w:rPr>
      </w:pPr>
      <w:r>
        <w:rPr>
          <w:rFonts w:ascii="Cambria" w:hAnsi="Cambria"/>
        </w:rPr>
        <w:t>Il n’y a eu aucun chargement d’hydrocarbures liquides au mois de janvier.</w:t>
      </w:r>
    </w:p>
    <w:p w:rsidR="00D2620D" w:rsidRDefault="00D2620D" w:rsidP="00D2620D">
      <w:pPr>
        <w:pStyle w:val="-LettreTexteGEDA"/>
        <w:ind w:firstLine="0"/>
        <w:rPr>
          <w:rFonts w:ascii="Cambria" w:hAnsi="Cambria"/>
        </w:rPr>
      </w:pPr>
      <w:r>
        <w:rPr>
          <w:rFonts w:ascii="Cambria" w:hAnsi="Cambria"/>
        </w:rPr>
        <w:t>Malgré l’augmentation des prix CAF du gaz butane, le Conseil des ministres a décidé de maintenir les prix des hydrocarbures à leur niveau actuel pour le mois de mars 2020.</w:t>
      </w:r>
    </w:p>
    <w:p w:rsidR="00D2620D" w:rsidRDefault="00D2620D" w:rsidP="00C16652">
      <w:pPr>
        <w:pStyle w:val="-LettreTexteGEDA"/>
        <w:ind w:firstLine="0"/>
        <w:rPr>
          <w:rFonts w:ascii="Cambria" w:hAnsi="Cambria"/>
          <w:b/>
          <w:bCs/>
        </w:rPr>
      </w:pPr>
    </w:p>
    <w:p w:rsidR="00C16652" w:rsidRPr="00C16652" w:rsidRDefault="00C16652" w:rsidP="00C16652">
      <w:pPr>
        <w:pStyle w:val="-LettreTexteGEDA"/>
        <w:ind w:firstLine="0"/>
        <w:rPr>
          <w:rFonts w:asciiTheme="majorHAnsi" w:hAnsiTheme="majorHAnsi"/>
          <w:b/>
        </w:rPr>
      </w:pPr>
      <w:r w:rsidRPr="00C16652">
        <w:rPr>
          <w:rFonts w:asciiTheme="majorHAnsi" w:hAnsiTheme="majorHAnsi"/>
          <w:b/>
        </w:rPr>
        <w:t>Déplacemen</w:t>
      </w:r>
      <w:r>
        <w:rPr>
          <w:rFonts w:asciiTheme="majorHAnsi" w:hAnsiTheme="majorHAnsi"/>
          <w:b/>
        </w:rPr>
        <w:t>t de la Direction des Affaires F</w:t>
      </w:r>
      <w:r w:rsidRPr="00C16652">
        <w:rPr>
          <w:rFonts w:asciiTheme="majorHAnsi" w:hAnsiTheme="majorHAnsi"/>
          <w:b/>
        </w:rPr>
        <w:t>oncières en Nouvelle-Calédonie</w:t>
      </w:r>
    </w:p>
    <w:p w:rsidR="00C16652" w:rsidRPr="00C16652" w:rsidRDefault="00C16652" w:rsidP="00C16652">
      <w:pPr>
        <w:rPr>
          <w:rFonts w:asciiTheme="majorHAnsi" w:hAnsiTheme="majorHAnsi"/>
          <w:color w:val="1F497D"/>
        </w:rPr>
      </w:pPr>
    </w:p>
    <w:p w:rsidR="00C16652" w:rsidRPr="00C16652" w:rsidRDefault="00C16652" w:rsidP="00C16652">
      <w:pPr>
        <w:pStyle w:val="-LettreTexteGEDA"/>
        <w:ind w:firstLine="0"/>
        <w:rPr>
          <w:rFonts w:asciiTheme="majorHAnsi" w:hAnsiTheme="majorHAnsi"/>
          <w:noProof w:val="0"/>
        </w:rPr>
      </w:pPr>
      <w:r w:rsidRPr="00C16652">
        <w:rPr>
          <w:rFonts w:asciiTheme="majorHAnsi" w:hAnsiTheme="majorHAnsi"/>
          <w:noProof w:val="0"/>
        </w:rPr>
        <w:lastRenderedPageBreak/>
        <w:t xml:space="preserve">En date du 13 décembre 2019, un protocole d’entente a été signé entre la Nouvelle Calédonie et la Polynésie française. Celui-ci marque les volontés politiques de chacun de coopérer plus étroitement et de procéder plus systématiquement à des partenariats afin de créer plus de convergences entre ces deux collectivités. </w:t>
      </w:r>
    </w:p>
    <w:p w:rsidR="00C16652" w:rsidRPr="00C16652" w:rsidRDefault="00C16652" w:rsidP="00C16652">
      <w:pPr>
        <w:pStyle w:val="-LettreTexteGEDA"/>
        <w:ind w:firstLine="0"/>
        <w:rPr>
          <w:rFonts w:asciiTheme="majorHAnsi" w:hAnsiTheme="majorHAnsi"/>
          <w:noProof w:val="0"/>
        </w:rPr>
      </w:pPr>
      <w:r w:rsidRPr="00C16652">
        <w:rPr>
          <w:rFonts w:asciiTheme="majorHAnsi" w:hAnsiTheme="majorHAnsi"/>
          <w:noProof w:val="0"/>
        </w:rPr>
        <w:t>Pour cela, il prévoit d’officialiser un accord-cadre au cours de la visite officielle du Président de la République, Emmanuel Macron en avril 2020, qui devrait inclure, entre autres, les domaines d’intervention relatifs aux affaires foncières et aux mines.</w:t>
      </w:r>
    </w:p>
    <w:p w:rsidR="00C16652" w:rsidRPr="00C16652" w:rsidRDefault="00C16652" w:rsidP="00C16652">
      <w:pPr>
        <w:pStyle w:val="-LettreTexteGEDA"/>
        <w:ind w:firstLine="0"/>
        <w:rPr>
          <w:rFonts w:asciiTheme="majorHAnsi" w:hAnsiTheme="majorHAnsi"/>
          <w:noProof w:val="0"/>
        </w:rPr>
      </w:pPr>
      <w:r w:rsidRPr="00C16652">
        <w:rPr>
          <w:rFonts w:asciiTheme="majorHAnsi" w:hAnsiTheme="majorHAnsi"/>
          <w:noProof w:val="0"/>
        </w:rPr>
        <w:t>Aussi, un déplacement du ministre de l’économie verte et du domaine, en charge des mines et de la recherche est prévu avec la Direction des Affaires foncières (DAF) pour mener une mission en Nouvelle Calédonie au cours du mois de mai 2020. Cette mission portera sur deux volets principaux qui pourraient s’inscrire dans le cadre d’une coopération entre la DAF avec les services homologues calédoniens, que ce soit en matière de politique minière d’une part et de politique foncière d’autre part.</w:t>
      </w:r>
    </w:p>
    <w:p w:rsidR="00C16652" w:rsidRPr="00C16652" w:rsidRDefault="00C16652" w:rsidP="00C16652">
      <w:pPr>
        <w:pStyle w:val="-LettreTexteGEDA"/>
        <w:ind w:firstLine="0"/>
        <w:rPr>
          <w:rFonts w:asciiTheme="majorHAnsi" w:hAnsiTheme="majorHAnsi"/>
          <w:noProof w:val="0"/>
          <w:u w:val="single"/>
        </w:rPr>
      </w:pPr>
      <w:r w:rsidRPr="00C16652">
        <w:rPr>
          <w:rFonts w:asciiTheme="majorHAnsi" w:hAnsiTheme="majorHAnsi"/>
          <w:noProof w:val="0"/>
          <w:u w:val="single"/>
        </w:rPr>
        <w:t>En matière de politique minière:</w:t>
      </w:r>
    </w:p>
    <w:p w:rsidR="00C16652" w:rsidRPr="00C16652" w:rsidRDefault="00C16652" w:rsidP="00C16652">
      <w:pPr>
        <w:pStyle w:val="-LettreTexteGEDA"/>
        <w:spacing w:before="0"/>
        <w:ind w:firstLine="0"/>
        <w:rPr>
          <w:rFonts w:asciiTheme="majorHAnsi" w:hAnsiTheme="majorHAnsi"/>
          <w:noProof w:val="0"/>
        </w:rPr>
      </w:pPr>
      <w:r w:rsidRPr="00C16652">
        <w:rPr>
          <w:rFonts w:asciiTheme="majorHAnsi" w:hAnsiTheme="majorHAnsi"/>
          <w:noProof w:val="0"/>
        </w:rPr>
        <w:t xml:space="preserve">Le code des mines et des activités extractives de la Polynésie française ayant été promulgué le 16 janvier 2020, les textes d’application devraient être pris </w:t>
      </w:r>
      <w:r>
        <w:rPr>
          <w:rFonts w:asciiTheme="majorHAnsi" w:hAnsiTheme="majorHAnsi"/>
          <w:noProof w:val="0"/>
        </w:rPr>
        <w:t>en C</w:t>
      </w:r>
      <w:r w:rsidRPr="00C16652">
        <w:rPr>
          <w:rFonts w:asciiTheme="majorHAnsi" w:hAnsiTheme="majorHAnsi"/>
          <w:noProof w:val="0"/>
        </w:rPr>
        <w:t xml:space="preserve">onseil des ministres dans le courant de l’année. Aussi, le Pays souhaite développer des échanges réguliers avec ses homologues calédoniens pour bénéficier de leur retour d’expérience, bien plus important, en la matière. </w:t>
      </w:r>
    </w:p>
    <w:p w:rsidR="00C16652" w:rsidRPr="00C16652" w:rsidRDefault="00C16652" w:rsidP="00C16652">
      <w:pPr>
        <w:pStyle w:val="-LettreTexteGEDA"/>
        <w:ind w:firstLine="0"/>
        <w:rPr>
          <w:rFonts w:asciiTheme="majorHAnsi" w:hAnsiTheme="majorHAnsi"/>
          <w:noProof w:val="0"/>
          <w:u w:val="single"/>
        </w:rPr>
      </w:pPr>
      <w:r w:rsidRPr="00C16652">
        <w:rPr>
          <w:rFonts w:asciiTheme="majorHAnsi" w:hAnsiTheme="majorHAnsi"/>
          <w:noProof w:val="0"/>
          <w:u w:val="single"/>
        </w:rPr>
        <w:t>En matière de politique foncière</w:t>
      </w:r>
      <w:r>
        <w:rPr>
          <w:rFonts w:asciiTheme="majorHAnsi" w:hAnsiTheme="majorHAnsi"/>
          <w:noProof w:val="0"/>
          <w:u w:val="single"/>
        </w:rPr>
        <w:t> :</w:t>
      </w:r>
    </w:p>
    <w:p w:rsidR="00C16652" w:rsidRDefault="00C16652" w:rsidP="00C16652">
      <w:pPr>
        <w:jc w:val="both"/>
      </w:pPr>
      <w:r w:rsidRPr="00C16652">
        <w:rPr>
          <w:rFonts w:asciiTheme="majorHAnsi" w:hAnsiTheme="majorHAnsi"/>
        </w:rPr>
        <w:t>De même, la Nouvelle Calédonie et la Polynésie française ont des spécificités foncières attachées à leur histoire et leur culture qui pourront nourrir la réflexion lancée par la DAF, notamment au sujet du volet « indivision »</w:t>
      </w:r>
      <w:r>
        <w:rPr>
          <w:rFonts w:asciiTheme="majorHAnsi" w:hAnsiTheme="majorHAnsi"/>
        </w:rPr>
        <w:t>,</w:t>
      </w:r>
      <w:r w:rsidRPr="00C16652">
        <w:rPr>
          <w:rFonts w:asciiTheme="majorHAnsi" w:hAnsiTheme="majorHAnsi"/>
        </w:rPr>
        <w:t xml:space="preserve"> de son schéma directeur</w:t>
      </w:r>
      <w:r>
        <w:rPr>
          <w:rFonts w:asciiTheme="majorHAnsi" w:hAnsiTheme="majorHAnsi"/>
        </w:rPr>
        <w:t>,</w:t>
      </w:r>
      <w:r w:rsidRPr="00C16652">
        <w:rPr>
          <w:rFonts w:asciiTheme="majorHAnsi" w:hAnsiTheme="majorHAnsi"/>
        </w:rPr>
        <w:t xml:space="preserve"> mais également sur les questions liées à la gestion de son domaine</w:t>
      </w:r>
      <w:r>
        <w:t>.</w:t>
      </w:r>
    </w:p>
    <w:p w:rsidR="00D2620D" w:rsidRDefault="00D2620D" w:rsidP="00C16652">
      <w:pPr>
        <w:jc w:val="both"/>
      </w:pPr>
    </w:p>
    <w:p w:rsidR="00C16652" w:rsidRDefault="00C16652" w:rsidP="00C16652">
      <w:pPr>
        <w:jc w:val="both"/>
      </w:pPr>
    </w:p>
    <w:p w:rsidR="00C16652" w:rsidRPr="007C2F40" w:rsidRDefault="00C16652" w:rsidP="00C16652">
      <w:pPr>
        <w:spacing w:before="120"/>
        <w:jc w:val="both"/>
        <w:rPr>
          <w:rFonts w:asciiTheme="majorHAnsi" w:hAnsiTheme="majorHAnsi"/>
          <w:lang w:eastAsia="fr-FR"/>
        </w:rPr>
      </w:pPr>
      <w:r w:rsidRPr="000953D2">
        <w:rPr>
          <w:rFonts w:asciiTheme="majorHAnsi" w:hAnsiTheme="majorHAnsi"/>
          <w:b/>
          <w:bCs/>
          <w:lang w:eastAsia="fr-FR"/>
        </w:rPr>
        <w:t xml:space="preserve">Attribution d’aides à la connexion internet des entreprises </w:t>
      </w:r>
    </w:p>
    <w:p w:rsidR="00C16652" w:rsidRDefault="00C16652" w:rsidP="00C16652">
      <w:pPr>
        <w:spacing w:before="120"/>
        <w:jc w:val="both"/>
        <w:rPr>
          <w:rFonts w:asciiTheme="majorHAnsi" w:hAnsiTheme="majorHAnsi"/>
          <w:lang w:eastAsia="fr-FR"/>
        </w:rPr>
      </w:pPr>
      <w:r>
        <w:rPr>
          <w:rFonts w:asciiTheme="majorHAnsi" w:hAnsiTheme="majorHAnsi"/>
          <w:lang w:eastAsia="fr-FR"/>
        </w:rPr>
        <w:t>Dans le cadre du dispositif d’A</w:t>
      </w:r>
      <w:r w:rsidRPr="007C2F40">
        <w:rPr>
          <w:rFonts w:asciiTheme="majorHAnsi" w:hAnsiTheme="majorHAnsi"/>
          <w:lang w:eastAsia="fr-FR"/>
        </w:rPr>
        <w:t xml:space="preserve">ide à la connexion </w:t>
      </w:r>
      <w:r>
        <w:rPr>
          <w:rFonts w:asciiTheme="majorHAnsi" w:hAnsiTheme="majorHAnsi"/>
          <w:lang w:eastAsia="fr-FR"/>
        </w:rPr>
        <w:t>i</w:t>
      </w:r>
      <w:r w:rsidRPr="007C2F40">
        <w:rPr>
          <w:rFonts w:asciiTheme="majorHAnsi" w:hAnsiTheme="majorHAnsi"/>
          <w:lang w:eastAsia="fr-FR"/>
        </w:rPr>
        <w:t>nternet des entrep</w:t>
      </w:r>
      <w:r>
        <w:rPr>
          <w:rFonts w:asciiTheme="majorHAnsi" w:hAnsiTheme="majorHAnsi"/>
          <w:lang w:eastAsia="fr-FR"/>
        </w:rPr>
        <w:t>rises (</w:t>
      </w:r>
      <w:r w:rsidRPr="007C2F40">
        <w:rPr>
          <w:rFonts w:asciiTheme="majorHAnsi" w:hAnsiTheme="majorHAnsi"/>
          <w:lang w:eastAsia="fr-FR"/>
        </w:rPr>
        <w:t>ACI</w:t>
      </w:r>
      <w:r>
        <w:rPr>
          <w:rFonts w:asciiTheme="majorHAnsi" w:hAnsiTheme="majorHAnsi"/>
          <w:lang w:eastAsia="fr-FR"/>
        </w:rPr>
        <w:t>)</w:t>
      </w:r>
      <w:r w:rsidRPr="007C2F40">
        <w:rPr>
          <w:rFonts w:asciiTheme="majorHAnsi" w:hAnsiTheme="majorHAnsi"/>
          <w:lang w:eastAsia="fr-FR"/>
        </w:rPr>
        <w:t xml:space="preserve"> en Polynésie française, </w:t>
      </w:r>
      <w:r w:rsidR="006C3B44">
        <w:rPr>
          <w:rFonts w:asciiTheme="majorHAnsi" w:hAnsiTheme="majorHAnsi"/>
          <w:lang w:eastAsia="fr-FR"/>
        </w:rPr>
        <w:t xml:space="preserve">plusieurs </w:t>
      </w:r>
      <w:r w:rsidRPr="007C2F40">
        <w:rPr>
          <w:rFonts w:asciiTheme="majorHAnsi" w:hAnsiTheme="majorHAnsi"/>
          <w:lang w:eastAsia="fr-FR"/>
        </w:rPr>
        <w:t>entreprises ont reçu une aide financière du Pays, à hauteur de 70 % de leur budget prévisionnel respectifs. Le m</w:t>
      </w:r>
      <w:r w:rsidR="006C3B44">
        <w:rPr>
          <w:rFonts w:asciiTheme="majorHAnsi" w:hAnsiTheme="majorHAnsi"/>
          <w:lang w:eastAsia="fr-FR"/>
        </w:rPr>
        <w:t>ontant global des aides s’élève</w:t>
      </w:r>
      <w:r>
        <w:rPr>
          <w:rFonts w:asciiTheme="majorHAnsi" w:hAnsiTheme="majorHAnsi"/>
          <w:lang w:eastAsia="fr-FR"/>
        </w:rPr>
        <w:t xml:space="preserve"> </w:t>
      </w:r>
      <w:r w:rsidRPr="007C2F40">
        <w:rPr>
          <w:rFonts w:asciiTheme="majorHAnsi" w:hAnsiTheme="majorHAnsi"/>
          <w:lang w:eastAsia="fr-FR"/>
        </w:rPr>
        <w:t xml:space="preserve">à </w:t>
      </w:r>
      <w:r w:rsidRPr="000953D2">
        <w:rPr>
          <w:rFonts w:asciiTheme="majorHAnsi" w:hAnsiTheme="majorHAnsi"/>
          <w:lang w:eastAsia="fr-FR"/>
        </w:rPr>
        <w:t>1 066 176</w:t>
      </w:r>
      <w:r w:rsidRPr="007C2F40">
        <w:rPr>
          <w:rFonts w:asciiTheme="majorHAnsi" w:hAnsiTheme="majorHAnsi"/>
          <w:lang w:eastAsia="fr-FR"/>
        </w:rPr>
        <w:t xml:space="preserve"> </w:t>
      </w:r>
      <w:proofErr w:type="spellStart"/>
      <w:r w:rsidRPr="007C2F40">
        <w:rPr>
          <w:rFonts w:asciiTheme="majorHAnsi" w:hAnsiTheme="majorHAnsi"/>
          <w:lang w:eastAsia="fr-FR"/>
        </w:rPr>
        <w:t>Fcfp</w:t>
      </w:r>
      <w:proofErr w:type="spellEnd"/>
      <w:r w:rsidRPr="007C2F40">
        <w:rPr>
          <w:rFonts w:asciiTheme="majorHAnsi" w:hAnsiTheme="majorHAnsi"/>
          <w:lang w:eastAsia="fr-FR"/>
        </w:rPr>
        <w:t>.</w:t>
      </w:r>
    </w:p>
    <w:p w:rsidR="00C16652" w:rsidRPr="000953D2" w:rsidRDefault="00C16652" w:rsidP="00C16652">
      <w:pPr>
        <w:spacing w:before="120"/>
        <w:jc w:val="both"/>
        <w:rPr>
          <w:rFonts w:asciiTheme="majorHAnsi" w:hAnsiTheme="majorHAnsi"/>
          <w:lang w:eastAsia="fr-FR"/>
        </w:rPr>
      </w:pPr>
      <w:r w:rsidRPr="007C2F40">
        <w:rPr>
          <w:rFonts w:asciiTheme="majorHAnsi" w:hAnsiTheme="majorHAnsi"/>
          <w:lang w:eastAsia="fr-FR"/>
        </w:rPr>
        <w:t>Ainsi, pour un passage de l’ADSL à la fibre</w:t>
      </w:r>
      <w:r w:rsidRPr="000953D2">
        <w:rPr>
          <w:rFonts w:asciiTheme="majorHAnsi" w:hAnsiTheme="majorHAnsi"/>
          <w:lang w:eastAsia="fr-FR"/>
        </w:rPr>
        <w:t xml:space="preserve">, </w:t>
      </w:r>
      <w:r w:rsidRPr="007C2F40">
        <w:rPr>
          <w:rFonts w:asciiTheme="majorHAnsi" w:hAnsiTheme="majorHAnsi"/>
          <w:lang w:eastAsia="fr-FR"/>
        </w:rPr>
        <w:t xml:space="preserve">le </w:t>
      </w:r>
      <w:r w:rsidRPr="000953D2">
        <w:rPr>
          <w:rFonts w:asciiTheme="majorHAnsi" w:hAnsiTheme="majorHAnsi"/>
          <w:lang w:eastAsia="fr-FR"/>
        </w:rPr>
        <w:t>Conseil des ministres a octroyé :</w:t>
      </w:r>
    </w:p>
    <w:p w:rsidR="00C16652" w:rsidRPr="000953D2" w:rsidRDefault="00C16652" w:rsidP="00C16652">
      <w:pPr>
        <w:pStyle w:val="Paragraphedeliste"/>
        <w:numPr>
          <w:ilvl w:val="0"/>
          <w:numId w:val="19"/>
        </w:numPr>
        <w:spacing w:before="120" w:after="0"/>
        <w:jc w:val="both"/>
        <w:rPr>
          <w:rFonts w:asciiTheme="majorHAnsi" w:hAnsiTheme="majorHAnsi"/>
          <w:sz w:val="24"/>
          <w:lang w:eastAsia="fr-FR"/>
        </w:rPr>
      </w:pPr>
      <w:r w:rsidRPr="000953D2">
        <w:rPr>
          <w:rFonts w:asciiTheme="majorHAnsi" w:hAnsiTheme="majorHAnsi"/>
          <w:sz w:val="24"/>
        </w:rPr>
        <w:t>143 447</w:t>
      </w:r>
      <w:r w:rsidRPr="000953D2">
        <w:rPr>
          <w:rFonts w:asciiTheme="majorHAnsi" w:hAnsiTheme="majorHAnsi"/>
          <w:b/>
          <w:sz w:val="24"/>
        </w:rPr>
        <w:t xml:space="preserve"> </w:t>
      </w:r>
      <w:proofErr w:type="spellStart"/>
      <w:r w:rsidRPr="007C2F40">
        <w:rPr>
          <w:rFonts w:asciiTheme="majorHAnsi" w:hAnsiTheme="majorHAnsi"/>
          <w:sz w:val="24"/>
          <w:lang w:eastAsia="fr-FR"/>
        </w:rPr>
        <w:t>Fcfp</w:t>
      </w:r>
      <w:proofErr w:type="spellEnd"/>
      <w:r w:rsidRPr="000953D2">
        <w:rPr>
          <w:rFonts w:asciiTheme="majorHAnsi" w:hAnsiTheme="majorHAnsi"/>
          <w:b/>
          <w:sz w:val="24"/>
        </w:rPr>
        <w:t xml:space="preserve"> </w:t>
      </w:r>
      <w:r w:rsidRPr="000953D2">
        <w:rPr>
          <w:rFonts w:asciiTheme="majorHAnsi" w:hAnsiTheme="majorHAnsi"/>
          <w:sz w:val="24"/>
        </w:rPr>
        <w:t>pour la SARL REZO Gaming ;</w:t>
      </w:r>
    </w:p>
    <w:p w:rsidR="00C16652" w:rsidRPr="000953D2" w:rsidRDefault="00C16652" w:rsidP="00C16652">
      <w:pPr>
        <w:pStyle w:val="Paragraphedeliste"/>
        <w:numPr>
          <w:ilvl w:val="0"/>
          <w:numId w:val="19"/>
        </w:numPr>
        <w:spacing w:before="120" w:after="0"/>
        <w:jc w:val="both"/>
        <w:rPr>
          <w:rFonts w:asciiTheme="majorHAnsi" w:hAnsiTheme="majorHAnsi"/>
          <w:sz w:val="24"/>
          <w:lang w:eastAsia="fr-FR"/>
        </w:rPr>
      </w:pPr>
      <w:r w:rsidRPr="000953D2">
        <w:rPr>
          <w:rFonts w:asciiTheme="majorHAnsi" w:hAnsiTheme="majorHAnsi"/>
          <w:sz w:val="24"/>
        </w:rPr>
        <w:t>198 274</w:t>
      </w:r>
      <w:r w:rsidRPr="000953D2">
        <w:rPr>
          <w:rFonts w:asciiTheme="majorHAnsi" w:hAnsiTheme="majorHAnsi"/>
          <w:sz w:val="24"/>
          <w:lang w:val="en-US"/>
        </w:rPr>
        <w:t xml:space="preserve"> </w:t>
      </w:r>
      <w:proofErr w:type="spellStart"/>
      <w:r w:rsidRPr="007C2F40">
        <w:rPr>
          <w:rFonts w:asciiTheme="majorHAnsi" w:hAnsiTheme="majorHAnsi"/>
          <w:sz w:val="24"/>
          <w:lang w:eastAsia="fr-FR"/>
        </w:rPr>
        <w:t>Fcfp</w:t>
      </w:r>
      <w:proofErr w:type="spellEnd"/>
      <w:r w:rsidRPr="000953D2">
        <w:rPr>
          <w:rFonts w:asciiTheme="majorHAnsi" w:hAnsiTheme="majorHAnsi"/>
          <w:sz w:val="24"/>
          <w:lang w:val="en-US"/>
        </w:rPr>
        <w:t xml:space="preserve"> pour la SARL Aux </w:t>
      </w:r>
      <w:proofErr w:type="spellStart"/>
      <w:r w:rsidRPr="000953D2">
        <w:rPr>
          <w:rFonts w:asciiTheme="majorHAnsi" w:hAnsiTheme="majorHAnsi"/>
          <w:sz w:val="24"/>
          <w:lang w:val="en-US"/>
        </w:rPr>
        <w:t>Délices</w:t>
      </w:r>
      <w:proofErr w:type="spellEnd"/>
      <w:r w:rsidRPr="000953D2">
        <w:rPr>
          <w:rFonts w:asciiTheme="majorHAnsi" w:hAnsiTheme="majorHAnsi"/>
          <w:sz w:val="24"/>
          <w:lang w:val="en-US"/>
        </w:rPr>
        <w:t xml:space="preserve"> ;</w:t>
      </w:r>
    </w:p>
    <w:p w:rsidR="00C16652" w:rsidRPr="000953D2" w:rsidRDefault="00C16652" w:rsidP="00C16652">
      <w:pPr>
        <w:pStyle w:val="Paragraphedeliste"/>
        <w:numPr>
          <w:ilvl w:val="0"/>
          <w:numId w:val="19"/>
        </w:numPr>
        <w:spacing w:before="120" w:after="0"/>
        <w:jc w:val="both"/>
        <w:rPr>
          <w:rFonts w:asciiTheme="majorHAnsi" w:hAnsiTheme="majorHAnsi"/>
          <w:sz w:val="24"/>
          <w:lang w:eastAsia="fr-FR"/>
        </w:rPr>
      </w:pPr>
      <w:r w:rsidRPr="000953D2">
        <w:rPr>
          <w:rFonts w:asciiTheme="majorHAnsi" w:hAnsiTheme="majorHAnsi"/>
          <w:sz w:val="24"/>
        </w:rPr>
        <w:t xml:space="preserve">199 108 </w:t>
      </w:r>
      <w:proofErr w:type="spellStart"/>
      <w:r w:rsidRPr="007C2F40">
        <w:rPr>
          <w:rFonts w:asciiTheme="majorHAnsi" w:hAnsiTheme="majorHAnsi"/>
          <w:sz w:val="24"/>
          <w:lang w:eastAsia="fr-FR"/>
        </w:rPr>
        <w:t>Fcfp</w:t>
      </w:r>
      <w:proofErr w:type="spellEnd"/>
      <w:r w:rsidRPr="000953D2">
        <w:rPr>
          <w:rFonts w:asciiTheme="majorHAnsi" w:hAnsiTheme="majorHAnsi"/>
          <w:sz w:val="24"/>
          <w:lang w:eastAsia="fr-FR"/>
        </w:rPr>
        <w:t xml:space="preserve"> pour l’</w:t>
      </w:r>
      <w:r w:rsidRPr="000953D2">
        <w:rPr>
          <w:rFonts w:asciiTheme="majorHAnsi" w:hAnsiTheme="majorHAnsi"/>
          <w:sz w:val="24"/>
        </w:rPr>
        <w:t xml:space="preserve">EURL Centre d’usinage de </w:t>
      </w:r>
      <w:proofErr w:type="spellStart"/>
      <w:r w:rsidRPr="000953D2">
        <w:rPr>
          <w:rFonts w:asciiTheme="majorHAnsi" w:hAnsiTheme="majorHAnsi"/>
          <w:sz w:val="24"/>
        </w:rPr>
        <w:t>Taravao</w:t>
      </w:r>
      <w:proofErr w:type="spellEnd"/>
      <w:r w:rsidRPr="000953D2">
        <w:rPr>
          <w:rFonts w:asciiTheme="majorHAnsi" w:hAnsiTheme="majorHAnsi"/>
          <w:sz w:val="24"/>
        </w:rPr>
        <w:t> ;</w:t>
      </w:r>
    </w:p>
    <w:p w:rsidR="00C16652" w:rsidRPr="000953D2" w:rsidRDefault="00C16652" w:rsidP="00C16652">
      <w:pPr>
        <w:pStyle w:val="Paragraphedeliste"/>
        <w:numPr>
          <w:ilvl w:val="0"/>
          <w:numId w:val="19"/>
        </w:numPr>
        <w:spacing w:before="120" w:after="0"/>
        <w:jc w:val="both"/>
        <w:rPr>
          <w:rFonts w:asciiTheme="majorHAnsi" w:hAnsiTheme="majorHAnsi"/>
          <w:sz w:val="24"/>
          <w:lang w:eastAsia="fr-FR"/>
        </w:rPr>
      </w:pPr>
      <w:r w:rsidRPr="000953D2">
        <w:rPr>
          <w:rFonts w:asciiTheme="majorHAnsi" w:hAnsiTheme="majorHAnsi"/>
          <w:sz w:val="24"/>
        </w:rPr>
        <w:t>200 000</w:t>
      </w:r>
      <w:r w:rsidRPr="000953D2">
        <w:rPr>
          <w:rFonts w:asciiTheme="majorHAnsi" w:hAnsiTheme="majorHAnsi"/>
          <w:sz w:val="24"/>
          <w:lang w:val="en-US"/>
        </w:rPr>
        <w:t xml:space="preserve"> </w:t>
      </w:r>
      <w:proofErr w:type="spellStart"/>
      <w:r w:rsidRPr="007C2F40">
        <w:rPr>
          <w:rFonts w:asciiTheme="majorHAnsi" w:hAnsiTheme="majorHAnsi"/>
          <w:sz w:val="24"/>
          <w:lang w:eastAsia="fr-FR"/>
        </w:rPr>
        <w:t>Fcfp</w:t>
      </w:r>
      <w:proofErr w:type="spellEnd"/>
      <w:r w:rsidRPr="000953D2">
        <w:rPr>
          <w:rFonts w:asciiTheme="majorHAnsi" w:hAnsiTheme="majorHAnsi"/>
          <w:sz w:val="24"/>
          <w:lang w:val="en-US"/>
        </w:rPr>
        <w:t xml:space="preserve"> pour la SCI </w:t>
      </w:r>
      <w:proofErr w:type="spellStart"/>
      <w:r w:rsidRPr="000953D2">
        <w:rPr>
          <w:rFonts w:asciiTheme="majorHAnsi" w:hAnsiTheme="majorHAnsi"/>
          <w:sz w:val="24"/>
          <w:lang w:val="en-US"/>
        </w:rPr>
        <w:t>Keyahei</w:t>
      </w:r>
      <w:proofErr w:type="spellEnd"/>
      <w:r>
        <w:rPr>
          <w:rFonts w:asciiTheme="majorHAnsi" w:hAnsiTheme="majorHAnsi"/>
          <w:sz w:val="24"/>
          <w:lang w:val="en-US"/>
        </w:rPr>
        <w:t xml:space="preserve"> </w:t>
      </w:r>
      <w:r w:rsidRPr="000953D2">
        <w:rPr>
          <w:rFonts w:asciiTheme="majorHAnsi" w:hAnsiTheme="majorHAnsi"/>
          <w:sz w:val="24"/>
          <w:lang w:val="en-US"/>
        </w:rPr>
        <w:t>;</w:t>
      </w:r>
    </w:p>
    <w:p w:rsidR="00C16652" w:rsidRPr="000953D2" w:rsidRDefault="00C16652" w:rsidP="00C16652">
      <w:pPr>
        <w:pStyle w:val="Paragraphedeliste"/>
        <w:numPr>
          <w:ilvl w:val="0"/>
          <w:numId w:val="19"/>
        </w:numPr>
        <w:spacing w:before="120" w:after="0"/>
        <w:jc w:val="both"/>
        <w:rPr>
          <w:rFonts w:asciiTheme="majorHAnsi" w:hAnsiTheme="majorHAnsi"/>
          <w:sz w:val="24"/>
          <w:lang w:eastAsia="fr-FR"/>
        </w:rPr>
      </w:pPr>
      <w:r w:rsidRPr="000953D2">
        <w:rPr>
          <w:rFonts w:asciiTheme="majorHAnsi" w:hAnsiTheme="majorHAnsi"/>
          <w:sz w:val="24"/>
        </w:rPr>
        <w:t xml:space="preserve">  72 342</w:t>
      </w:r>
      <w:r w:rsidRPr="000953D2">
        <w:rPr>
          <w:rFonts w:asciiTheme="majorHAnsi" w:hAnsiTheme="majorHAnsi"/>
          <w:sz w:val="24"/>
          <w:lang w:val="en-US"/>
        </w:rPr>
        <w:t xml:space="preserve"> </w:t>
      </w:r>
      <w:proofErr w:type="spellStart"/>
      <w:r w:rsidRPr="007C2F40">
        <w:rPr>
          <w:rFonts w:asciiTheme="majorHAnsi" w:hAnsiTheme="majorHAnsi"/>
          <w:sz w:val="24"/>
          <w:lang w:eastAsia="fr-FR"/>
        </w:rPr>
        <w:t>Fcfp</w:t>
      </w:r>
      <w:proofErr w:type="spellEnd"/>
      <w:r w:rsidRPr="000953D2">
        <w:rPr>
          <w:rFonts w:asciiTheme="majorHAnsi" w:hAnsiTheme="majorHAnsi"/>
          <w:sz w:val="24"/>
          <w:lang w:val="en-US"/>
        </w:rPr>
        <w:t xml:space="preserve"> pour la SARL Pacific Landscape Design</w:t>
      </w:r>
      <w:r>
        <w:rPr>
          <w:rFonts w:asciiTheme="majorHAnsi" w:hAnsiTheme="majorHAnsi"/>
          <w:sz w:val="24"/>
          <w:lang w:val="en-US"/>
        </w:rPr>
        <w:t xml:space="preserve"> </w:t>
      </w:r>
      <w:r w:rsidRPr="000953D2">
        <w:rPr>
          <w:rFonts w:asciiTheme="majorHAnsi" w:hAnsiTheme="majorHAnsi"/>
          <w:sz w:val="24"/>
          <w:lang w:val="en-US"/>
        </w:rPr>
        <w:t>;</w:t>
      </w:r>
    </w:p>
    <w:p w:rsidR="00C16652" w:rsidRPr="000953D2" w:rsidRDefault="00C16652" w:rsidP="00C16652">
      <w:pPr>
        <w:pStyle w:val="Paragraphedeliste"/>
        <w:numPr>
          <w:ilvl w:val="0"/>
          <w:numId w:val="19"/>
        </w:numPr>
        <w:spacing w:before="120" w:after="0"/>
        <w:jc w:val="both"/>
        <w:rPr>
          <w:rFonts w:asciiTheme="majorHAnsi" w:hAnsiTheme="majorHAnsi"/>
          <w:sz w:val="24"/>
          <w:lang w:eastAsia="fr-FR"/>
        </w:rPr>
      </w:pPr>
      <w:r w:rsidRPr="000953D2">
        <w:rPr>
          <w:rFonts w:asciiTheme="majorHAnsi" w:hAnsiTheme="majorHAnsi"/>
          <w:sz w:val="24"/>
        </w:rPr>
        <w:t xml:space="preserve">  53 005</w:t>
      </w:r>
      <w:r w:rsidRPr="000953D2">
        <w:rPr>
          <w:rFonts w:asciiTheme="majorHAnsi" w:hAnsiTheme="majorHAnsi"/>
          <w:sz w:val="24"/>
          <w:lang w:val="en-US"/>
        </w:rPr>
        <w:t xml:space="preserve"> </w:t>
      </w:r>
      <w:proofErr w:type="spellStart"/>
      <w:r w:rsidRPr="007C2F40">
        <w:rPr>
          <w:rFonts w:asciiTheme="majorHAnsi" w:hAnsiTheme="majorHAnsi"/>
          <w:sz w:val="24"/>
          <w:lang w:eastAsia="fr-FR"/>
        </w:rPr>
        <w:t>Fcfp</w:t>
      </w:r>
      <w:proofErr w:type="spellEnd"/>
      <w:r w:rsidRPr="000953D2">
        <w:rPr>
          <w:rFonts w:asciiTheme="majorHAnsi" w:hAnsiTheme="majorHAnsi"/>
          <w:sz w:val="24"/>
          <w:lang w:val="en-US"/>
        </w:rPr>
        <w:t xml:space="preserve"> pour la SARL </w:t>
      </w:r>
      <w:proofErr w:type="spellStart"/>
      <w:r w:rsidRPr="000953D2">
        <w:rPr>
          <w:rFonts w:asciiTheme="majorHAnsi" w:hAnsiTheme="majorHAnsi"/>
          <w:sz w:val="24"/>
          <w:lang w:val="en-US"/>
        </w:rPr>
        <w:t>Ame</w:t>
      </w:r>
      <w:proofErr w:type="spellEnd"/>
      <w:r w:rsidRPr="000953D2">
        <w:rPr>
          <w:rFonts w:asciiTheme="majorHAnsi" w:hAnsiTheme="majorHAnsi"/>
          <w:sz w:val="24"/>
          <w:lang w:val="en-US"/>
        </w:rPr>
        <w:t xml:space="preserve"> </w:t>
      </w:r>
      <w:proofErr w:type="spellStart"/>
      <w:r w:rsidRPr="000953D2">
        <w:rPr>
          <w:rFonts w:asciiTheme="majorHAnsi" w:hAnsiTheme="majorHAnsi"/>
          <w:sz w:val="24"/>
          <w:lang w:val="en-US"/>
        </w:rPr>
        <w:t>Etanchéité</w:t>
      </w:r>
      <w:proofErr w:type="spellEnd"/>
      <w:r>
        <w:rPr>
          <w:rFonts w:asciiTheme="majorHAnsi" w:hAnsiTheme="majorHAnsi"/>
          <w:sz w:val="24"/>
          <w:lang w:val="en-US"/>
        </w:rPr>
        <w:t xml:space="preserve"> </w:t>
      </w:r>
      <w:r w:rsidRPr="000953D2">
        <w:rPr>
          <w:rFonts w:asciiTheme="majorHAnsi" w:hAnsiTheme="majorHAnsi"/>
          <w:sz w:val="24"/>
          <w:lang w:val="en-US"/>
        </w:rPr>
        <w:t>;</w:t>
      </w:r>
    </w:p>
    <w:p w:rsidR="00C16652" w:rsidRPr="000953D2" w:rsidRDefault="00C16652" w:rsidP="00C16652">
      <w:pPr>
        <w:pStyle w:val="Paragraphedeliste"/>
        <w:numPr>
          <w:ilvl w:val="0"/>
          <w:numId w:val="19"/>
        </w:numPr>
        <w:spacing w:before="120" w:after="0"/>
        <w:jc w:val="both"/>
        <w:rPr>
          <w:rFonts w:asciiTheme="majorHAnsi" w:hAnsiTheme="majorHAnsi"/>
          <w:sz w:val="24"/>
          <w:lang w:eastAsia="fr-FR"/>
        </w:rPr>
      </w:pPr>
      <w:r w:rsidRPr="000953D2">
        <w:rPr>
          <w:rFonts w:asciiTheme="majorHAnsi" w:hAnsiTheme="majorHAnsi"/>
          <w:sz w:val="24"/>
        </w:rPr>
        <w:t>200 000</w:t>
      </w:r>
      <w:r w:rsidRPr="000953D2">
        <w:rPr>
          <w:rFonts w:asciiTheme="majorHAnsi" w:hAnsiTheme="majorHAnsi"/>
          <w:sz w:val="24"/>
          <w:lang w:eastAsia="fr-FR"/>
        </w:rPr>
        <w:t xml:space="preserve"> </w:t>
      </w:r>
      <w:proofErr w:type="spellStart"/>
      <w:r w:rsidRPr="000953D2">
        <w:rPr>
          <w:rFonts w:asciiTheme="majorHAnsi" w:hAnsiTheme="majorHAnsi"/>
          <w:sz w:val="24"/>
          <w:lang w:eastAsia="fr-FR"/>
        </w:rPr>
        <w:t>Fcfp</w:t>
      </w:r>
      <w:proofErr w:type="spellEnd"/>
      <w:r w:rsidRPr="000953D2">
        <w:rPr>
          <w:rFonts w:asciiTheme="majorHAnsi" w:hAnsiTheme="majorHAnsi"/>
          <w:sz w:val="24"/>
          <w:lang w:eastAsia="fr-FR"/>
        </w:rPr>
        <w:t xml:space="preserve"> </w:t>
      </w:r>
      <w:r w:rsidRPr="000953D2">
        <w:rPr>
          <w:rFonts w:asciiTheme="majorHAnsi" w:hAnsiTheme="majorHAnsi"/>
          <w:sz w:val="24"/>
          <w:lang w:val="en-US"/>
        </w:rPr>
        <w:t>pour</w:t>
      </w:r>
      <w:r w:rsidR="00725717">
        <w:rPr>
          <w:rFonts w:asciiTheme="majorHAnsi" w:hAnsiTheme="majorHAnsi"/>
          <w:b/>
          <w:sz w:val="24"/>
          <w:lang w:val="en-US"/>
        </w:rPr>
        <w:t xml:space="preserve"> </w:t>
      </w:r>
      <w:r w:rsidR="00725717" w:rsidRPr="00725717">
        <w:rPr>
          <w:rFonts w:asciiTheme="majorHAnsi" w:hAnsiTheme="majorHAnsi"/>
          <w:sz w:val="24"/>
          <w:lang w:val="en-US"/>
        </w:rPr>
        <w:t>l</w:t>
      </w:r>
      <w:r w:rsidRPr="000953D2">
        <w:rPr>
          <w:rFonts w:asciiTheme="majorHAnsi" w:hAnsiTheme="majorHAnsi"/>
          <w:b/>
          <w:sz w:val="24"/>
          <w:lang w:val="en-US"/>
        </w:rPr>
        <w:t>’</w:t>
      </w:r>
      <w:r w:rsidRPr="000953D2">
        <w:rPr>
          <w:rFonts w:asciiTheme="majorHAnsi" w:hAnsiTheme="majorHAnsi"/>
          <w:sz w:val="24"/>
        </w:rPr>
        <w:t>EURL Réalité virtuelle Tahiti.</w:t>
      </w:r>
    </w:p>
    <w:p w:rsidR="00C16652" w:rsidRDefault="00C16652" w:rsidP="00C16652">
      <w:pPr>
        <w:jc w:val="both"/>
      </w:pPr>
      <w:bookmarkStart w:id="0" w:name="_GoBack"/>
      <w:bookmarkEnd w:id="0"/>
    </w:p>
    <w:p w:rsidR="00D2620D" w:rsidRDefault="00D2620D" w:rsidP="00C16652">
      <w:pPr>
        <w:jc w:val="both"/>
      </w:pPr>
    </w:p>
    <w:p w:rsidR="00C16652" w:rsidRPr="000B5F53" w:rsidRDefault="00C16652" w:rsidP="00C16652">
      <w:pPr>
        <w:pStyle w:val="-LettreTexteGEDA"/>
        <w:ind w:firstLine="0"/>
        <w:rPr>
          <w:rFonts w:asciiTheme="majorHAnsi" w:hAnsiTheme="majorHAnsi"/>
          <w:b/>
          <w:noProof w:val="0"/>
        </w:rPr>
      </w:pPr>
      <w:r w:rsidRPr="000B5F53">
        <w:rPr>
          <w:rFonts w:asciiTheme="majorHAnsi" w:hAnsiTheme="majorHAnsi"/>
          <w:b/>
          <w:noProof w:val="0"/>
        </w:rPr>
        <w:t xml:space="preserve">Modification des modalités et de la nature des épreuves pour le recrutement </w:t>
      </w:r>
      <w:r>
        <w:rPr>
          <w:rFonts w:asciiTheme="majorHAnsi" w:hAnsiTheme="majorHAnsi"/>
          <w:b/>
          <w:noProof w:val="0"/>
        </w:rPr>
        <w:t>en concours externe et interne</w:t>
      </w:r>
      <w:r>
        <w:rPr>
          <w:rFonts w:asciiTheme="majorHAnsi" w:hAnsiTheme="majorHAnsi"/>
          <w:b/>
        </w:rPr>
        <w:t xml:space="preserve"> </w:t>
      </w:r>
      <w:r w:rsidRPr="000B5F53">
        <w:rPr>
          <w:rFonts w:asciiTheme="majorHAnsi" w:hAnsiTheme="majorHAnsi"/>
          <w:b/>
        </w:rPr>
        <w:t xml:space="preserve">des agents </w:t>
      </w:r>
      <w:r>
        <w:rPr>
          <w:rFonts w:asciiTheme="majorHAnsi" w:hAnsiTheme="majorHAnsi"/>
          <w:b/>
        </w:rPr>
        <w:t xml:space="preserve">sociaux, des auxilaires de vie scolaire, </w:t>
      </w:r>
      <w:r w:rsidRPr="000B5F53">
        <w:rPr>
          <w:rFonts w:asciiTheme="majorHAnsi" w:hAnsiTheme="majorHAnsi"/>
          <w:b/>
        </w:rPr>
        <w:t xml:space="preserve">des </w:t>
      </w:r>
      <w:r>
        <w:rPr>
          <w:rFonts w:asciiTheme="majorHAnsi" w:hAnsiTheme="majorHAnsi"/>
          <w:b/>
          <w:noProof w:val="0"/>
        </w:rPr>
        <w:t>attachés d’administration</w:t>
      </w:r>
    </w:p>
    <w:p w:rsidR="00C16652" w:rsidRDefault="00C16652" w:rsidP="00C16652">
      <w:pPr>
        <w:pStyle w:val="-LettreTexteGEDA"/>
        <w:ind w:firstLine="0"/>
        <w:rPr>
          <w:rFonts w:asciiTheme="majorHAnsi" w:eastAsia="Calibri" w:hAnsiTheme="majorHAnsi"/>
          <w:lang w:eastAsia="en-US"/>
        </w:rPr>
      </w:pPr>
      <w:r>
        <w:rPr>
          <w:rFonts w:ascii="Cambria" w:hAnsi="Cambria"/>
        </w:rPr>
        <w:lastRenderedPageBreak/>
        <w:t xml:space="preserve">Le </w:t>
      </w:r>
      <w:r w:rsidRPr="003E496A">
        <w:rPr>
          <w:rFonts w:ascii="Cambria" w:hAnsi="Cambria"/>
        </w:rPr>
        <w:t>Conseil des ministres</w:t>
      </w:r>
      <w:r>
        <w:rPr>
          <w:rFonts w:ascii="Cambria" w:hAnsi="Cambria"/>
        </w:rPr>
        <w:t xml:space="preserve"> a </w:t>
      </w:r>
      <w:r>
        <w:rPr>
          <w:rFonts w:asciiTheme="majorHAnsi" w:eastAsia="Calibri" w:hAnsiTheme="majorHAnsi"/>
          <w:lang w:eastAsia="en-US"/>
        </w:rPr>
        <w:t xml:space="preserve">adopté les modalités et la nature des épreuves de différents concours organisés en 2020. </w:t>
      </w:r>
    </w:p>
    <w:p w:rsidR="00C16652" w:rsidRDefault="00C16652" w:rsidP="00C16652">
      <w:pPr>
        <w:pStyle w:val="-LettreTexteGEDA"/>
        <w:ind w:firstLine="0"/>
        <w:rPr>
          <w:rFonts w:asciiTheme="majorHAnsi" w:eastAsia="Calibri" w:hAnsiTheme="majorHAnsi"/>
          <w:lang w:eastAsia="en-US"/>
        </w:rPr>
      </w:pPr>
      <w:r>
        <w:rPr>
          <w:rFonts w:asciiTheme="majorHAnsi" w:hAnsiTheme="majorHAnsi"/>
          <w:noProof w:val="0"/>
        </w:rPr>
        <w:t>L</w:t>
      </w:r>
      <w:r w:rsidRPr="008E65CA">
        <w:rPr>
          <w:rFonts w:asciiTheme="majorHAnsi" w:hAnsiTheme="majorHAnsi"/>
          <w:noProof w:val="0"/>
        </w:rPr>
        <w:t xml:space="preserve">’organisation des </w:t>
      </w:r>
      <w:r w:rsidRPr="008E65CA">
        <w:rPr>
          <w:rFonts w:asciiTheme="majorHAnsi" w:hAnsiTheme="majorHAnsi"/>
        </w:rPr>
        <w:t xml:space="preserve">épreuves </w:t>
      </w:r>
      <w:r>
        <w:rPr>
          <w:rFonts w:asciiTheme="majorHAnsi" w:hAnsiTheme="majorHAnsi"/>
        </w:rPr>
        <w:t xml:space="preserve">des concours d’agents sociaux et d’auxiliaires de vie scolaire, s’articule selon un schéma commun à savoir, deux épreuves d’admissibilité </w:t>
      </w:r>
      <w:r>
        <w:rPr>
          <w:rFonts w:asciiTheme="majorHAnsi" w:eastAsia="Calibri" w:hAnsiTheme="majorHAnsi"/>
          <w:lang w:eastAsia="en-US"/>
        </w:rPr>
        <w:t>:</w:t>
      </w:r>
    </w:p>
    <w:p w:rsidR="00C16652" w:rsidRPr="008E65CA" w:rsidRDefault="00C16652" w:rsidP="00C16652">
      <w:pPr>
        <w:pStyle w:val="-LettreTexteGEDA"/>
        <w:numPr>
          <w:ilvl w:val="1"/>
          <w:numId w:val="11"/>
        </w:numPr>
        <w:rPr>
          <w:rFonts w:asciiTheme="majorHAnsi" w:hAnsiTheme="majorHAnsi"/>
          <w:noProof w:val="0"/>
        </w:rPr>
      </w:pPr>
      <w:r w:rsidRPr="008E65CA">
        <w:rPr>
          <w:rFonts w:asciiTheme="majorHAnsi" w:hAnsiTheme="majorHAnsi"/>
          <w:iCs/>
          <w:szCs w:val="28"/>
        </w:rPr>
        <w:t>u</w:t>
      </w:r>
      <w:r w:rsidRPr="008E65CA">
        <w:rPr>
          <w:rFonts w:asciiTheme="majorHAnsi" w:eastAsia="MS Mincho" w:hAnsiTheme="majorHAnsi"/>
        </w:rPr>
        <w:t xml:space="preserve">n questionnaire à choix multiple </w:t>
      </w:r>
      <w:r>
        <w:rPr>
          <w:rFonts w:asciiTheme="majorHAnsi" w:eastAsia="MS Mincho" w:hAnsiTheme="majorHAnsi"/>
        </w:rPr>
        <w:t>visant à évaluer</w:t>
      </w:r>
      <w:r w:rsidRPr="008E65CA">
        <w:rPr>
          <w:rFonts w:asciiTheme="majorHAnsi" w:eastAsia="MS Mincho" w:hAnsiTheme="majorHAnsi"/>
        </w:rPr>
        <w:t xml:space="preserve"> la culture générale, le </w:t>
      </w:r>
      <w:r>
        <w:rPr>
          <w:rFonts w:asciiTheme="majorHAnsi" w:eastAsia="MS Mincho" w:hAnsiTheme="majorHAnsi"/>
        </w:rPr>
        <w:t xml:space="preserve">niveau en </w:t>
      </w:r>
      <w:r w:rsidRPr="008E65CA">
        <w:rPr>
          <w:rFonts w:asciiTheme="majorHAnsi" w:eastAsia="MS Mincho" w:hAnsiTheme="majorHAnsi"/>
        </w:rPr>
        <w:t xml:space="preserve">français (grammaire, orthographe, conjugaison) et </w:t>
      </w:r>
      <w:r>
        <w:rPr>
          <w:rFonts w:asciiTheme="majorHAnsi" w:eastAsia="MS Mincho" w:hAnsiTheme="majorHAnsi"/>
        </w:rPr>
        <w:t>la connaissance d</w:t>
      </w:r>
      <w:r w:rsidRPr="008E65CA">
        <w:rPr>
          <w:rFonts w:asciiTheme="majorHAnsi" w:eastAsia="MS Mincho" w:hAnsiTheme="majorHAnsi"/>
        </w:rPr>
        <w:t>es institut</w:t>
      </w:r>
      <w:r>
        <w:rPr>
          <w:rFonts w:asciiTheme="majorHAnsi" w:eastAsia="MS Mincho" w:hAnsiTheme="majorHAnsi"/>
        </w:rPr>
        <w:t xml:space="preserve">ions de la Polynésie française du candidat </w:t>
      </w:r>
      <w:r w:rsidRPr="008E65CA">
        <w:rPr>
          <w:rFonts w:asciiTheme="majorHAnsi" w:eastAsia="MS Mincho" w:hAnsiTheme="majorHAnsi"/>
        </w:rPr>
        <w:t>;</w:t>
      </w:r>
    </w:p>
    <w:p w:rsidR="00C16652" w:rsidRPr="008E65CA" w:rsidRDefault="00C16652" w:rsidP="00C16652">
      <w:pPr>
        <w:pStyle w:val="-LettreTexteGEDA"/>
        <w:numPr>
          <w:ilvl w:val="1"/>
          <w:numId w:val="11"/>
        </w:numPr>
        <w:rPr>
          <w:rFonts w:asciiTheme="majorHAnsi" w:hAnsiTheme="majorHAnsi"/>
          <w:noProof w:val="0"/>
        </w:rPr>
      </w:pPr>
      <w:r w:rsidRPr="008E65CA">
        <w:rPr>
          <w:rFonts w:asciiTheme="majorHAnsi" w:hAnsiTheme="majorHAnsi"/>
          <w:iCs/>
          <w:szCs w:val="28"/>
        </w:rPr>
        <w:t>u</w:t>
      </w:r>
      <w:r w:rsidRPr="008E65CA">
        <w:rPr>
          <w:rFonts w:asciiTheme="majorHAnsi" w:eastAsia="MS Mincho" w:hAnsiTheme="majorHAnsi"/>
        </w:rPr>
        <w:t xml:space="preserve">n questionnaire </w:t>
      </w:r>
      <w:r>
        <w:rPr>
          <w:rFonts w:asciiTheme="majorHAnsi" w:eastAsia="MS Mincho" w:hAnsiTheme="majorHAnsi"/>
        </w:rPr>
        <w:t>visant à évaluer les connaissances et les compétences spécifiques et techniques du cadre d’emploi choisi par le candidat</w:t>
      </w:r>
    </w:p>
    <w:p w:rsidR="00C16652" w:rsidRPr="008E65CA" w:rsidRDefault="00C16652" w:rsidP="00C16652">
      <w:pPr>
        <w:pStyle w:val="-LettreTexteGEDA"/>
        <w:ind w:firstLine="0"/>
        <w:rPr>
          <w:rFonts w:asciiTheme="majorHAnsi" w:hAnsiTheme="majorHAnsi"/>
        </w:rPr>
      </w:pPr>
      <w:r w:rsidRPr="008E65CA">
        <w:rPr>
          <w:rFonts w:asciiTheme="majorHAnsi" w:hAnsiTheme="majorHAnsi"/>
        </w:rPr>
        <w:t xml:space="preserve">et </w:t>
      </w:r>
      <w:r>
        <w:rPr>
          <w:rFonts w:asciiTheme="majorHAnsi" w:hAnsiTheme="majorHAnsi"/>
        </w:rPr>
        <w:t xml:space="preserve">deux épreuves d’admission, dont une facultative </w:t>
      </w:r>
      <w:r w:rsidRPr="008E65CA">
        <w:rPr>
          <w:rFonts w:asciiTheme="majorHAnsi" w:hAnsiTheme="majorHAnsi"/>
        </w:rPr>
        <w:t>:</w:t>
      </w:r>
    </w:p>
    <w:p w:rsidR="00C16652" w:rsidRPr="008E65CA" w:rsidRDefault="00C16652" w:rsidP="00C16652">
      <w:pPr>
        <w:pStyle w:val="-LettreTexteGEDA"/>
        <w:numPr>
          <w:ilvl w:val="1"/>
          <w:numId w:val="11"/>
        </w:numPr>
        <w:rPr>
          <w:rFonts w:asciiTheme="majorHAnsi" w:hAnsiTheme="majorHAnsi"/>
        </w:rPr>
      </w:pPr>
      <w:r w:rsidRPr="008E65CA">
        <w:rPr>
          <w:rFonts w:asciiTheme="majorHAnsi" w:hAnsiTheme="majorHAnsi"/>
        </w:rPr>
        <w:t xml:space="preserve">un entretien avec le jury permettant d'apprécier l'aptitude du candidat à exercer les missions dévolues </w:t>
      </w:r>
      <w:r>
        <w:rPr>
          <w:rFonts w:asciiTheme="majorHAnsi" w:hAnsiTheme="majorHAnsi"/>
        </w:rPr>
        <w:t xml:space="preserve">au cadre d’emploi choisi </w:t>
      </w:r>
      <w:r w:rsidRPr="008E65CA">
        <w:rPr>
          <w:rFonts w:asciiTheme="majorHAnsi" w:hAnsiTheme="majorHAnsi"/>
        </w:rPr>
        <w:t>;</w:t>
      </w:r>
    </w:p>
    <w:p w:rsidR="00C16652" w:rsidRPr="008E65CA" w:rsidRDefault="00C16652" w:rsidP="00C16652">
      <w:pPr>
        <w:pStyle w:val="-LettreTexteGEDA"/>
        <w:numPr>
          <w:ilvl w:val="1"/>
          <w:numId w:val="11"/>
        </w:numPr>
        <w:rPr>
          <w:rFonts w:asciiTheme="majorHAnsi" w:hAnsiTheme="majorHAnsi"/>
        </w:rPr>
      </w:pPr>
      <w:r w:rsidRPr="008E65CA">
        <w:rPr>
          <w:rFonts w:asciiTheme="majorHAnsi" w:hAnsiTheme="majorHAnsi"/>
        </w:rPr>
        <w:t>une épreuve orale facultative consistant en un entretien en langue tahitienne portant</w:t>
      </w:r>
      <w:r>
        <w:rPr>
          <w:rFonts w:asciiTheme="majorHAnsi" w:hAnsiTheme="majorHAnsi"/>
        </w:rPr>
        <w:t xml:space="preserve"> sur un sujet d'ordre général</w:t>
      </w:r>
      <w:r w:rsidRPr="008E65CA">
        <w:rPr>
          <w:rFonts w:asciiTheme="majorHAnsi" w:hAnsiTheme="majorHAnsi"/>
        </w:rPr>
        <w:t>.</w:t>
      </w:r>
    </w:p>
    <w:p w:rsidR="00C16652" w:rsidRPr="009C4904" w:rsidRDefault="00C16652" w:rsidP="00C16652">
      <w:pPr>
        <w:pStyle w:val="-LettreTexteGEDA"/>
        <w:ind w:firstLine="0"/>
        <w:rPr>
          <w:rFonts w:asciiTheme="majorHAnsi" w:hAnsiTheme="majorHAnsi"/>
          <w:noProof w:val="0"/>
        </w:rPr>
      </w:pPr>
      <w:r w:rsidRPr="009C4904">
        <w:rPr>
          <w:rFonts w:asciiTheme="majorHAnsi" w:hAnsiTheme="majorHAnsi"/>
          <w:noProof w:val="0"/>
        </w:rPr>
        <w:t xml:space="preserve">Le concours d’attachés d’administration sera organisé dans neufs domaines : droit, finances publiques, économie, conservation du patrimoine, traduction-interprétariat, statistiques, administration générale, gestion du secteur sanitaire et social, et urbanisme et développement des territoires. </w:t>
      </w:r>
    </w:p>
    <w:p w:rsidR="00C16652" w:rsidRPr="00335045" w:rsidRDefault="00C16652" w:rsidP="00C16652">
      <w:pPr>
        <w:pStyle w:val="-LettreTexteGEDA"/>
        <w:ind w:firstLine="0"/>
        <w:rPr>
          <w:rFonts w:asciiTheme="majorHAnsi" w:hAnsiTheme="majorHAnsi"/>
          <w:noProof w:val="0"/>
        </w:rPr>
      </w:pPr>
      <w:r>
        <w:rPr>
          <w:rFonts w:asciiTheme="majorHAnsi" w:hAnsiTheme="majorHAnsi"/>
          <w:noProof w:val="0"/>
        </w:rPr>
        <w:t>Les</w:t>
      </w:r>
      <w:r w:rsidRPr="009C4904">
        <w:rPr>
          <w:rFonts w:asciiTheme="majorHAnsi" w:hAnsiTheme="majorHAnsi"/>
          <w:noProof w:val="0"/>
        </w:rPr>
        <w:t xml:space="preserve"> épreuves d’admissibilité du concours externe </w:t>
      </w:r>
      <w:r>
        <w:rPr>
          <w:rFonts w:asciiTheme="majorHAnsi" w:hAnsiTheme="majorHAnsi"/>
          <w:noProof w:val="0"/>
        </w:rPr>
        <w:t>sont constituées </w:t>
      </w:r>
      <w:r w:rsidRPr="009C4904">
        <w:rPr>
          <w:rFonts w:asciiTheme="majorHAnsi" w:hAnsiTheme="majorHAnsi"/>
          <w:noProof w:val="0"/>
        </w:rPr>
        <w:t xml:space="preserve">d’une composition sur un sujet d’ordre général </w:t>
      </w:r>
      <w:r>
        <w:rPr>
          <w:rFonts w:asciiTheme="majorHAnsi" w:hAnsiTheme="majorHAnsi"/>
        </w:rPr>
        <w:t xml:space="preserve">et </w:t>
      </w:r>
      <w:r w:rsidRPr="009C4904">
        <w:rPr>
          <w:rFonts w:asciiTheme="majorHAnsi" w:hAnsiTheme="majorHAnsi"/>
        </w:rPr>
        <w:t>d’une note sur dossier dans le domaine choisi au moment de l’inscription.</w:t>
      </w:r>
      <w:r>
        <w:rPr>
          <w:rFonts w:asciiTheme="majorHAnsi" w:hAnsiTheme="majorHAnsi"/>
          <w:noProof w:val="0"/>
        </w:rPr>
        <w:t xml:space="preserve"> </w:t>
      </w:r>
      <w:r w:rsidRPr="009C4904">
        <w:rPr>
          <w:rFonts w:asciiTheme="majorHAnsi" w:hAnsiTheme="majorHAnsi"/>
        </w:rPr>
        <w:t xml:space="preserve">L’admissibilité </w:t>
      </w:r>
      <w:r w:rsidRPr="009C4904">
        <w:rPr>
          <w:rFonts w:asciiTheme="majorHAnsi" w:hAnsiTheme="majorHAnsi"/>
          <w:noProof w:val="0"/>
        </w:rPr>
        <w:t xml:space="preserve">du concours </w:t>
      </w:r>
      <w:r>
        <w:rPr>
          <w:rFonts w:asciiTheme="majorHAnsi" w:hAnsiTheme="majorHAnsi"/>
        </w:rPr>
        <w:t>interne</w:t>
      </w:r>
      <w:r w:rsidRPr="009C4904">
        <w:rPr>
          <w:rFonts w:asciiTheme="majorHAnsi" w:hAnsiTheme="majorHAnsi"/>
          <w:noProof w:val="0"/>
        </w:rPr>
        <w:t xml:space="preserve"> </w:t>
      </w:r>
      <w:r w:rsidRPr="009C4904">
        <w:rPr>
          <w:rFonts w:asciiTheme="majorHAnsi" w:hAnsiTheme="majorHAnsi"/>
        </w:rPr>
        <w:t>est constituée d’une seule épreuve professionnelle, à savoir la rédaction d’une note sur dossier avec solutions opérationnelles dans le domaine</w:t>
      </w:r>
      <w:r>
        <w:rPr>
          <w:rFonts w:asciiTheme="majorHAnsi" w:hAnsiTheme="majorHAnsi"/>
        </w:rPr>
        <w:t xml:space="preserve"> choisi.</w:t>
      </w:r>
    </w:p>
    <w:p w:rsidR="00C16652" w:rsidRDefault="00C16652" w:rsidP="00C16652">
      <w:pPr>
        <w:tabs>
          <w:tab w:val="left" w:pos="709"/>
        </w:tabs>
        <w:autoSpaceDE w:val="0"/>
        <w:autoSpaceDN w:val="0"/>
        <w:adjustRightInd w:val="0"/>
        <w:spacing w:before="120"/>
        <w:jc w:val="both"/>
        <w:rPr>
          <w:rFonts w:asciiTheme="majorHAnsi" w:hAnsiTheme="majorHAnsi"/>
        </w:rPr>
      </w:pPr>
      <w:r w:rsidRPr="009C4904">
        <w:rPr>
          <w:rFonts w:asciiTheme="majorHAnsi" w:hAnsiTheme="majorHAnsi"/>
        </w:rPr>
        <w:t>Les épreuves d’admission</w:t>
      </w:r>
      <w:r>
        <w:rPr>
          <w:rFonts w:asciiTheme="majorHAnsi" w:hAnsiTheme="majorHAnsi"/>
        </w:rPr>
        <w:t xml:space="preserve"> des concours externe et interne</w:t>
      </w:r>
      <w:r w:rsidRPr="009C4904">
        <w:rPr>
          <w:rFonts w:asciiTheme="majorHAnsi" w:hAnsiTheme="majorHAnsi"/>
        </w:rPr>
        <w:t xml:space="preserve"> </w:t>
      </w:r>
      <w:r>
        <w:rPr>
          <w:rFonts w:asciiTheme="majorHAnsi" w:hAnsiTheme="majorHAnsi"/>
        </w:rPr>
        <w:t xml:space="preserve">consistent en </w:t>
      </w:r>
      <w:r w:rsidRPr="009C4904">
        <w:rPr>
          <w:rFonts w:asciiTheme="majorHAnsi" w:hAnsiTheme="majorHAnsi"/>
        </w:rPr>
        <w:t>un entretien avec le jury permettant d'a</w:t>
      </w:r>
      <w:r>
        <w:rPr>
          <w:rFonts w:asciiTheme="majorHAnsi" w:hAnsiTheme="majorHAnsi"/>
        </w:rPr>
        <w:t>pprécier l'aptitude du candidat et une épreuve orale facultative.</w:t>
      </w:r>
    </w:p>
    <w:p w:rsidR="00C16652" w:rsidRDefault="00C16652" w:rsidP="00C16652">
      <w:pPr>
        <w:tabs>
          <w:tab w:val="left" w:pos="709"/>
        </w:tabs>
        <w:autoSpaceDE w:val="0"/>
        <w:autoSpaceDN w:val="0"/>
        <w:adjustRightInd w:val="0"/>
        <w:spacing w:before="120"/>
        <w:jc w:val="both"/>
        <w:rPr>
          <w:rFonts w:asciiTheme="majorHAnsi" w:hAnsiTheme="majorHAnsi"/>
        </w:rPr>
      </w:pPr>
    </w:p>
    <w:p w:rsidR="00C16652" w:rsidRPr="00335045" w:rsidRDefault="00C16652" w:rsidP="00C16652">
      <w:pPr>
        <w:pStyle w:val="-LettreTexteGEDA"/>
        <w:ind w:firstLine="0"/>
        <w:rPr>
          <w:rFonts w:asciiTheme="majorHAnsi" w:hAnsiTheme="majorHAnsi"/>
          <w:b/>
          <w:noProof w:val="0"/>
        </w:rPr>
      </w:pPr>
      <w:r>
        <w:rPr>
          <w:rFonts w:asciiTheme="majorHAnsi" w:hAnsiTheme="majorHAnsi"/>
          <w:b/>
          <w:noProof w:val="0"/>
        </w:rPr>
        <w:t xml:space="preserve">Révision de l’accès au cadre d’emplois </w:t>
      </w:r>
      <w:r>
        <w:rPr>
          <w:rFonts w:asciiTheme="majorHAnsi" w:hAnsiTheme="majorHAnsi"/>
          <w:b/>
        </w:rPr>
        <w:t>des auxiliaires de soins</w:t>
      </w:r>
    </w:p>
    <w:p w:rsidR="00C16652" w:rsidRPr="007C2F40" w:rsidRDefault="00C16652" w:rsidP="00C16652">
      <w:pPr>
        <w:pStyle w:val="-LettreTexteGEDA"/>
        <w:ind w:firstLine="0"/>
        <w:rPr>
          <w:rFonts w:asciiTheme="majorHAnsi" w:hAnsiTheme="majorHAnsi"/>
          <w:noProof w:val="0"/>
        </w:rPr>
      </w:pPr>
      <w:r>
        <w:rPr>
          <w:rFonts w:ascii="Cambria" w:hAnsi="Cambria"/>
        </w:rPr>
        <w:t xml:space="preserve">Le </w:t>
      </w:r>
      <w:r w:rsidRPr="003E496A">
        <w:rPr>
          <w:rFonts w:ascii="Cambria" w:hAnsi="Cambria"/>
        </w:rPr>
        <w:t>Conseil des ministres</w:t>
      </w:r>
      <w:r>
        <w:rPr>
          <w:rFonts w:ascii="Cambria" w:hAnsi="Cambria"/>
        </w:rPr>
        <w:t xml:space="preserve"> a </w:t>
      </w:r>
      <w:r>
        <w:rPr>
          <w:rFonts w:asciiTheme="majorHAnsi" w:eastAsia="Calibri" w:hAnsiTheme="majorHAnsi"/>
          <w:lang w:eastAsia="en-US"/>
        </w:rPr>
        <w:t xml:space="preserve">adopté la liste des diplômes </w:t>
      </w:r>
      <w:r w:rsidRPr="007C2F40">
        <w:rPr>
          <w:rFonts w:asciiTheme="majorHAnsi" w:hAnsiTheme="majorHAnsi"/>
          <w:noProof w:val="0"/>
        </w:rPr>
        <w:t xml:space="preserve">permettant l’accès au cadre d’emplois </w:t>
      </w:r>
      <w:r w:rsidRPr="007C2F40">
        <w:rPr>
          <w:rFonts w:asciiTheme="majorHAnsi" w:hAnsiTheme="majorHAnsi"/>
        </w:rPr>
        <w:t>des auxiliaires de soins</w:t>
      </w:r>
      <w:r>
        <w:rPr>
          <w:rFonts w:asciiTheme="majorHAnsi" w:hAnsiTheme="majorHAnsi"/>
        </w:rPr>
        <w:t>.</w:t>
      </w:r>
      <w:r>
        <w:rPr>
          <w:rFonts w:asciiTheme="majorHAnsi" w:hAnsiTheme="majorHAnsi"/>
          <w:noProof w:val="0"/>
        </w:rPr>
        <w:t xml:space="preserve"> </w:t>
      </w:r>
      <w:r w:rsidRPr="007C2F40">
        <w:rPr>
          <w:rFonts w:asciiTheme="majorHAnsi" w:hAnsiTheme="majorHAnsi"/>
          <w:noProof w:val="0"/>
        </w:rPr>
        <w:t>Ainsi, ce concours sur titres avec épreuves, est ouvert aux candidats titulaires des diplômes suivants :</w:t>
      </w:r>
    </w:p>
    <w:p w:rsidR="00C16652" w:rsidRPr="007C2F40" w:rsidRDefault="00C16652" w:rsidP="00C16652">
      <w:pPr>
        <w:pStyle w:val="-LettreTexteGEDA"/>
        <w:rPr>
          <w:rFonts w:asciiTheme="majorHAnsi" w:hAnsiTheme="majorHAnsi"/>
          <w:noProof w:val="0"/>
        </w:rPr>
      </w:pPr>
      <w:r w:rsidRPr="007C2F40">
        <w:rPr>
          <w:rFonts w:asciiTheme="majorHAnsi" w:hAnsiTheme="majorHAnsi"/>
          <w:noProof w:val="0"/>
        </w:rPr>
        <w:t>1) pour les aides-soignants :</w:t>
      </w:r>
    </w:p>
    <w:p w:rsidR="00C16652" w:rsidRPr="007C2F40" w:rsidRDefault="00C16652" w:rsidP="00C16652">
      <w:pPr>
        <w:pStyle w:val="-LettreTexteGEDA"/>
        <w:numPr>
          <w:ilvl w:val="0"/>
          <w:numId w:val="17"/>
        </w:numPr>
        <w:spacing w:before="0"/>
        <w:ind w:left="714" w:hanging="357"/>
        <w:rPr>
          <w:rFonts w:asciiTheme="majorHAnsi" w:hAnsiTheme="majorHAnsi"/>
          <w:noProof w:val="0"/>
        </w:rPr>
      </w:pPr>
      <w:r w:rsidRPr="007C2F40">
        <w:rPr>
          <w:rFonts w:asciiTheme="majorHAnsi" w:hAnsiTheme="majorHAnsi"/>
          <w:noProof w:val="0"/>
        </w:rPr>
        <w:t>certificat d'aptitude aux fonctions d'aide-soignant ;</w:t>
      </w:r>
    </w:p>
    <w:p w:rsidR="00C16652" w:rsidRPr="007C2F40" w:rsidRDefault="00C16652" w:rsidP="00C16652">
      <w:pPr>
        <w:pStyle w:val="-LettreTexteGEDA"/>
        <w:numPr>
          <w:ilvl w:val="0"/>
          <w:numId w:val="17"/>
        </w:numPr>
        <w:spacing w:before="0"/>
        <w:ind w:left="714" w:hanging="357"/>
        <w:rPr>
          <w:rFonts w:asciiTheme="majorHAnsi" w:hAnsiTheme="majorHAnsi"/>
          <w:noProof w:val="0"/>
        </w:rPr>
      </w:pPr>
      <w:r w:rsidRPr="007C2F40">
        <w:rPr>
          <w:rFonts w:asciiTheme="majorHAnsi" w:hAnsiTheme="majorHAnsi"/>
          <w:noProof w:val="0"/>
        </w:rPr>
        <w:t>diplôme professionnel d'aide-soignant ;</w:t>
      </w:r>
    </w:p>
    <w:p w:rsidR="00C16652" w:rsidRPr="007C2F40" w:rsidRDefault="00C16652" w:rsidP="00C16652">
      <w:pPr>
        <w:pStyle w:val="-LettreTexteGEDA"/>
        <w:numPr>
          <w:ilvl w:val="0"/>
          <w:numId w:val="17"/>
        </w:numPr>
        <w:spacing w:before="0"/>
        <w:ind w:left="714" w:hanging="357"/>
        <w:rPr>
          <w:rFonts w:asciiTheme="majorHAnsi" w:hAnsiTheme="majorHAnsi"/>
          <w:noProof w:val="0"/>
        </w:rPr>
      </w:pPr>
      <w:r w:rsidRPr="007C2F40">
        <w:rPr>
          <w:rFonts w:asciiTheme="majorHAnsi" w:hAnsiTheme="majorHAnsi"/>
          <w:noProof w:val="0"/>
        </w:rPr>
        <w:t>diplôme d'Etat d'aide-soignant;</w:t>
      </w:r>
    </w:p>
    <w:p w:rsidR="00C16652" w:rsidRPr="007C2F40" w:rsidRDefault="00C16652" w:rsidP="00C16652">
      <w:pPr>
        <w:pStyle w:val="-LettreTexteGEDA"/>
        <w:numPr>
          <w:ilvl w:val="0"/>
          <w:numId w:val="17"/>
        </w:numPr>
        <w:spacing w:before="0"/>
        <w:ind w:left="714" w:hanging="357"/>
        <w:rPr>
          <w:rFonts w:asciiTheme="majorHAnsi" w:hAnsiTheme="majorHAnsi"/>
          <w:noProof w:val="0"/>
        </w:rPr>
      </w:pPr>
      <w:r w:rsidRPr="007C2F40">
        <w:rPr>
          <w:rFonts w:asciiTheme="majorHAnsi" w:hAnsiTheme="majorHAnsi"/>
          <w:noProof w:val="0"/>
        </w:rPr>
        <w:t>diplôme territorial d'adjoint de soins ;</w:t>
      </w:r>
    </w:p>
    <w:p w:rsidR="00C16652" w:rsidRPr="007C2F40" w:rsidRDefault="00C16652" w:rsidP="00C16652">
      <w:pPr>
        <w:pStyle w:val="-LettreTexteGEDA"/>
        <w:numPr>
          <w:ilvl w:val="0"/>
          <w:numId w:val="17"/>
        </w:numPr>
        <w:spacing w:before="0"/>
        <w:ind w:left="714" w:hanging="357"/>
        <w:rPr>
          <w:rFonts w:asciiTheme="majorHAnsi" w:hAnsiTheme="majorHAnsi"/>
          <w:noProof w:val="0"/>
        </w:rPr>
      </w:pPr>
      <w:r w:rsidRPr="007C2F40">
        <w:rPr>
          <w:rFonts w:asciiTheme="majorHAnsi" w:hAnsiTheme="majorHAnsi"/>
          <w:noProof w:val="0"/>
        </w:rPr>
        <w:t>certificat d'aptitude aux fonctions d'aide-soignant territorial ;</w:t>
      </w:r>
    </w:p>
    <w:p w:rsidR="00C16652" w:rsidRPr="007C2F40" w:rsidRDefault="00C16652" w:rsidP="00C16652">
      <w:pPr>
        <w:pStyle w:val="-LettreTexteGEDA"/>
        <w:numPr>
          <w:ilvl w:val="0"/>
          <w:numId w:val="17"/>
        </w:numPr>
        <w:spacing w:before="0"/>
        <w:ind w:left="714" w:hanging="357"/>
        <w:rPr>
          <w:rFonts w:asciiTheme="majorHAnsi" w:hAnsiTheme="majorHAnsi"/>
          <w:noProof w:val="0"/>
        </w:rPr>
      </w:pPr>
      <w:r w:rsidRPr="007C2F40">
        <w:rPr>
          <w:rFonts w:asciiTheme="majorHAnsi" w:hAnsiTheme="majorHAnsi"/>
          <w:noProof w:val="0"/>
        </w:rPr>
        <w:t>diplôme d'aide-soignant délivré en Polynésie française ;</w:t>
      </w:r>
    </w:p>
    <w:p w:rsidR="00C16652" w:rsidRPr="007C2F40" w:rsidRDefault="00C16652" w:rsidP="00C16652">
      <w:pPr>
        <w:pStyle w:val="-LettreTexteGEDA"/>
        <w:rPr>
          <w:rFonts w:asciiTheme="majorHAnsi" w:hAnsiTheme="majorHAnsi"/>
          <w:noProof w:val="0"/>
        </w:rPr>
      </w:pPr>
      <w:r w:rsidRPr="007C2F40">
        <w:rPr>
          <w:rFonts w:asciiTheme="majorHAnsi" w:hAnsiTheme="majorHAnsi"/>
          <w:noProof w:val="0"/>
        </w:rPr>
        <w:t>2) pour les auxiliaires de puériculture :</w:t>
      </w:r>
    </w:p>
    <w:p w:rsidR="00C16652" w:rsidRPr="007C2F40" w:rsidRDefault="00C16652" w:rsidP="00C16652">
      <w:pPr>
        <w:pStyle w:val="-LettreTexteGEDA"/>
        <w:numPr>
          <w:ilvl w:val="0"/>
          <w:numId w:val="18"/>
        </w:numPr>
        <w:spacing w:before="0"/>
        <w:ind w:left="714" w:hanging="357"/>
        <w:rPr>
          <w:rFonts w:asciiTheme="majorHAnsi" w:hAnsiTheme="majorHAnsi"/>
          <w:noProof w:val="0"/>
        </w:rPr>
      </w:pPr>
      <w:r w:rsidRPr="007C2F40">
        <w:rPr>
          <w:rFonts w:asciiTheme="majorHAnsi" w:hAnsiTheme="majorHAnsi"/>
          <w:noProof w:val="0"/>
        </w:rPr>
        <w:t>certificat d'aptitude aux fonctions d'auxiliaire de puériculture ;</w:t>
      </w:r>
    </w:p>
    <w:p w:rsidR="00C16652" w:rsidRPr="007C2F40" w:rsidRDefault="00C16652" w:rsidP="00C16652">
      <w:pPr>
        <w:pStyle w:val="-LettreTexteGEDA"/>
        <w:numPr>
          <w:ilvl w:val="0"/>
          <w:numId w:val="18"/>
        </w:numPr>
        <w:spacing w:before="0"/>
        <w:ind w:left="714" w:hanging="357"/>
        <w:rPr>
          <w:rFonts w:asciiTheme="majorHAnsi" w:hAnsiTheme="majorHAnsi"/>
          <w:noProof w:val="0"/>
        </w:rPr>
      </w:pPr>
      <w:r w:rsidRPr="007C2F40">
        <w:rPr>
          <w:rFonts w:asciiTheme="majorHAnsi" w:hAnsiTheme="majorHAnsi"/>
          <w:noProof w:val="0"/>
        </w:rPr>
        <w:t xml:space="preserve">diplôme professionnel d'auxiliaire de puériculture </w:t>
      </w:r>
    </w:p>
    <w:p w:rsidR="00C16652" w:rsidRPr="007C2F40" w:rsidRDefault="00C16652" w:rsidP="00C16652">
      <w:pPr>
        <w:pStyle w:val="-LettreTexteGEDA"/>
        <w:numPr>
          <w:ilvl w:val="0"/>
          <w:numId w:val="18"/>
        </w:numPr>
        <w:spacing w:before="0"/>
        <w:ind w:left="714" w:hanging="357"/>
        <w:rPr>
          <w:rFonts w:asciiTheme="majorHAnsi" w:hAnsiTheme="majorHAnsi"/>
          <w:noProof w:val="0"/>
        </w:rPr>
      </w:pPr>
      <w:r w:rsidRPr="007C2F40">
        <w:rPr>
          <w:rFonts w:asciiTheme="majorHAnsi" w:hAnsiTheme="majorHAnsi"/>
          <w:noProof w:val="0"/>
        </w:rPr>
        <w:t xml:space="preserve">diplôme d'Etat d'auxiliaire de puériculture ; </w:t>
      </w:r>
    </w:p>
    <w:p w:rsidR="00C16652" w:rsidRPr="007C2F40" w:rsidRDefault="00C16652" w:rsidP="00C16652">
      <w:pPr>
        <w:pStyle w:val="-LettreTexteGEDA"/>
        <w:rPr>
          <w:rFonts w:asciiTheme="majorHAnsi" w:hAnsiTheme="majorHAnsi"/>
          <w:noProof w:val="0"/>
        </w:rPr>
      </w:pPr>
      <w:r w:rsidRPr="007C2F40">
        <w:rPr>
          <w:rFonts w:asciiTheme="majorHAnsi" w:hAnsiTheme="majorHAnsi"/>
          <w:noProof w:val="0"/>
        </w:rPr>
        <w:t>3) pour les aides médico-psychologiques :</w:t>
      </w:r>
    </w:p>
    <w:p w:rsidR="00C16652" w:rsidRPr="007C2F40" w:rsidRDefault="00C16652" w:rsidP="00C16652">
      <w:pPr>
        <w:pStyle w:val="-LettreTexteGEDA"/>
        <w:numPr>
          <w:ilvl w:val="0"/>
          <w:numId w:val="19"/>
        </w:numPr>
        <w:spacing w:before="0"/>
        <w:ind w:left="714" w:hanging="357"/>
        <w:rPr>
          <w:rFonts w:asciiTheme="majorHAnsi" w:hAnsiTheme="majorHAnsi"/>
          <w:noProof w:val="0"/>
        </w:rPr>
      </w:pPr>
      <w:r w:rsidRPr="007C2F40">
        <w:rPr>
          <w:rFonts w:asciiTheme="majorHAnsi" w:hAnsiTheme="majorHAnsi"/>
          <w:noProof w:val="0"/>
        </w:rPr>
        <w:lastRenderedPageBreak/>
        <w:t>certificat d'aptitude aux fonctions d'aide médico-psychologique (C.A.F.A.M.P.) ;</w:t>
      </w:r>
    </w:p>
    <w:p w:rsidR="00C16652" w:rsidRPr="007C2F40" w:rsidRDefault="00C16652" w:rsidP="00C16652">
      <w:pPr>
        <w:pStyle w:val="-LettreTexteGEDA"/>
        <w:numPr>
          <w:ilvl w:val="0"/>
          <w:numId w:val="19"/>
        </w:numPr>
        <w:spacing w:before="0"/>
        <w:ind w:left="714" w:hanging="357"/>
        <w:rPr>
          <w:rFonts w:asciiTheme="majorHAnsi" w:hAnsiTheme="majorHAnsi"/>
          <w:noProof w:val="0"/>
        </w:rPr>
      </w:pPr>
      <w:r w:rsidRPr="007C2F40">
        <w:rPr>
          <w:rFonts w:asciiTheme="majorHAnsi" w:hAnsiTheme="majorHAnsi"/>
          <w:noProof w:val="0"/>
        </w:rPr>
        <w:t xml:space="preserve">diplôme d'Etat d'Accompagnant Educatif et Social (D.E.A.E.S.), spécialité « Accompagnement à la vie en structure collective ». </w:t>
      </w:r>
    </w:p>
    <w:p w:rsidR="00C16652" w:rsidRDefault="00C16652" w:rsidP="00E55B39">
      <w:pPr>
        <w:pStyle w:val="-LettreTexteGEDA"/>
        <w:ind w:firstLine="0"/>
        <w:rPr>
          <w:rFonts w:asciiTheme="majorHAnsi" w:hAnsiTheme="majorHAnsi"/>
          <w:b/>
        </w:rPr>
      </w:pPr>
    </w:p>
    <w:p w:rsidR="0069242B" w:rsidRPr="00B447A7" w:rsidRDefault="0069242B" w:rsidP="0069242B">
      <w:pPr>
        <w:pStyle w:val="-LettreObjetGEDA"/>
        <w:tabs>
          <w:tab w:val="left" w:pos="709"/>
        </w:tabs>
        <w:ind w:left="0" w:firstLine="0"/>
        <w:rPr>
          <w:rFonts w:ascii="Cambria" w:hAnsi="Cambria"/>
          <w:b/>
        </w:rPr>
      </w:pPr>
      <w:r w:rsidRPr="00B447A7">
        <w:rPr>
          <w:rFonts w:ascii="Cambria" w:hAnsi="Cambria"/>
          <w:b/>
        </w:rPr>
        <w:t xml:space="preserve">Subvention </w:t>
      </w:r>
      <w:r>
        <w:rPr>
          <w:rFonts w:ascii="Cambria" w:hAnsi="Cambria"/>
          <w:b/>
        </w:rPr>
        <w:t>à</w:t>
      </w:r>
      <w:r w:rsidRPr="00B447A7">
        <w:rPr>
          <w:rFonts w:ascii="Cambria" w:hAnsi="Cambria"/>
          <w:b/>
        </w:rPr>
        <w:t xml:space="preserve"> l’association des parents d’élèves du collège Henri Hiro pour financer le projet « Ambassadeurs éco-citoyens » </w:t>
      </w:r>
    </w:p>
    <w:p w:rsidR="0069242B" w:rsidRPr="00B447A7" w:rsidRDefault="0069242B" w:rsidP="0069242B">
      <w:pPr>
        <w:pStyle w:val="-LettreTexteGEDA"/>
        <w:ind w:firstLine="0"/>
        <w:rPr>
          <w:rFonts w:ascii="Cambria" w:hAnsi="Cambria"/>
          <w:b/>
        </w:rPr>
      </w:pPr>
    </w:p>
    <w:p w:rsidR="0069242B" w:rsidRPr="00B447A7" w:rsidRDefault="0069242B" w:rsidP="0069242B">
      <w:pPr>
        <w:pStyle w:val="-LettreTexteGEDA"/>
        <w:ind w:firstLine="0"/>
        <w:rPr>
          <w:rFonts w:ascii="Cambria" w:hAnsi="Cambria"/>
        </w:rPr>
      </w:pPr>
      <w:r w:rsidRPr="00B447A7">
        <w:rPr>
          <w:rFonts w:ascii="Cambria" w:hAnsi="Cambria"/>
        </w:rPr>
        <w:t>Sur proposition du ministère de la Famille et des solidarités en charge de l’égalité des chances, le Conseil des ministres a octroyé</w:t>
      </w:r>
      <w:r w:rsidRPr="00B447A7">
        <w:rPr>
          <w:rFonts w:ascii="Cambria" w:eastAsia="Arial Unicode MS" w:hAnsi="Cambria" w:cs="Arial Unicode MS"/>
        </w:rPr>
        <w:t xml:space="preserve"> une subvention d’un montant de 800 000 Fcfp en faveur de </w:t>
      </w:r>
      <w:r w:rsidRPr="00B447A7">
        <w:rPr>
          <w:rFonts w:ascii="Cambria" w:hAnsi="Cambria"/>
        </w:rPr>
        <w:t>l’association des parents d’élèves du Collège Henri Hiro pour financer le projet « Ambassadeurs éco-citoyens ».</w:t>
      </w:r>
    </w:p>
    <w:p w:rsidR="0069242B" w:rsidRPr="00B447A7" w:rsidRDefault="0069242B" w:rsidP="0069242B">
      <w:pPr>
        <w:pStyle w:val="-LettreTexteGEDA"/>
        <w:ind w:firstLine="0"/>
        <w:rPr>
          <w:rFonts w:ascii="Cambria" w:hAnsi="Cambria"/>
        </w:rPr>
      </w:pPr>
      <w:r w:rsidRPr="00B447A7">
        <w:rPr>
          <w:rFonts w:ascii="Cambria" w:hAnsi="Cambria"/>
        </w:rPr>
        <w:t>En partenariat avec des enseignants du collège, cette association souhaite impulser une dynamique socioéducative et pro-environnementale autour d'un projet fédérateur regroupant parents, enfants et enseignants. Leur action vise à mobiliser des enfants afin qu'ils deviennent des éco ambassadeurs. Ainsi, c'est 14 élèves de 5ème, originaires des quartiers de Faa'a qui seront formés et mobiliseront leurs camarades, d'autres enseignants, leurs parents et de nombreux partenaires. Le programme des activités prévoit des initiations, des interventions sur diverses manifestations en Polynésie (dont le Noël des Solidarités), un séjour à Wellington, en Nouvelle-Zélande, et une large restitution à leur retour. Les bénéficiaires de l'action correspondent aux profils suivis par la DSFE (Direction des solidarités, de la famille et de l’égalité).</w:t>
      </w:r>
    </w:p>
    <w:p w:rsidR="0069242B" w:rsidRDefault="0069242B" w:rsidP="00E55B39">
      <w:pPr>
        <w:pStyle w:val="-LettreTexteGEDA"/>
        <w:ind w:firstLine="0"/>
        <w:rPr>
          <w:rFonts w:asciiTheme="majorHAnsi" w:hAnsiTheme="majorHAnsi"/>
          <w:b/>
        </w:rPr>
      </w:pPr>
    </w:p>
    <w:p w:rsidR="00D332FD" w:rsidRPr="006C3B44" w:rsidRDefault="00D332FD" w:rsidP="00B447A7">
      <w:pPr>
        <w:pStyle w:val="-LettreObjetGEDA"/>
        <w:tabs>
          <w:tab w:val="left" w:pos="709"/>
        </w:tabs>
        <w:ind w:left="0" w:firstLine="0"/>
        <w:rPr>
          <w:rFonts w:ascii="Cambria" w:hAnsi="Cambria"/>
          <w:b/>
        </w:rPr>
      </w:pPr>
      <w:r w:rsidRPr="006C3B44">
        <w:rPr>
          <w:rFonts w:ascii="Cambria" w:hAnsi="Cambria"/>
          <w:b/>
        </w:rPr>
        <w:t xml:space="preserve">Subvention </w:t>
      </w:r>
      <w:r w:rsidR="00B447A7" w:rsidRPr="006C3B44">
        <w:rPr>
          <w:rFonts w:ascii="Cambria" w:hAnsi="Cambria"/>
          <w:b/>
        </w:rPr>
        <w:t>à</w:t>
      </w:r>
      <w:r w:rsidRPr="006C3B44">
        <w:rPr>
          <w:rFonts w:ascii="Cambria" w:hAnsi="Cambria"/>
          <w:b/>
        </w:rPr>
        <w:t xml:space="preserve"> </w:t>
      </w:r>
      <w:r w:rsidR="007B3FE4" w:rsidRPr="006C3B44">
        <w:rPr>
          <w:rFonts w:ascii="Cambria" w:hAnsi="Cambria"/>
          <w:b/>
        </w:rPr>
        <w:t xml:space="preserve">l’Institut Louis Malardé </w:t>
      </w:r>
      <w:r w:rsidR="006C3B44" w:rsidRPr="006C3B44">
        <w:rPr>
          <w:rFonts w:ascii="Cambria" w:hAnsi="Cambria"/>
          <w:b/>
        </w:rPr>
        <w:t>pour l’acquisition de matériels</w:t>
      </w:r>
      <w:r w:rsidR="006C3B44" w:rsidRPr="006C3B44">
        <w:rPr>
          <w:rFonts w:asciiTheme="majorHAnsi" w:hAnsiTheme="majorHAnsi"/>
          <w:b/>
        </w:rPr>
        <w:t xml:space="preserve"> pour le laboratoire d’anatomo-cytopathologie</w:t>
      </w:r>
    </w:p>
    <w:p w:rsidR="007B3FE4" w:rsidRPr="007B3FE4" w:rsidRDefault="007B3FE4" w:rsidP="007B3FE4">
      <w:pPr>
        <w:pStyle w:val="Default"/>
        <w:spacing w:before="360"/>
        <w:jc w:val="both"/>
        <w:rPr>
          <w:rFonts w:asciiTheme="majorHAnsi" w:hAnsiTheme="majorHAnsi"/>
        </w:rPr>
      </w:pPr>
      <w:r w:rsidRPr="007B3FE4">
        <w:rPr>
          <w:rFonts w:asciiTheme="majorHAnsi" w:hAnsiTheme="majorHAnsi"/>
        </w:rPr>
        <w:t>L</w:t>
      </w:r>
      <w:r w:rsidR="00D332FD" w:rsidRPr="007B3FE4">
        <w:rPr>
          <w:rFonts w:asciiTheme="majorHAnsi" w:hAnsiTheme="majorHAnsi"/>
        </w:rPr>
        <w:t>e Conseil des ministres a octroyé</w:t>
      </w:r>
      <w:r w:rsidR="00D332FD" w:rsidRPr="007B3FE4">
        <w:rPr>
          <w:rFonts w:asciiTheme="majorHAnsi" w:eastAsia="Arial Unicode MS" w:hAnsiTheme="majorHAnsi" w:cs="Arial Unicode MS"/>
        </w:rPr>
        <w:t xml:space="preserve"> une subvention </w:t>
      </w:r>
      <w:r w:rsidRPr="007B3FE4">
        <w:rPr>
          <w:rFonts w:asciiTheme="majorHAnsi" w:eastAsia="Arial Unicode MS" w:hAnsiTheme="majorHAnsi" w:cs="Arial Unicode MS"/>
        </w:rPr>
        <w:t xml:space="preserve">d’investissement, </w:t>
      </w:r>
      <w:r w:rsidR="00D332FD" w:rsidRPr="007B3FE4">
        <w:rPr>
          <w:rFonts w:asciiTheme="majorHAnsi" w:eastAsia="Arial Unicode MS" w:hAnsiTheme="majorHAnsi" w:cs="Arial Unicode MS"/>
        </w:rPr>
        <w:t xml:space="preserve">d’un montant de </w:t>
      </w:r>
      <w:r w:rsidRPr="007B3FE4">
        <w:rPr>
          <w:rFonts w:asciiTheme="majorHAnsi" w:hAnsiTheme="majorHAnsi"/>
        </w:rPr>
        <w:t xml:space="preserve">83 000 000 </w:t>
      </w:r>
      <w:proofErr w:type="spellStart"/>
      <w:r w:rsidRPr="007B3FE4">
        <w:rPr>
          <w:rFonts w:asciiTheme="majorHAnsi" w:hAnsiTheme="majorHAnsi"/>
        </w:rPr>
        <w:t>Fcfp</w:t>
      </w:r>
      <w:proofErr w:type="spellEnd"/>
      <w:r w:rsidRPr="007B3FE4">
        <w:rPr>
          <w:rFonts w:asciiTheme="majorHAnsi" w:hAnsiTheme="majorHAnsi"/>
        </w:rPr>
        <w:t xml:space="preserve"> HT pour l’acquisition de matériels </w:t>
      </w:r>
      <w:r w:rsidR="006C3B44">
        <w:rPr>
          <w:rFonts w:asciiTheme="majorHAnsi" w:hAnsiTheme="majorHAnsi"/>
        </w:rPr>
        <w:t>pour le</w:t>
      </w:r>
      <w:r w:rsidRPr="007B3FE4">
        <w:rPr>
          <w:rFonts w:asciiTheme="majorHAnsi" w:hAnsiTheme="majorHAnsi"/>
        </w:rPr>
        <w:t xml:space="preserve"> laboratoire d’</w:t>
      </w:r>
      <w:proofErr w:type="spellStart"/>
      <w:r w:rsidRPr="007B3FE4">
        <w:rPr>
          <w:rFonts w:asciiTheme="majorHAnsi" w:hAnsiTheme="majorHAnsi"/>
        </w:rPr>
        <w:t>anatomo</w:t>
      </w:r>
      <w:proofErr w:type="spellEnd"/>
      <w:r w:rsidRPr="007B3FE4">
        <w:rPr>
          <w:rFonts w:asciiTheme="majorHAnsi" w:hAnsiTheme="majorHAnsi"/>
        </w:rPr>
        <w:t>-cytopathologie dans le cadre du développement de la filière de prise en charge du patient atteint de cancer en</w:t>
      </w:r>
      <w:r w:rsidR="006C3B44">
        <w:rPr>
          <w:rFonts w:asciiTheme="majorHAnsi" w:hAnsiTheme="majorHAnsi"/>
        </w:rPr>
        <w:t xml:space="preserve"> Polynésie française</w:t>
      </w:r>
      <w:r w:rsidRPr="007B3FE4">
        <w:rPr>
          <w:rFonts w:asciiTheme="majorHAnsi" w:hAnsiTheme="majorHAnsi"/>
        </w:rPr>
        <w:t>.</w:t>
      </w:r>
    </w:p>
    <w:p w:rsidR="007B3FE4" w:rsidRPr="007B3FE4" w:rsidRDefault="007B3FE4" w:rsidP="006C3B44">
      <w:pPr>
        <w:pStyle w:val="-LettreTexteGEDA"/>
        <w:ind w:firstLine="0"/>
        <w:rPr>
          <w:rFonts w:asciiTheme="majorHAnsi" w:hAnsiTheme="majorHAnsi"/>
          <w:noProof w:val="0"/>
        </w:rPr>
      </w:pPr>
      <w:r w:rsidRPr="007B3FE4">
        <w:rPr>
          <w:rFonts w:asciiTheme="majorHAnsi" w:hAnsiTheme="majorHAnsi"/>
          <w:noProof w:val="0"/>
        </w:rPr>
        <w:t>La programmation pour l’exerc</w:t>
      </w:r>
      <w:r w:rsidR="006C3B44">
        <w:rPr>
          <w:rFonts w:asciiTheme="majorHAnsi" w:hAnsiTheme="majorHAnsi"/>
          <w:noProof w:val="0"/>
        </w:rPr>
        <w:t>ice 2019 de la convention Etat/P</w:t>
      </w:r>
      <w:r w:rsidRPr="007B3FE4">
        <w:rPr>
          <w:rFonts w:asciiTheme="majorHAnsi" w:hAnsiTheme="majorHAnsi"/>
          <w:noProof w:val="0"/>
        </w:rPr>
        <w:t xml:space="preserve">ays relative à l’oncologie </w:t>
      </w:r>
      <w:r w:rsidR="006C3B44">
        <w:rPr>
          <w:rFonts w:asciiTheme="majorHAnsi" w:hAnsiTheme="majorHAnsi"/>
          <w:noProof w:val="0"/>
        </w:rPr>
        <w:t>prévoit</w:t>
      </w:r>
      <w:r w:rsidRPr="007B3FE4">
        <w:rPr>
          <w:rFonts w:asciiTheme="majorHAnsi" w:hAnsiTheme="majorHAnsi"/>
          <w:noProof w:val="0"/>
        </w:rPr>
        <w:t xml:space="preserve"> ainsi l’investissement dans l’équipement des laboratoire</w:t>
      </w:r>
      <w:r w:rsidR="006C3B44">
        <w:rPr>
          <w:rFonts w:asciiTheme="majorHAnsi" w:hAnsiTheme="majorHAnsi"/>
          <w:noProof w:val="0"/>
        </w:rPr>
        <w:t>s d’</w:t>
      </w:r>
      <w:proofErr w:type="spellStart"/>
      <w:r w:rsidR="006C3B44">
        <w:rPr>
          <w:rFonts w:asciiTheme="majorHAnsi" w:hAnsiTheme="majorHAnsi"/>
          <w:noProof w:val="0"/>
        </w:rPr>
        <w:t>anatomo</w:t>
      </w:r>
      <w:proofErr w:type="spellEnd"/>
      <w:r w:rsidR="006C3B44">
        <w:rPr>
          <w:rFonts w:asciiTheme="majorHAnsi" w:hAnsiTheme="majorHAnsi"/>
          <w:noProof w:val="0"/>
        </w:rPr>
        <w:t>-cytopathologie, avec l</w:t>
      </w:r>
      <w:r w:rsidRPr="007B3FE4">
        <w:rPr>
          <w:rFonts w:asciiTheme="majorHAnsi" w:hAnsiTheme="majorHAnsi"/>
          <w:noProof w:val="0"/>
        </w:rPr>
        <w:t>a mise en place de la cytologie mon</w:t>
      </w:r>
      <w:r w:rsidR="006C3B44">
        <w:rPr>
          <w:rFonts w:asciiTheme="majorHAnsi" w:hAnsiTheme="majorHAnsi"/>
          <w:noProof w:val="0"/>
        </w:rPr>
        <w:t>ocouche en Polynésie française et l</w:t>
      </w:r>
      <w:r w:rsidRPr="007B3FE4">
        <w:rPr>
          <w:rFonts w:asciiTheme="majorHAnsi" w:hAnsiTheme="majorHAnsi"/>
          <w:noProof w:val="0"/>
        </w:rPr>
        <w:t>e regroupement et la remise à niveau du laboratoire d’anatomopathologie.</w:t>
      </w:r>
    </w:p>
    <w:p w:rsidR="00F6507B" w:rsidRDefault="00F6507B" w:rsidP="00E55B39">
      <w:pPr>
        <w:pStyle w:val="-LettreTexteGEDA"/>
        <w:ind w:firstLine="0"/>
        <w:rPr>
          <w:noProof w:val="0"/>
        </w:rPr>
      </w:pPr>
    </w:p>
    <w:p w:rsidR="00D332FD" w:rsidRPr="00F6507B" w:rsidRDefault="00F6507B" w:rsidP="00E55B39">
      <w:pPr>
        <w:pStyle w:val="-LettreTexteGEDA"/>
        <w:ind w:firstLine="0"/>
        <w:rPr>
          <w:rFonts w:asciiTheme="majorHAnsi" w:hAnsiTheme="majorHAnsi"/>
          <w:b/>
          <w:szCs w:val="24"/>
        </w:rPr>
      </w:pPr>
      <w:r w:rsidRPr="00F6507B">
        <w:rPr>
          <w:rFonts w:asciiTheme="majorHAnsi" w:hAnsiTheme="majorHAnsi"/>
          <w:b/>
          <w:szCs w:val="24"/>
        </w:rPr>
        <w:t>Nombre de places ouvertes pour la formation préparant au diplôme d’État infirmier de la session 2020</w:t>
      </w:r>
    </w:p>
    <w:p w:rsidR="007E5D80" w:rsidRPr="006C3B44" w:rsidRDefault="004419CA" w:rsidP="004419CA">
      <w:pPr>
        <w:pStyle w:val="-LettreTexteGEDA"/>
        <w:spacing w:before="480"/>
        <w:ind w:firstLine="0"/>
        <w:rPr>
          <w:rFonts w:ascii="Cambria" w:hAnsi="Cambria"/>
          <w:noProof w:val="0"/>
        </w:rPr>
      </w:pPr>
      <w:r w:rsidRPr="006C3B44">
        <w:rPr>
          <w:rFonts w:ascii="Cambria" w:hAnsi="Cambria"/>
          <w:noProof w:val="0"/>
        </w:rPr>
        <w:t xml:space="preserve">La Direction de la Santé, au travers de l’Institut de Formation des Professions de Santé « Mathilde </w:t>
      </w:r>
      <w:proofErr w:type="spellStart"/>
      <w:r w:rsidRPr="006C3B44">
        <w:rPr>
          <w:rFonts w:ascii="Cambria" w:hAnsi="Cambria"/>
          <w:noProof w:val="0"/>
        </w:rPr>
        <w:t>F</w:t>
      </w:r>
      <w:r w:rsidR="006C3B44" w:rsidRPr="006C3B44">
        <w:rPr>
          <w:rFonts w:ascii="Cambria" w:hAnsi="Cambria"/>
          <w:noProof w:val="0"/>
        </w:rPr>
        <w:t>rébault</w:t>
      </w:r>
      <w:proofErr w:type="spellEnd"/>
      <w:r w:rsidRPr="006C3B44">
        <w:rPr>
          <w:rFonts w:ascii="Cambria" w:hAnsi="Cambria"/>
          <w:noProof w:val="0"/>
        </w:rPr>
        <w:t> » organise chaque année l’entrée en formation en soins infirmiers délivrant le diplôme d’État d’infirmier et le grade de licence, inscrit dans le dispositif Licence-Master-Doctorat.</w:t>
      </w:r>
    </w:p>
    <w:p w:rsidR="004419CA" w:rsidRPr="006C3B44" w:rsidRDefault="000C55DA" w:rsidP="004419CA">
      <w:pPr>
        <w:pStyle w:val="-LettreTexteGEDA"/>
        <w:ind w:firstLine="0"/>
        <w:rPr>
          <w:rFonts w:ascii="Cambria" w:hAnsi="Cambria"/>
          <w:noProof w:val="0"/>
        </w:rPr>
      </w:pPr>
      <w:r w:rsidRPr="006C3B44">
        <w:rPr>
          <w:rFonts w:ascii="Cambria" w:hAnsi="Cambria"/>
          <w:szCs w:val="24"/>
        </w:rPr>
        <w:lastRenderedPageBreak/>
        <w:t>L</w:t>
      </w:r>
      <w:r w:rsidR="003B6AC5">
        <w:rPr>
          <w:rFonts w:ascii="Cambria" w:hAnsi="Cambria"/>
          <w:szCs w:val="24"/>
        </w:rPr>
        <w:t>e</w:t>
      </w:r>
      <w:r w:rsidRPr="006C3B44">
        <w:rPr>
          <w:rFonts w:ascii="Cambria" w:hAnsi="Cambria"/>
          <w:szCs w:val="24"/>
        </w:rPr>
        <w:t xml:space="preserve"> ministre de </w:t>
      </w:r>
      <w:r w:rsidR="004419CA" w:rsidRPr="006C3B44">
        <w:rPr>
          <w:rFonts w:ascii="Cambria" w:hAnsi="Cambria"/>
          <w:szCs w:val="24"/>
        </w:rPr>
        <w:t>la Santé</w:t>
      </w:r>
      <w:r w:rsidRPr="006C3B44">
        <w:rPr>
          <w:rFonts w:ascii="Cambria" w:hAnsi="Cambria"/>
          <w:szCs w:val="24"/>
        </w:rPr>
        <w:t xml:space="preserve"> a </w:t>
      </w:r>
      <w:r w:rsidR="004419CA" w:rsidRPr="006C3B44">
        <w:rPr>
          <w:rFonts w:ascii="Cambria" w:hAnsi="Cambria"/>
          <w:szCs w:val="24"/>
        </w:rPr>
        <w:t>proposé</w:t>
      </w:r>
      <w:r w:rsidRPr="006C3B44">
        <w:rPr>
          <w:rFonts w:ascii="Cambria" w:hAnsi="Cambria"/>
          <w:szCs w:val="24"/>
        </w:rPr>
        <w:t xml:space="preserve"> au Conseil des ministre</w:t>
      </w:r>
      <w:r w:rsidR="006C3B44" w:rsidRPr="006C3B44">
        <w:rPr>
          <w:rFonts w:ascii="Cambria" w:hAnsi="Cambria"/>
          <w:szCs w:val="24"/>
        </w:rPr>
        <w:t>s</w:t>
      </w:r>
      <w:r w:rsidRPr="006C3B44">
        <w:rPr>
          <w:rFonts w:ascii="Cambria" w:hAnsi="Cambria"/>
          <w:szCs w:val="24"/>
        </w:rPr>
        <w:t xml:space="preserve"> </w:t>
      </w:r>
      <w:r w:rsidR="004419CA" w:rsidRPr="006C3B44">
        <w:rPr>
          <w:rFonts w:ascii="Cambria" w:hAnsi="Cambria"/>
          <w:szCs w:val="24"/>
        </w:rPr>
        <w:t>d’arrêter à quinze</w:t>
      </w:r>
      <w:r w:rsidR="004419CA" w:rsidRPr="006C3B44">
        <w:rPr>
          <w:rFonts w:ascii="Cambria" w:hAnsi="Cambria"/>
        </w:rPr>
        <w:t xml:space="preserve"> </w:t>
      </w:r>
      <w:r w:rsidR="004419CA" w:rsidRPr="006C3B44">
        <w:rPr>
          <w:rFonts w:ascii="Cambria" w:hAnsi="Cambria"/>
          <w:noProof w:val="0"/>
        </w:rPr>
        <w:t>le quota de places</w:t>
      </w:r>
      <w:r w:rsidR="006C3B44" w:rsidRPr="006C3B44">
        <w:rPr>
          <w:rFonts w:ascii="Cambria" w:hAnsi="Cambria"/>
          <w:noProof w:val="0"/>
        </w:rPr>
        <w:t>,</w:t>
      </w:r>
      <w:r w:rsidR="004419CA" w:rsidRPr="006C3B44">
        <w:rPr>
          <w:rFonts w:ascii="Cambria" w:hAnsi="Cambria"/>
          <w:noProof w:val="0"/>
        </w:rPr>
        <w:t xml:space="preserve"> au titre de la session 2020, réparti conformément aux textes régis</w:t>
      </w:r>
      <w:r w:rsidR="006C3B44" w:rsidRPr="006C3B44">
        <w:rPr>
          <w:rFonts w:ascii="Cambria" w:hAnsi="Cambria"/>
          <w:noProof w:val="0"/>
        </w:rPr>
        <w:t>sant la profession d’infirmier, à savoir</w:t>
      </w:r>
      <w:r w:rsidR="006C3B44">
        <w:rPr>
          <w:rFonts w:ascii="Cambria" w:hAnsi="Cambria"/>
          <w:noProof w:val="0"/>
        </w:rPr>
        <w:t> :</w:t>
      </w:r>
      <w:r w:rsidR="006C3B44" w:rsidRPr="006C3B44">
        <w:rPr>
          <w:rFonts w:ascii="Cambria" w:hAnsi="Cambria"/>
          <w:noProof w:val="0"/>
        </w:rPr>
        <w:t xml:space="preserve"> </w:t>
      </w:r>
    </w:p>
    <w:p w:rsidR="004419CA" w:rsidRPr="006C3B44" w:rsidRDefault="004419CA" w:rsidP="004419CA">
      <w:pPr>
        <w:pStyle w:val="-LettreTexteGEDA"/>
        <w:numPr>
          <w:ilvl w:val="0"/>
          <w:numId w:val="16"/>
        </w:numPr>
        <w:ind w:left="1134" w:hanging="283"/>
        <w:rPr>
          <w:rFonts w:ascii="Cambria" w:hAnsi="Cambria"/>
          <w:noProof w:val="0"/>
        </w:rPr>
      </w:pPr>
      <w:r w:rsidRPr="006C3B44">
        <w:rPr>
          <w:rFonts w:ascii="Cambria" w:hAnsi="Cambria"/>
          <w:noProof w:val="0"/>
        </w:rPr>
        <w:t>73% minimum</w:t>
      </w:r>
      <w:r w:rsidR="006C3B44" w:rsidRPr="006C3B44">
        <w:rPr>
          <w:rFonts w:ascii="Cambria" w:hAnsi="Cambria"/>
          <w:noProof w:val="0"/>
        </w:rPr>
        <w:t>,</w:t>
      </w:r>
      <w:r w:rsidRPr="006C3B44">
        <w:rPr>
          <w:rFonts w:ascii="Cambria" w:hAnsi="Cambria"/>
          <w:noProof w:val="0"/>
        </w:rPr>
        <w:t xml:space="preserve"> soit 11 places dont 1 report de l’année 2019, réservées aux candidats admis sur la liste des candidats titulaires du baccalauréat ou de l’équivalence de ce diplôme (liste 1) ;</w:t>
      </w:r>
    </w:p>
    <w:p w:rsidR="006C3B44" w:rsidRPr="006C3B44" w:rsidRDefault="004419CA" w:rsidP="004419CA">
      <w:pPr>
        <w:pStyle w:val="-LettreTexteGEDA"/>
        <w:numPr>
          <w:ilvl w:val="0"/>
          <w:numId w:val="16"/>
        </w:numPr>
        <w:overflowPunct/>
        <w:textAlignment w:val="auto"/>
        <w:rPr>
          <w:rFonts w:ascii="Cambria" w:hAnsi="Cambria"/>
          <w:noProof w:val="0"/>
        </w:rPr>
      </w:pPr>
      <w:r w:rsidRPr="006C3B44">
        <w:rPr>
          <w:rFonts w:ascii="Cambria" w:hAnsi="Cambria"/>
          <w:noProof w:val="0"/>
        </w:rPr>
        <w:t>27% maximum report inclus</w:t>
      </w:r>
      <w:r w:rsidR="006C3B44" w:rsidRPr="006C3B44">
        <w:rPr>
          <w:rFonts w:ascii="Cambria" w:hAnsi="Cambria"/>
          <w:noProof w:val="0"/>
        </w:rPr>
        <w:t>,</w:t>
      </w:r>
      <w:r w:rsidRPr="006C3B44">
        <w:rPr>
          <w:rFonts w:ascii="Cambria" w:hAnsi="Cambria"/>
          <w:noProof w:val="0"/>
        </w:rPr>
        <w:t xml:space="preserve"> soit 4 places</w:t>
      </w:r>
      <w:r w:rsidR="006C3B44" w:rsidRPr="006C3B44">
        <w:rPr>
          <w:rFonts w:ascii="Cambria" w:hAnsi="Cambria"/>
          <w:noProof w:val="0"/>
        </w:rPr>
        <w:t>,</w:t>
      </w:r>
      <w:r w:rsidRPr="006C3B44">
        <w:rPr>
          <w:rFonts w:ascii="Cambria" w:hAnsi="Cambria"/>
          <w:noProof w:val="0"/>
        </w:rPr>
        <w:t xml:space="preserve"> réservées aux candidats relevant de la formation professionnelle continue qui justifie</w:t>
      </w:r>
      <w:r w:rsidR="006C3B44" w:rsidRPr="006C3B44">
        <w:rPr>
          <w:rFonts w:ascii="Cambria" w:hAnsi="Cambria"/>
          <w:noProof w:val="0"/>
        </w:rPr>
        <w:t>nt</w:t>
      </w:r>
      <w:r w:rsidRPr="006C3B44">
        <w:rPr>
          <w:rFonts w:ascii="Cambria" w:hAnsi="Cambria"/>
          <w:noProof w:val="0"/>
        </w:rPr>
        <w:t xml:space="preserve"> d’une durée minimum de trois ans de cotisation à un régime de protection sociale à la date du dépôt du dossier.  </w:t>
      </w:r>
    </w:p>
    <w:p w:rsidR="0069242B" w:rsidRDefault="0069242B" w:rsidP="0069242B">
      <w:pPr>
        <w:pStyle w:val="-LettreTexteGEDA"/>
        <w:ind w:firstLine="0"/>
        <w:rPr>
          <w:rFonts w:ascii="Cambria" w:hAnsi="Cambria"/>
          <w:noProof w:val="0"/>
        </w:rPr>
      </w:pPr>
    </w:p>
    <w:p w:rsidR="0069242B" w:rsidRPr="00D7791F" w:rsidRDefault="0069242B" w:rsidP="0069242B">
      <w:pPr>
        <w:pStyle w:val="-LettreTexteGEDA"/>
        <w:ind w:firstLine="0"/>
        <w:rPr>
          <w:rFonts w:asciiTheme="majorHAnsi" w:hAnsiTheme="majorHAnsi"/>
          <w:b/>
          <w:szCs w:val="24"/>
        </w:rPr>
      </w:pPr>
      <w:r w:rsidRPr="00D7791F">
        <w:rPr>
          <w:rFonts w:asciiTheme="majorHAnsi" w:hAnsiTheme="majorHAnsi"/>
          <w:b/>
          <w:szCs w:val="24"/>
        </w:rPr>
        <w:t>Création du certificat professionnel polynésien d’accompagnateur d’activités physiques de pleine nature </w:t>
      </w:r>
    </w:p>
    <w:p w:rsidR="0069242B" w:rsidRPr="00D7791F" w:rsidRDefault="0069242B" w:rsidP="0069242B">
      <w:pPr>
        <w:pStyle w:val="-LettreTexteGEDA"/>
        <w:ind w:firstLine="0"/>
        <w:rPr>
          <w:rFonts w:asciiTheme="majorHAnsi" w:hAnsiTheme="majorHAnsi"/>
          <w:szCs w:val="24"/>
        </w:rPr>
      </w:pPr>
    </w:p>
    <w:p w:rsidR="0069242B" w:rsidRPr="00D7791F" w:rsidRDefault="0069242B" w:rsidP="0069242B">
      <w:pPr>
        <w:pStyle w:val="-LettreTexteGEDA"/>
        <w:overflowPunct/>
        <w:ind w:firstLine="0"/>
        <w:textAlignment w:val="auto"/>
        <w:rPr>
          <w:rFonts w:asciiTheme="majorHAnsi" w:hAnsiTheme="majorHAnsi"/>
          <w:szCs w:val="24"/>
        </w:rPr>
      </w:pPr>
      <w:r w:rsidRPr="00D7791F">
        <w:rPr>
          <w:rFonts w:asciiTheme="majorHAnsi" w:hAnsiTheme="majorHAnsi"/>
          <w:szCs w:val="24"/>
        </w:rPr>
        <w:t>La ministre de l’Education, de la jeunesse et des sports</w:t>
      </w:r>
      <w:r>
        <w:rPr>
          <w:rFonts w:asciiTheme="majorHAnsi" w:hAnsiTheme="majorHAnsi"/>
          <w:szCs w:val="24"/>
        </w:rPr>
        <w:t>,</w:t>
      </w:r>
      <w:r w:rsidRPr="00D7791F">
        <w:rPr>
          <w:rFonts w:asciiTheme="majorHAnsi" w:hAnsiTheme="majorHAnsi"/>
          <w:szCs w:val="24"/>
        </w:rPr>
        <w:t xml:space="preserve"> a présenté au Conseil des ministre un projet d’arrêté portant sur la création et l’organisation du </w:t>
      </w:r>
      <w:r w:rsidRPr="00D7791F">
        <w:rPr>
          <w:rFonts w:asciiTheme="majorHAnsi" w:hAnsiTheme="majorHAnsi"/>
          <w:i/>
          <w:szCs w:val="24"/>
        </w:rPr>
        <w:t>«certificat professionnel polynésien d’accompagnateur d’activités physiques de pleine nature »</w:t>
      </w:r>
      <w:r w:rsidRPr="00D7791F">
        <w:rPr>
          <w:rFonts w:asciiTheme="majorHAnsi" w:hAnsiTheme="majorHAnsi"/>
          <w:szCs w:val="24"/>
        </w:rPr>
        <w:t xml:space="preserve">, ou C.P.P.A. A.P.P.N. Le certificat est positionné au niveau V, correspondant au brevet d’études professionnelles. </w:t>
      </w:r>
    </w:p>
    <w:p w:rsidR="0069242B" w:rsidRPr="00D7791F" w:rsidRDefault="0069242B" w:rsidP="0069242B">
      <w:pPr>
        <w:pStyle w:val="-LettreTexteGEDA"/>
        <w:overflowPunct/>
        <w:ind w:firstLine="0"/>
        <w:textAlignment w:val="auto"/>
        <w:rPr>
          <w:rFonts w:asciiTheme="majorHAnsi" w:hAnsiTheme="majorHAnsi"/>
          <w:szCs w:val="24"/>
        </w:rPr>
      </w:pPr>
      <w:r w:rsidRPr="00D7791F">
        <w:rPr>
          <w:rFonts w:asciiTheme="majorHAnsi" w:hAnsiTheme="majorHAnsi"/>
          <w:szCs w:val="24"/>
        </w:rPr>
        <w:t xml:space="preserve">Il confère à son titulaire </w:t>
      </w:r>
      <w:r w:rsidRPr="00D7791F">
        <w:rPr>
          <w:rFonts w:asciiTheme="majorHAnsi" w:hAnsiTheme="majorHAnsi"/>
        </w:rPr>
        <w:t xml:space="preserve">l’aptitude et la qualification générale à encadrer, auprès de tout public, en autonomie et à titre professionnel, </w:t>
      </w:r>
      <w:r w:rsidRPr="00D7791F">
        <w:rPr>
          <w:rFonts w:asciiTheme="majorHAnsi" w:hAnsiTheme="majorHAnsi"/>
          <w:szCs w:val="24"/>
        </w:rPr>
        <w:t xml:space="preserve">une activité </w:t>
      </w:r>
      <w:r w:rsidRPr="00D7791F">
        <w:rPr>
          <w:rFonts w:asciiTheme="majorHAnsi" w:hAnsiTheme="majorHAnsi"/>
        </w:rPr>
        <w:t xml:space="preserve">physique de pleine nature, dans un objectif </w:t>
      </w:r>
      <w:r w:rsidRPr="00D7791F">
        <w:rPr>
          <w:rFonts w:asciiTheme="majorHAnsi" w:hAnsiTheme="majorHAnsi"/>
          <w:szCs w:val="24"/>
        </w:rPr>
        <w:t>de découverte et de loisir, en veillant à la sécurité des pratiquants et des tiers, et dans le respect des réglementations en vigueur.</w:t>
      </w:r>
    </w:p>
    <w:p w:rsidR="0069242B" w:rsidRPr="00D7791F" w:rsidRDefault="0069242B" w:rsidP="0069242B">
      <w:pPr>
        <w:pStyle w:val="-LettreTexteGEDA"/>
        <w:overflowPunct/>
        <w:ind w:firstLine="0"/>
        <w:textAlignment w:val="auto"/>
        <w:rPr>
          <w:rFonts w:asciiTheme="majorHAnsi" w:hAnsiTheme="majorHAnsi"/>
        </w:rPr>
      </w:pPr>
      <w:r w:rsidRPr="00D7791F">
        <w:rPr>
          <w:rFonts w:asciiTheme="majorHAnsi" w:hAnsiTheme="majorHAnsi"/>
        </w:rPr>
        <w:t xml:space="preserve">Le métier identifié, décrit dans le référentiel professionnel, est celui </w:t>
      </w:r>
      <w:r w:rsidRPr="00D7791F">
        <w:rPr>
          <w:rFonts w:asciiTheme="majorHAnsi" w:hAnsiTheme="majorHAnsi"/>
          <w:i/>
        </w:rPr>
        <w:t>« d’accompagnateur »</w:t>
      </w:r>
      <w:r w:rsidRPr="00D7791F">
        <w:rPr>
          <w:rFonts w:asciiTheme="majorHAnsi" w:hAnsiTheme="majorHAnsi"/>
        </w:rPr>
        <w:t xml:space="preserve"> et non </w:t>
      </w:r>
      <w:r w:rsidRPr="00D7791F">
        <w:rPr>
          <w:rFonts w:asciiTheme="majorHAnsi" w:hAnsiTheme="majorHAnsi"/>
          <w:i/>
        </w:rPr>
        <w:t>« de guide »</w:t>
      </w:r>
      <w:r w:rsidRPr="00D7791F">
        <w:rPr>
          <w:rFonts w:asciiTheme="majorHAnsi" w:hAnsiTheme="majorHAnsi"/>
        </w:rPr>
        <w:t xml:space="preserve"> ; </w:t>
      </w:r>
      <w:r w:rsidRPr="00D7791F">
        <w:rPr>
          <w:rFonts w:asciiTheme="majorHAnsi" w:hAnsiTheme="majorHAnsi"/>
          <w:szCs w:val="24"/>
        </w:rPr>
        <w:t xml:space="preserve">en effet, le C.P.P.A. A.P.P.N. se distingue du </w:t>
      </w:r>
      <w:r w:rsidRPr="00D7791F">
        <w:rPr>
          <w:rFonts w:asciiTheme="majorHAnsi" w:hAnsiTheme="majorHAnsi"/>
        </w:rPr>
        <w:t xml:space="preserve">B.P.P. G.A.P.P.N. </w:t>
      </w:r>
      <w:r w:rsidRPr="00D7791F">
        <w:rPr>
          <w:rFonts w:asciiTheme="majorHAnsi" w:hAnsiTheme="majorHAnsi"/>
          <w:szCs w:val="24"/>
        </w:rPr>
        <w:t>par son approche centrée exclusivement sur l’aspect sécuritaire de l’activité, et non la découverte de l'environnement, la promotion de la culture polynésienne et la gestion de l’activité</w:t>
      </w:r>
      <w:r w:rsidRPr="00D7791F">
        <w:rPr>
          <w:rFonts w:asciiTheme="majorHAnsi" w:hAnsiTheme="majorHAnsi"/>
        </w:rPr>
        <w:t>.</w:t>
      </w:r>
    </w:p>
    <w:p w:rsidR="0069242B" w:rsidRPr="00D7791F" w:rsidRDefault="0069242B" w:rsidP="0069242B">
      <w:pPr>
        <w:pStyle w:val="-LettreTexteGEDA"/>
        <w:ind w:firstLine="0"/>
        <w:rPr>
          <w:rFonts w:asciiTheme="majorHAnsi" w:hAnsiTheme="majorHAnsi"/>
          <w:szCs w:val="24"/>
        </w:rPr>
      </w:pPr>
      <w:r w:rsidRPr="00D7791F">
        <w:rPr>
          <w:rFonts w:asciiTheme="majorHAnsi" w:hAnsiTheme="majorHAnsi"/>
          <w:szCs w:val="24"/>
        </w:rPr>
        <w:t xml:space="preserve">Le diplôme s’obtient par la voie de la formation ou de la validation des acquis de l’expérience, </w:t>
      </w:r>
      <w:r w:rsidRPr="00D7791F">
        <w:rPr>
          <w:rFonts w:asciiTheme="majorHAnsi" w:hAnsiTheme="majorHAnsi"/>
        </w:rPr>
        <w:t xml:space="preserve">par capitalisation de 3 unités de compétences. L’analyse du métier démontre, en effet, </w:t>
      </w:r>
      <w:r>
        <w:rPr>
          <w:rFonts w:asciiTheme="majorHAnsi" w:hAnsiTheme="majorHAnsi"/>
        </w:rPr>
        <w:t>que des</w:t>
      </w:r>
      <w:r w:rsidRPr="00D7791F">
        <w:rPr>
          <w:rFonts w:asciiTheme="majorHAnsi" w:hAnsiTheme="majorHAnsi"/>
        </w:rPr>
        <w:t xml:space="preserve"> compétences génériques identiques</w:t>
      </w:r>
      <w:r>
        <w:rPr>
          <w:rFonts w:asciiTheme="majorHAnsi" w:hAnsiTheme="majorHAnsi"/>
        </w:rPr>
        <w:t xml:space="preserve"> sont nécessaires</w:t>
      </w:r>
      <w:r w:rsidRPr="00D7791F">
        <w:rPr>
          <w:rFonts w:asciiTheme="majorHAnsi" w:hAnsiTheme="majorHAnsi"/>
        </w:rPr>
        <w:t>, quelle que soit l’activité.</w:t>
      </w:r>
    </w:p>
    <w:p w:rsidR="0069242B" w:rsidRPr="00AF07FB" w:rsidRDefault="0069242B" w:rsidP="0069242B">
      <w:pPr>
        <w:pStyle w:val="-LettreTexteGEDA"/>
        <w:overflowPunct/>
        <w:ind w:firstLine="0"/>
        <w:textAlignment w:val="auto"/>
        <w:rPr>
          <w:rFonts w:asciiTheme="majorHAnsi" w:eastAsia="Arial Unicode MS" w:hAnsiTheme="majorHAnsi"/>
          <w:szCs w:val="24"/>
        </w:rPr>
      </w:pPr>
      <w:r w:rsidRPr="00D7791F">
        <w:rPr>
          <w:rFonts w:asciiTheme="majorHAnsi" w:eastAsia="Arial Unicode MS" w:hAnsiTheme="majorHAnsi"/>
          <w:szCs w:val="24"/>
        </w:rPr>
        <w:t>Le volume horaire minimal de formation est de 180 heures, soit six semaines, comprenant</w:t>
      </w:r>
      <w:r w:rsidRPr="00D7791F">
        <w:rPr>
          <w:rFonts w:asciiTheme="majorHAnsi" w:hAnsiTheme="majorHAnsi"/>
          <w:szCs w:val="24"/>
        </w:rPr>
        <w:t xml:space="preserve"> des</w:t>
      </w:r>
      <w:r w:rsidRPr="00D7791F">
        <w:rPr>
          <w:rFonts w:asciiTheme="majorHAnsi" w:eastAsia="Arial Unicode MS" w:hAnsiTheme="majorHAnsi"/>
          <w:szCs w:val="24"/>
        </w:rPr>
        <w:t xml:space="preserve"> mises en situation d’encadrement de publics.</w:t>
      </w:r>
      <w:r>
        <w:rPr>
          <w:rFonts w:asciiTheme="majorHAnsi" w:eastAsia="Arial Unicode MS" w:hAnsiTheme="majorHAnsi"/>
          <w:szCs w:val="24"/>
        </w:rPr>
        <w:t xml:space="preserve"> D</w:t>
      </w:r>
      <w:r w:rsidRPr="00D7791F">
        <w:rPr>
          <w:rFonts w:asciiTheme="majorHAnsi" w:hAnsiTheme="majorHAnsi"/>
          <w:szCs w:val="24"/>
        </w:rPr>
        <w:t xml:space="preserve">es épreuves de certification des unités de compétences sont </w:t>
      </w:r>
      <w:r>
        <w:rPr>
          <w:rFonts w:asciiTheme="majorHAnsi" w:hAnsiTheme="majorHAnsi"/>
          <w:szCs w:val="24"/>
        </w:rPr>
        <w:t>prévues,</w:t>
      </w:r>
      <w:r w:rsidRPr="00D7791F">
        <w:rPr>
          <w:rFonts w:asciiTheme="majorHAnsi" w:hAnsiTheme="majorHAnsi"/>
          <w:szCs w:val="24"/>
        </w:rPr>
        <w:t xml:space="preserve"> via </w:t>
      </w:r>
      <w:r>
        <w:rPr>
          <w:rFonts w:asciiTheme="majorHAnsi" w:hAnsiTheme="majorHAnsi"/>
          <w:szCs w:val="24"/>
        </w:rPr>
        <w:t>deux</w:t>
      </w:r>
      <w:r w:rsidRPr="00D7791F">
        <w:rPr>
          <w:rFonts w:asciiTheme="majorHAnsi" w:hAnsiTheme="majorHAnsi"/>
          <w:szCs w:val="24"/>
        </w:rPr>
        <w:t xml:space="preserve"> épreuves :</w:t>
      </w:r>
      <w:r>
        <w:rPr>
          <w:rFonts w:asciiTheme="majorHAnsi" w:eastAsia="Arial Unicode MS" w:hAnsiTheme="majorHAnsi"/>
          <w:szCs w:val="24"/>
        </w:rPr>
        <w:t xml:space="preserve"> </w:t>
      </w:r>
      <w:r w:rsidRPr="00D7791F">
        <w:rPr>
          <w:rFonts w:asciiTheme="majorHAnsi" w:hAnsiTheme="majorHAnsi"/>
          <w:szCs w:val="24"/>
        </w:rPr>
        <w:t>une mise en situation d’encadrement d’un public dans l’activité, suivie d’un e</w:t>
      </w:r>
      <w:r>
        <w:rPr>
          <w:rFonts w:asciiTheme="majorHAnsi" w:hAnsiTheme="majorHAnsi"/>
          <w:szCs w:val="24"/>
        </w:rPr>
        <w:t xml:space="preserve">ntretien et </w:t>
      </w:r>
      <w:r w:rsidRPr="00D7791F">
        <w:rPr>
          <w:rFonts w:asciiTheme="majorHAnsi" w:hAnsiTheme="majorHAnsi"/>
          <w:szCs w:val="24"/>
        </w:rPr>
        <w:t>un test de vérification des conn</w:t>
      </w:r>
      <w:r>
        <w:rPr>
          <w:rFonts w:asciiTheme="majorHAnsi" w:hAnsiTheme="majorHAnsi"/>
          <w:szCs w:val="24"/>
        </w:rPr>
        <w:t xml:space="preserve">aissances et un test technique, </w:t>
      </w:r>
      <w:r w:rsidRPr="00D7791F">
        <w:rPr>
          <w:rFonts w:asciiTheme="majorHAnsi" w:hAnsiTheme="majorHAnsi"/>
          <w:szCs w:val="24"/>
        </w:rPr>
        <w:t>comprenant une mise en situation de secours adaptée à l’activité.</w:t>
      </w:r>
    </w:p>
    <w:p w:rsidR="0069242B" w:rsidRPr="00AF07FB" w:rsidRDefault="0069242B" w:rsidP="0069242B">
      <w:pPr>
        <w:pStyle w:val="-LettreTexteGEDA"/>
        <w:overflowPunct/>
        <w:ind w:firstLine="0"/>
        <w:rPr>
          <w:rFonts w:asciiTheme="majorHAnsi" w:hAnsiTheme="majorHAnsi"/>
          <w:szCs w:val="24"/>
        </w:rPr>
      </w:pPr>
      <w:r w:rsidRPr="00D7791F">
        <w:rPr>
          <w:rFonts w:asciiTheme="majorHAnsi" w:hAnsiTheme="majorHAnsi"/>
          <w:szCs w:val="24"/>
        </w:rPr>
        <w:t xml:space="preserve">Cette volonté du Pays résulte de l’embellie du secteur touristique, observée depuis plusieurs mois, qui a été accompagnée par le développement de prestations d’encadrement d’activités physiques de pleine nature, et notamment les randonnées en jet ski, en quad, ou </w:t>
      </w:r>
      <w:r w:rsidRPr="00D7791F">
        <w:rPr>
          <w:rFonts w:asciiTheme="majorHAnsi" w:hAnsiTheme="majorHAnsi"/>
          <w:i/>
          <w:szCs w:val="24"/>
        </w:rPr>
        <w:t>« snorkeling »</w:t>
      </w:r>
      <w:r w:rsidRPr="00D7791F">
        <w:rPr>
          <w:rFonts w:asciiTheme="majorHAnsi" w:hAnsiTheme="majorHAnsi"/>
          <w:szCs w:val="24"/>
        </w:rPr>
        <w:t xml:space="preserve">, à la rame (kayak, stand-up paddle) et à vélo à assistance électrique. </w:t>
      </w:r>
      <w:r>
        <w:rPr>
          <w:rFonts w:asciiTheme="majorHAnsi" w:hAnsiTheme="majorHAnsi"/>
        </w:rPr>
        <w:t>Le</w:t>
      </w:r>
      <w:r w:rsidRPr="00D7791F">
        <w:rPr>
          <w:rFonts w:asciiTheme="majorHAnsi" w:hAnsiTheme="majorHAnsi"/>
        </w:rPr>
        <w:t xml:space="preserve"> développement, la qualité ainsi que la sécurité de</w:t>
      </w:r>
      <w:r>
        <w:rPr>
          <w:rFonts w:asciiTheme="majorHAnsi" w:hAnsiTheme="majorHAnsi"/>
        </w:rPr>
        <w:t xml:space="preserve"> ce</w:t>
      </w:r>
      <w:r w:rsidRPr="00D7791F">
        <w:rPr>
          <w:rFonts w:asciiTheme="majorHAnsi" w:hAnsiTheme="majorHAnsi"/>
        </w:rPr>
        <w:t xml:space="preserve">s activités physiques de pleine nature requièrent une véritable professionnalisation de l’encadrement.  </w:t>
      </w:r>
    </w:p>
    <w:p w:rsidR="0069242B" w:rsidRPr="00D332FD" w:rsidRDefault="0069242B" w:rsidP="0069242B">
      <w:pPr>
        <w:pStyle w:val="-LettreTexteGEDA"/>
        <w:overflowPunct/>
        <w:rPr>
          <w:rFonts w:ascii="Cambria" w:hAnsi="Cambria"/>
          <w:szCs w:val="24"/>
        </w:rPr>
      </w:pPr>
    </w:p>
    <w:p w:rsidR="0069242B" w:rsidRPr="00D332FD" w:rsidRDefault="0069242B" w:rsidP="0069242B">
      <w:pPr>
        <w:pStyle w:val="-LettreTexteGEDA"/>
        <w:overflowPunct/>
        <w:ind w:firstLine="0"/>
        <w:rPr>
          <w:rFonts w:ascii="Cambria" w:hAnsi="Cambria"/>
          <w:b/>
          <w:szCs w:val="24"/>
        </w:rPr>
      </w:pPr>
      <w:r w:rsidRPr="00D332FD">
        <w:rPr>
          <w:rFonts w:ascii="Cambria" w:hAnsi="Cambria"/>
          <w:b/>
          <w:noProof w:val="0"/>
        </w:rPr>
        <w:t>Subvention de fonctionnement pour le</w:t>
      </w:r>
      <w:r w:rsidRPr="00D332FD">
        <w:rPr>
          <w:rFonts w:ascii="Cambria" w:hAnsi="Cambria"/>
          <w:b/>
        </w:rPr>
        <w:t xml:space="preserve"> collège de Taravao</w:t>
      </w:r>
    </w:p>
    <w:p w:rsidR="0069242B" w:rsidRPr="00D332FD" w:rsidRDefault="0069242B" w:rsidP="0069242B">
      <w:pPr>
        <w:pStyle w:val="-LettreTexteGEDA"/>
        <w:overflowPunct/>
        <w:ind w:firstLine="0"/>
        <w:textAlignment w:val="auto"/>
        <w:rPr>
          <w:rFonts w:ascii="Cambria" w:hAnsi="Cambria"/>
          <w:szCs w:val="24"/>
        </w:rPr>
      </w:pPr>
    </w:p>
    <w:p w:rsidR="0069242B" w:rsidRPr="00D332FD" w:rsidRDefault="0069242B" w:rsidP="0069242B">
      <w:pPr>
        <w:pStyle w:val="-LettreTexteGEDA"/>
        <w:spacing w:before="0"/>
        <w:ind w:firstLine="0"/>
        <w:rPr>
          <w:rFonts w:ascii="Cambria" w:hAnsi="Cambria"/>
          <w:noProof w:val="0"/>
        </w:rPr>
      </w:pPr>
      <w:r w:rsidRPr="00D332FD">
        <w:rPr>
          <w:rFonts w:ascii="Cambria" w:hAnsi="Cambria"/>
          <w:noProof w:val="0"/>
        </w:rPr>
        <w:t>Le Conseil des ministres a octroyé une subvention de fonctionnement d’un montant de d’1 368 298 </w:t>
      </w:r>
      <w:proofErr w:type="spellStart"/>
      <w:r w:rsidRPr="00D332FD">
        <w:rPr>
          <w:rFonts w:ascii="Cambria" w:hAnsi="Cambria"/>
          <w:noProof w:val="0"/>
        </w:rPr>
        <w:t>Fcfp</w:t>
      </w:r>
      <w:proofErr w:type="spellEnd"/>
      <w:r w:rsidRPr="00D332FD">
        <w:rPr>
          <w:rFonts w:ascii="Cambria" w:hAnsi="Cambria"/>
          <w:noProof w:val="0"/>
        </w:rPr>
        <w:t xml:space="preserve"> au collège de </w:t>
      </w:r>
      <w:proofErr w:type="spellStart"/>
      <w:r w:rsidRPr="00D332FD">
        <w:rPr>
          <w:rFonts w:ascii="Cambria" w:hAnsi="Cambria"/>
          <w:noProof w:val="0"/>
        </w:rPr>
        <w:t>Taravao</w:t>
      </w:r>
      <w:proofErr w:type="spellEnd"/>
      <w:r w:rsidRPr="00D332FD">
        <w:rPr>
          <w:rFonts w:ascii="Cambria" w:hAnsi="Cambria"/>
          <w:noProof w:val="0"/>
        </w:rPr>
        <w:t>. Cette subvention doit servir à</w:t>
      </w:r>
      <w:r w:rsidRPr="00D332FD">
        <w:rPr>
          <w:rFonts w:ascii="Cambria" w:hAnsi="Cambria"/>
        </w:rPr>
        <w:t xml:space="preserve"> financer des tests de résistance et des mesures de sécurisation d'un bâtiment d'enseignement</w:t>
      </w:r>
      <w:r w:rsidRPr="00D332FD">
        <w:rPr>
          <w:rFonts w:ascii="Cambria" w:hAnsi="Cambria"/>
          <w:noProof w:val="0"/>
        </w:rPr>
        <w:t>.</w:t>
      </w:r>
    </w:p>
    <w:p w:rsidR="0069242B" w:rsidRPr="00D332FD" w:rsidRDefault="0069242B" w:rsidP="0069242B">
      <w:pPr>
        <w:pStyle w:val="-LettreTexteGEDA"/>
        <w:overflowPunct/>
        <w:ind w:firstLine="0"/>
        <w:textAlignment w:val="auto"/>
        <w:rPr>
          <w:rFonts w:ascii="Cambria" w:hAnsi="Cambria"/>
          <w:szCs w:val="24"/>
        </w:rPr>
      </w:pPr>
    </w:p>
    <w:p w:rsidR="000C55DA" w:rsidRPr="006C3B44" w:rsidRDefault="000C55DA" w:rsidP="0069242B">
      <w:pPr>
        <w:pStyle w:val="-LettreTexteGEDA"/>
        <w:overflowPunct/>
        <w:ind w:firstLine="0"/>
        <w:textAlignment w:val="auto"/>
        <w:rPr>
          <w:rFonts w:ascii="Cambria" w:hAnsi="Cambria"/>
          <w:noProof w:val="0"/>
        </w:rPr>
      </w:pPr>
    </w:p>
    <w:p w:rsidR="00264EF2" w:rsidRPr="001F2760" w:rsidRDefault="00264EF2" w:rsidP="00264EF2">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p w:rsidR="00264EF2" w:rsidRPr="001F2760" w:rsidRDefault="00264EF2" w:rsidP="006A3579">
      <w:pPr>
        <w:widowControl w:val="0"/>
        <w:autoSpaceDE w:val="0"/>
        <w:autoSpaceDN w:val="0"/>
        <w:adjustRightInd w:val="0"/>
        <w:jc w:val="center"/>
        <w:rPr>
          <w:rFonts w:ascii="Cambria" w:hAnsi="Cambria" w:cs="Century Schoolbook"/>
        </w:rPr>
      </w:pPr>
    </w:p>
    <w:p w:rsidR="008059E4" w:rsidRPr="001F2760" w:rsidRDefault="008059E4" w:rsidP="00D7791F">
      <w:pPr>
        <w:widowControl w:val="0"/>
        <w:autoSpaceDE w:val="0"/>
        <w:autoSpaceDN w:val="0"/>
        <w:adjustRightInd w:val="0"/>
        <w:rPr>
          <w:rFonts w:ascii="Cambria" w:hAnsi="Cambria" w:cs="Century Schoolbook"/>
        </w:rPr>
      </w:pPr>
    </w:p>
    <w:sectPr w:rsidR="008059E4" w:rsidRPr="001F2760"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A66" w:rsidRDefault="00487A66">
      <w:r>
        <w:separator/>
      </w:r>
    </w:p>
  </w:endnote>
  <w:endnote w:type="continuationSeparator" w:id="0">
    <w:p w:rsidR="00487A66" w:rsidRDefault="0048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487A66"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487A66"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A66" w:rsidRDefault="00487A66">
      <w:r>
        <w:separator/>
      </w:r>
    </w:p>
  </w:footnote>
  <w:footnote w:type="continuationSeparator" w:id="0">
    <w:p w:rsidR="00487A66" w:rsidRDefault="00487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8D"/>
    <w:multiLevelType w:val="hybridMultilevel"/>
    <w:tmpl w:val="5C40951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046C9"/>
    <w:multiLevelType w:val="hybridMultilevel"/>
    <w:tmpl w:val="AF1C5AD2"/>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26EDA"/>
    <w:multiLevelType w:val="hybridMultilevel"/>
    <w:tmpl w:val="3F48164C"/>
    <w:lvl w:ilvl="0" w:tplc="3E2C9A9A">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113F5F9C"/>
    <w:multiLevelType w:val="hybridMultilevel"/>
    <w:tmpl w:val="563459F6"/>
    <w:lvl w:ilvl="0" w:tplc="D5A48CC2">
      <w:numFmt w:val="bullet"/>
      <w:lvlText w:val="-"/>
      <w:lvlJc w:val="left"/>
      <w:pPr>
        <w:ind w:left="1256" w:hanging="360"/>
      </w:pPr>
      <w:rPr>
        <w:rFonts w:ascii="Times New Roman" w:eastAsia="Times New Roman" w:hAnsi="Times New Roman" w:cs="Times New Roman"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abstractNum w:abstractNumId="4">
    <w:nsid w:val="2C160764"/>
    <w:multiLevelType w:val="hybridMultilevel"/>
    <w:tmpl w:val="75583AB6"/>
    <w:lvl w:ilvl="0" w:tplc="DD20AF6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35A12CC1"/>
    <w:multiLevelType w:val="hybridMultilevel"/>
    <w:tmpl w:val="CD80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0008DF"/>
    <w:multiLevelType w:val="hybridMultilevel"/>
    <w:tmpl w:val="0C56B7F6"/>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8">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9">
    <w:nsid w:val="43235253"/>
    <w:multiLevelType w:val="hybridMultilevel"/>
    <w:tmpl w:val="DF0ED72C"/>
    <w:lvl w:ilvl="0" w:tplc="5328A52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nsid w:val="43ED1022"/>
    <w:multiLevelType w:val="hybridMultilevel"/>
    <w:tmpl w:val="28AA907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D10C03"/>
    <w:multiLevelType w:val="hybridMultilevel"/>
    <w:tmpl w:val="DF0444B2"/>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E3642DD"/>
    <w:multiLevelType w:val="hybridMultilevel"/>
    <w:tmpl w:val="ED0A5B42"/>
    <w:lvl w:ilvl="0" w:tplc="31C607FE">
      <w:start w:val="843"/>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DB69D9"/>
    <w:multiLevelType w:val="hybridMultilevel"/>
    <w:tmpl w:val="04324CF2"/>
    <w:lvl w:ilvl="0" w:tplc="EE1435D4">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57C02B49"/>
    <w:multiLevelType w:val="hybridMultilevel"/>
    <w:tmpl w:val="95B83EB2"/>
    <w:lvl w:ilvl="0" w:tplc="EA429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AB6BB0"/>
    <w:multiLevelType w:val="hybridMultilevel"/>
    <w:tmpl w:val="15526632"/>
    <w:lvl w:ilvl="0" w:tplc="1F20608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17">
    <w:nsid w:val="76E17853"/>
    <w:multiLevelType w:val="hybridMultilevel"/>
    <w:tmpl w:val="BF7E002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7"/>
  </w:num>
  <w:num w:numId="2">
    <w:abstractNumId w:val="8"/>
  </w:num>
  <w:num w:numId="3">
    <w:abstractNumId w:val="18"/>
  </w:num>
  <w:num w:numId="4">
    <w:abstractNumId w:val="16"/>
  </w:num>
  <w:num w:numId="5">
    <w:abstractNumId w:val="9"/>
  </w:num>
  <w:num w:numId="6">
    <w:abstractNumId w:val="5"/>
  </w:num>
  <w:num w:numId="7">
    <w:abstractNumId w:val="6"/>
  </w:num>
  <w:num w:numId="8">
    <w:abstractNumId w:val="1"/>
  </w:num>
  <w:num w:numId="9">
    <w:abstractNumId w:val="10"/>
  </w:num>
  <w:num w:numId="10">
    <w:abstractNumId w:val="4"/>
  </w:num>
  <w:num w:numId="11">
    <w:abstractNumId w:val="15"/>
  </w:num>
  <w:num w:numId="12">
    <w:abstractNumId w:val="14"/>
  </w:num>
  <w:num w:numId="13">
    <w:abstractNumId w:val="12"/>
  </w:num>
  <w:num w:numId="14">
    <w:abstractNumId w:val="13"/>
  </w:num>
  <w:num w:numId="15">
    <w:abstractNumId w:val="3"/>
  </w:num>
  <w:num w:numId="16">
    <w:abstractNumId w:val="2"/>
  </w:num>
  <w:num w:numId="17">
    <w:abstractNumId w:val="17"/>
  </w:num>
  <w:num w:numId="18">
    <w:abstractNumId w:val="11"/>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11CE8"/>
    <w:rsid w:val="000224F9"/>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77CD"/>
    <w:rsid w:val="000C0F06"/>
    <w:rsid w:val="000C3FED"/>
    <w:rsid w:val="000C55DA"/>
    <w:rsid w:val="000D41CD"/>
    <w:rsid w:val="000F7373"/>
    <w:rsid w:val="00112BB8"/>
    <w:rsid w:val="00114615"/>
    <w:rsid w:val="00121B8F"/>
    <w:rsid w:val="001260E1"/>
    <w:rsid w:val="001510DE"/>
    <w:rsid w:val="0016503A"/>
    <w:rsid w:val="001775EE"/>
    <w:rsid w:val="0018145E"/>
    <w:rsid w:val="001A2D2F"/>
    <w:rsid w:val="001A5551"/>
    <w:rsid w:val="001A5B63"/>
    <w:rsid w:val="001B28FD"/>
    <w:rsid w:val="001C5819"/>
    <w:rsid w:val="001C6C5E"/>
    <w:rsid w:val="001C74FC"/>
    <w:rsid w:val="001D6BE1"/>
    <w:rsid w:val="001E20C7"/>
    <w:rsid w:val="001E2C77"/>
    <w:rsid w:val="001E3E58"/>
    <w:rsid w:val="001E4B80"/>
    <w:rsid w:val="001E5D7F"/>
    <w:rsid w:val="001E69FF"/>
    <w:rsid w:val="001F02DD"/>
    <w:rsid w:val="001F2760"/>
    <w:rsid w:val="001F6D55"/>
    <w:rsid w:val="00235683"/>
    <w:rsid w:val="00247536"/>
    <w:rsid w:val="002512C5"/>
    <w:rsid w:val="002648E4"/>
    <w:rsid w:val="00264EF2"/>
    <w:rsid w:val="00270AE2"/>
    <w:rsid w:val="00277481"/>
    <w:rsid w:val="00285425"/>
    <w:rsid w:val="00286FFA"/>
    <w:rsid w:val="002904DD"/>
    <w:rsid w:val="00297A93"/>
    <w:rsid w:val="002A1123"/>
    <w:rsid w:val="002B1B00"/>
    <w:rsid w:val="002B5710"/>
    <w:rsid w:val="002C3C82"/>
    <w:rsid w:val="002D6359"/>
    <w:rsid w:val="002E1D40"/>
    <w:rsid w:val="002E42D2"/>
    <w:rsid w:val="002F733A"/>
    <w:rsid w:val="003107CB"/>
    <w:rsid w:val="003175DF"/>
    <w:rsid w:val="0032141A"/>
    <w:rsid w:val="00331349"/>
    <w:rsid w:val="00335461"/>
    <w:rsid w:val="0033691B"/>
    <w:rsid w:val="003444A6"/>
    <w:rsid w:val="00347372"/>
    <w:rsid w:val="0035386E"/>
    <w:rsid w:val="00357DC7"/>
    <w:rsid w:val="003625D8"/>
    <w:rsid w:val="00375466"/>
    <w:rsid w:val="00376D41"/>
    <w:rsid w:val="00393D5F"/>
    <w:rsid w:val="00395780"/>
    <w:rsid w:val="00396E20"/>
    <w:rsid w:val="003A3094"/>
    <w:rsid w:val="003B14D7"/>
    <w:rsid w:val="003B5A14"/>
    <w:rsid w:val="003B6AC5"/>
    <w:rsid w:val="003D37E1"/>
    <w:rsid w:val="003D62F0"/>
    <w:rsid w:val="003E3D40"/>
    <w:rsid w:val="003E44BD"/>
    <w:rsid w:val="003F0DC9"/>
    <w:rsid w:val="003F3E11"/>
    <w:rsid w:val="00403CBD"/>
    <w:rsid w:val="004045BC"/>
    <w:rsid w:val="004119C3"/>
    <w:rsid w:val="00414234"/>
    <w:rsid w:val="00415AE9"/>
    <w:rsid w:val="00416ABB"/>
    <w:rsid w:val="0042162D"/>
    <w:rsid w:val="0042227C"/>
    <w:rsid w:val="00424B02"/>
    <w:rsid w:val="004419CA"/>
    <w:rsid w:val="004443F9"/>
    <w:rsid w:val="00447307"/>
    <w:rsid w:val="00464DBA"/>
    <w:rsid w:val="00477702"/>
    <w:rsid w:val="004824BE"/>
    <w:rsid w:val="00487A66"/>
    <w:rsid w:val="004901D8"/>
    <w:rsid w:val="004945F1"/>
    <w:rsid w:val="004A0C8B"/>
    <w:rsid w:val="004B281C"/>
    <w:rsid w:val="004C0B54"/>
    <w:rsid w:val="004D2C02"/>
    <w:rsid w:val="004E1879"/>
    <w:rsid w:val="004E59E4"/>
    <w:rsid w:val="004F1581"/>
    <w:rsid w:val="004F2666"/>
    <w:rsid w:val="004F6AB0"/>
    <w:rsid w:val="005071D6"/>
    <w:rsid w:val="00511481"/>
    <w:rsid w:val="005117FB"/>
    <w:rsid w:val="00514734"/>
    <w:rsid w:val="00537381"/>
    <w:rsid w:val="0054277A"/>
    <w:rsid w:val="00555562"/>
    <w:rsid w:val="0057103B"/>
    <w:rsid w:val="0057273D"/>
    <w:rsid w:val="00580ED3"/>
    <w:rsid w:val="00582D1E"/>
    <w:rsid w:val="0058793A"/>
    <w:rsid w:val="0059665C"/>
    <w:rsid w:val="005968D2"/>
    <w:rsid w:val="005D0C9C"/>
    <w:rsid w:val="005D1E56"/>
    <w:rsid w:val="005D300C"/>
    <w:rsid w:val="005E1F37"/>
    <w:rsid w:val="005E3D2E"/>
    <w:rsid w:val="005F11F1"/>
    <w:rsid w:val="005F5786"/>
    <w:rsid w:val="005F67A7"/>
    <w:rsid w:val="00620349"/>
    <w:rsid w:val="006351F3"/>
    <w:rsid w:val="00636B0B"/>
    <w:rsid w:val="00637337"/>
    <w:rsid w:val="00643F5E"/>
    <w:rsid w:val="0064491E"/>
    <w:rsid w:val="00646D25"/>
    <w:rsid w:val="006619B5"/>
    <w:rsid w:val="00672ED4"/>
    <w:rsid w:val="00683D1F"/>
    <w:rsid w:val="00691CAE"/>
    <w:rsid w:val="0069242B"/>
    <w:rsid w:val="00697133"/>
    <w:rsid w:val="006A3579"/>
    <w:rsid w:val="006B623F"/>
    <w:rsid w:val="006C3B44"/>
    <w:rsid w:val="006E411F"/>
    <w:rsid w:val="006E478C"/>
    <w:rsid w:val="006E7470"/>
    <w:rsid w:val="006E76C6"/>
    <w:rsid w:val="006F3B1B"/>
    <w:rsid w:val="006F7090"/>
    <w:rsid w:val="007052A3"/>
    <w:rsid w:val="00711F71"/>
    <w:rsid w:val="00716A05"/>
    <w:rsid w:val="00724158"/>
    <w:rsid w:val="00725717"/>
    <w:rsid w:val="0073038C"/>
    <w:rsid w:val="0073277F"/>
    <w:rsid w:val="00734600"/>
    <w:rsid w:val="00736200"/>
    <w:rsid w:val="00744311"/>
    <w:rsid w:val="00744E22"/>
    <w:rsid w:val="00745751"/>
    <w:rsid w:val="007503DC"/>
    <w:rsid w:val="00753BF6"/>
    <w:rsid w:val="00762E29"/>
    <w:rsid w:val="00764607"/>
    <w:rsid w:val="00767E72"/>
    <w:rsid w:val="0077109E"/>
    <w:rsid w:val="00781048"/>
    <w:rsid w:val="007969D9"/>
    <w:rsid w:val="007A103C"/>
    <w:rsid w:val="007A6288"/>
    <w:rsid w:val="007A6645"/>
    <w:rsid w:val="007A6D8A"/>
    <w:rsid w:val="007B3B1E"/>
    <w:rsid w:val="007B3FE4"/>
    <w:rsid w:val="007B5747"/>
    <w:rsid w:val="007C215C"/>
    <w:rsid w:val="007D57D7"/>
    <w:rsid w:val="007D7D62"/>
    <w:rsid w:val="007E5AD4"/>
    <w:rsid w:val="007E5D80"/>
    <w:rsid w:val="007E6573"/>
    <w:rsid w:val="00802907"/>
    <w:rsid w:val="008059E4"/>
    <w:rsid w:val="00815E32"/>
    <w:rsid w:val="00822799"/>
    <w:rsid w:val="00822FDE"/>
    <w:rsid w:val="00825657"/>
    <w:rsid w:val="008261E3"/>
    <w:rsid w:val="0082621E"/>
    <w:rsid w:val="008276FE"/>
    <w:rsid w:val="00827B40"/>
    <w:rsid w:val="0083120F"/>
    <w:rsid w:val="008336DF"/>
    <w:rsid w:val="00852F12"/>
    <w:rsid w:val="008537CB"/>
    <w:rsid w:val="00864279"/>
    <w:rsid w:val="0086475C"/>
    <w:rsid w:val="00866990"/>
    <w:rsid w:val="00871A3F"/>
    <w:rsid w:val="008848AD"/>
    <w:rsid w:val="00887D74"/>
    <w:rsid w:val="00891EDE"/>
    <w:rsid w:val="00892735"/>
    <w:rsid w:val="00894690"/>
    <w:rsid w:val="008A241A"/>
    <w:rsid w:val="008B080B"/>
    <w:rsid w:val="008C255E"/>
    <w:rsid w:val="008D02F0"/>
    <w:rsid w:val="008D6C23"/>
    <w:rsid w:val="008E053C"/>
    <w:rsid w:val="008E4691"/>
    <w:rsid w:val="008F245A"/>
    <w:rsid w:val="00906A19"/>
    <w:rsid w:val="00906D50"/>
    <w:rsid w:val="00922ABB"/>
    <w:rsid w:val="009401EA"/>
    <w:rsid w:val="00950864"/>
    <w:rsid w:val="00952102"/>
    <w:rsid w:val="00954182"/>
    <w:rsid w:val="00960A98"/>
    <w:rsid w:val="009740B4"/>
    <w:rsid w:val="00974CB1"/>
    <w:rsid w:val="00982775"/>
    <w:rsid w:val="00986537"/>
    <w:rsid w:val="0099197F"/>
    <w:rsid w:val="00994824"/>
    <w:rsid w:val="00994A64"/>
    <w:rsid w:val="009A0987"/>
    <w:rsid w:val="009A3BA0"/>
    <w:rsid w:val="009B11A7"/>
    <w:rsid w:val="009B73C8"/>
    <w:rsid w:val="009B778E"/>
    <w:rsid w:val="009C0DEF"/>
    <w:rsid w:val="00A01888"/>
    <w:rsid w:val="00A126D4"/>
    <w:rsid w:val="00A17AA2"/>
    <w:rsid w:val="00A21E46"/>
    <w:rsid w:val="00A24863"/>
    <w:rsid w:val="00A251E2"/>
    <w:rsid w:val="00A31AE6"/>
    <w:rsid w:val="00A40622"/>
    <w:rsid w:val="00A41FD7"/>
    <w:rsid w:val="00A44770"/>
    <w:rsid w:val="00A45B8E"/>
    <w:rsid w:val="00A46AF8"/>
    <w:rsid w:val="00A46EA3"/>
    <w:rsid w:val="00A73389"/>
    <w:rsid w:val="00A80857"/>
    <w:rsid w:val="00A87746"/>
    <w:rsid w:val="00A93D19"/>
    <w:rsid w:val="00AA198C"/>
    <w:rsid w:val="00AA5DB0"/>
    <w:rsid w:val="00AB7D79"/>
    <w:rsid w:val="00AC42CB"/>
    <w:rsid w:val="00AC6946"/>
    <w:rsid w:val="00AD3266"/>
    <w:rsid w:val="00AD5069"/>
    <w:rsid w:val="00AD5D6D"/>
    <w:rsid w:val="00AD5EDD"/>
    <w:rsid w:val="00AD5EE0"/>
    <w:rsid w:val="00AD6E64"/>
    <w:rsid w:val="00AE3F88"/>
    <w:rsid w:val="00AE4FD0"/>
    <w:rsid w:val="00AF07FB"/>
    <w:rsid w:val="00AF0C04"/>
    <w:rsid w:val="00AF2B57"/>
    <w:rsid w:val="00B123F5"/>
    <w:rsid w:val="00B14FEF"/>
    <w:rsid w:val="00B21CAB"/>
    <w:rsid w:val="00B21E1D"/>
    <w:rsid w:val="00B312EF"/>
    <w:rsid w:val="00B31AD4"/>
    <w:rsid w:val="00B332D7"/>
    <w:rsid w:val="00B447A7"/>
    <w:rsid w:val="00B45D18"/>
    <w:rsid w:val="00B51388"/>
    <w:rsid w:val="00B64483"/>
    <w:rsid w:val="00B709A4"/>
    <w:rsid w:val="00B74014"/>
    <w:rsid w:val="00B82454"/>
    <w:rsid w:val="00B83D50"/>
    <w:rsid w:val="00B95C0A"/>
    <w:rsid w:val="00BA3B8B"/>
    <w:rsid w:val="00BC1461"/>
    <w:rsid w:val="00BC5AC8"/>
    <w:rsid w:val="00BC620E"/>
    <w:rsid w:val="00BC75D2"/>
    <w:rsid w:val="00BD7B99"/>
    <w:rsid w:val="00BD7FCE"/>
    <w:rsid w:val="00BF02E7"/>
    <w:rsid w:val="00BF6F91"/>
    <w:rsid w:val="00C109C3"/>
    <w:rsid w:val="00C10AEC"/>
    <w:rsid w:val="00C16652"/>
    <w:rsid w:val="00C2035B"/>
    <w:rsid w:val="00C25610"/>
    <w:rsid w:val="00C34DFF"/>
    <w:rsid w:val="00C354A8"/>
    <w:rsid w:val="00C575E2"/>
    <w:rsid w:val="00C57F44"/>
    <w:rsid w:val="00C83E94"/>
    <w:rsid w:val="00C84CFA"/>
    <w:rsid w:val="00C85666"/>
    <w:rsid w:val="00C85BDA"/>
    <w:rsid w:val="00C86F4D"/>
    <w:rsid w:val="00C9156B"/>
    <w:rsid w:val="00CA5FA6"/>
    <w:rsid w:val="00CB6A2E"/>
    <w:rsid w:val="00CC0122"/>
    <w:rsid w:val="00CC0DAF"/>
    <w:rsid w:val="00CC37AD"/>
    <w:rsid w:val="00CC4E02"/>
    <w:rsid w:val="00CD41CD"/>
    <w:rsid w:val="00CE27DC"/>
    <w:rsid w:val="00CE47CE"/>
    <w:rsid w:val="00CF4D51"/>
    <w:rsid w:val="00CF614D"/>
    <w:rsid w:val="00CF6903"/>
    <w:rsid w:val="00D032A7"/>
    <w:rsid w:val="00D1407C"/>
    <w:rsid w:val="00D24AAC"/>
    <w:rsid w:val="00D2620D"/>
    <w:rsid w:val="00D332FD"/>
    <w:rsid w:val="00D4017A"/>
    <w:rsid w:val="00D409EF"/>
    <w:rsid w:val="00D41691"/>
    <w:rsid w:val="00D42763"/>
    <w:rsid w:val="00D4396A"/>
    <w:rsid w:val="00D531A2"/>
    <w:rsid w:val="00D61A9C"/>
    <w:rsid w:val="00D7084B"/>
    <w:rsid w:val="00D71284"/>
    <w:rsid w:val="00D7269F"/>
    <w:rsid w:val="00D77283"/>
    <w:rsid w:val="00D7791F"/>
    <w:rsid w:val="00D83D64"/>
    <w:rsid w:val="00DA56BE"/>
    <w:rsid w:val="00DB2820"/>
    <w:rsid w:val="00DB2D68"/>
    <w:rsid w:val="00DB51B3"/>
    <w:rsid w:val="00DB7748"/>
    <w:rsid w:val="00DC4669"/>
    <w:rsid w:val="00DD023E"/>
    <w:rsid w:val="00DE148E"/>
    <w:rsid w:val="00DE1B5F"/>
    <w:rsid w:val="00DE4216"/>
    <w:rsid w:val="00DF5503"/>
    <w:rsid w:val="00E0177C"/>
    <w:rsid w:val="00E021CE"/>
    <w:rsid w:val="00E060F5"/>
    <w:rsid w:val="00E066DB"/>
    <w:rsid w:val="00E069DD"/>
    <w:rsid w:val="00E10795"/>
    <w:rsid w:val="00E145D0"/>
    <w:rsid w:val="00E14BA1"/>
    <w:rsid w:val="00E32361"/>
    <w:rsid w:val="00E5142D"/>
    <w:rsid w:val="00E51A41"/>
    <w:rsid w:val="00E55B39"/>
    <w:rsid w:val="00E56A91"/>
    <w:rsid w:val="00E57CF3"/>
    <w:rsid w:val="00E64585"/>
    <w:rsid w:val="00E6755C"/>
    <w:rsid w:val="00E726CC"/>
    <w:rsid w:val="00E72D76"/>
    <w:rsid w:val="00E75455"/>
    <w:rsid w:val="00E81773"/>
    <w:rsid w:val="00E8405D"/>
    <w:rsid w:val="00E84AD1"/>
    <w:rsid w:val="00EA5932"/>
    <w:rsid w:val="00EA73B5"/>
    <w:rsid w:val="00EB145A"/>
    <w:rsid w:val="00EC7D90"/>
    <w:rsid w:val="00ED0838"/>
    <w:rsid w:val="00ED5755"/>
    <w:rsid w:val="00EE3200"/>
    <w:rsid w:val="00EF33F2"/>
    <w:rsid w:val="00EF67B9"/>
    <w:rsid w:val="00F06EBE"/>
    <w:rsid w:val="00F131FF"/>
    <w:rsid w:val="00F1507F"/>
    <w:rsid w:val="00F17756"/>
    <w:rsid w:val="00F20FFC"/>
    <w:rsid w:val="00F246BA"/>
    <w:rsid w:val="00F30D9B"/>
    <w:rsid w:val="00F36CE9"/>
    <w:rsid w:val="00F372AE"/>
    <w:rsid w:val="00F41ADF"/>
    <w:rsid w:val="00F50185"/>
    <w:rsid w:val="00F52E28"/>
    <w:rsid w:val="00F6507B"/>
    <w:rsid w:val="00F67571"/>
    <w:rsid w:val="00F72A91"/>
    <w:rsid w:val="00F72D1E"/>
    <w:rsid w:val="00F80684"/>
    <w:rsid w:val="00F868AE"/>
    <w:rsid w:val="00F90E7B"/>
    <w:rsid w:val="00F92D64"/>
    <w:rsid w:val="00F93C10"/>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B68E4-7159-4342-9E87-A0CC058F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36615807">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2052</Words>
  <Characters>11286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10</cp:revision>
  <cp:lastPrinted>2019-12-03T18:24:00Z</cp:lastPrinted>
  <dcterms:created xsi:type="dcterms:W3CDTF">2020-02-25T22:54:00Z</dcterms:created>
  <dcterms:modified xsi:type="dcterms:W3CDTF">2020-02-27T00:14:00Z</dcterms:modified>
</cp:coreProperties>
</file>