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D077BF" w:rsidRDefault="00625270" w:rsidP="00CF60AA">
      <w:pPr>
        <w:jc w:val="both"/>
        <w:rPr>
          <w:rFonts w:ascii="Cambria" w:hAnsi="Cambria"/>
          <w:lang w:eastAsia="fr-FR"/>
        </w:rPr>
      </w:pPr>
      <w:r w:rsidRPr="00D077BF">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D077BF">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D077BF">
        <w:rPr>
          <w:rFonts w:ascii="Cambria" w:hAnsi="Cambria"/>
          <w:lang w:eastAsia="fr-FR"/>
        </w:rPr>
        <w:t xml:space="preserve"> </w:t>
      </w:r>
    </w:p>
    <w:p w14:paraId="5B96777C" w14:textId="77777777" w:rsidR="00625270" w:rsidRPr="00D077BF" w:rsidRDefault="00625270" w:rsidP="00CF60AA">
      <w:pPr>
        <w:jc w:val="both"/>
        <w:rPr>
          <w:rFonts w:ascii="Cambria" w:hAnsi="Cambria"/>
          <w:color w:val="993366"/>
        </w:rPr>
      </w:pPr>
    </w:p>
    <w:p w14:paraId="3672BD85" w14:textId="77777777" w:rsidR="00625270" w:rsidRPr="00D077BF" w:rsidRDefault="00625270" w:rsidP="00CF60AA">
      <w:pPr>
        <w:jc w:val="both"/>
        <w:rPr>
          <w:rFonts w:ascii="Cambria" w:hAnsi="Cambria"/>
          <w:color w:val="993366"/>
        </w:rPr>
      </w:pPr>
    </w:p>
    <w:p w14:paraId="6ADD5940" w14:textId="77777777" w:rsidR="00625270" w:rsidRPr="00D077BF" w:rsidRDefault="00625270" w:rsidP="00CF60AA">
      <w:pPr>
        <w:jc w:val="both"/>
        <w:rPr>
          <w:rFonts w:ascii="Cambria" w:hAnsi="Cambria"/>
          <w:color w:val="993366"/>
        </w:rPr>
      </w:pPr>
    </w:p>
    <w:p w14:paraId="48B5E675" w14:textId="77777777" w:rsidR="00625270" w:rsidRPr="00D077BF" w:rsidRDefault="00625270" w:rsidP="00CF60AA">
      <w:pPr>
        <w:jc w:val="both"/>
        <w:rPr>
          <w:rFonts w:ascii="Cambria" w:hAnsi="Cambria"/>
          <w:color w:val="993366"/>
        </w:rPr>
      </w:pPr>
    </w:p>
    <w:p w14:paraId="0556FA3D" w14:textId="77777777" w:rsidR="00625270" w:rsidRPr="00D077BF" w:rsidRDefault="00625270" w:rsidP="00CF60AA">
      <w:pPr>
        <w:tabs>
          <w:tab w:val="center" w:pos="4533"/>
          <w:tab w:val="left" w:pos="6544"/>
        </w:tabs>
        <w:jc w:val="both"/>
        <w:rPr>
          <w:rFonts w:ascii="Cambria" w:hAnsi="Cambria"/>
          <w:u w:val="single"/>
        </w:rPr>
      </w:pPr>
      <w:r w:rsidRPr="00D077BF">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D077BF" w:rsidRDefault="00625270" w:rsidP="00CF60AA">
      <w:pPr>
        <w:tabs>
          <w:tab w:val="left" w:pos="3240"/>
        </w:tabs>
        <w:jc w:val="center"/>
        <w:rPr>
          <w:rFonts w:ascii="Cambria" w:hAnsi="Cambria" w:cs="Arial"/>
          <w:b/>
        </w:rPr>
      </w:pPr>
      <w:r w:rsidRPr="00D077BF">
        <w:rPr>
          <w:rFonts w:ascii="Cambria" w:hAnsi="Cambria" w:cs="Arial"/>
          <w:b/>
        </w:rPr>
        <w:t>BUREAU DE LA COMMUNICATION</w:t>
      </w:r>
    </w:p>
    <w:p w14:paraId="48860829" w14:textId="0C1A9AD9" w:rsidR="00625270" w:rsidRPr="00D077BF" w:rsidRDefault="004C71F3" w:rsidP="00CF60AA">
      <w:pPr>
        <w:tabs>
          <w:tab w:val="left" w:pos="3240"/>
        </w:tabs>
        <w:jc w:val="center"/>
        <w:rPr>
          <w:rFonts w:ascii="Cambria" w:hAnsi="Cambria" w:cs="Arial"/>
          <w:b/>
          <w:i/>
        </w:rPr>
      </w:pPr>
      <w:r w:rsidRPr="00D077BF">
        <w:rPr>
          <w:rFonts w:ascii="Cambria" w:hAnsi="Cambria" w:cs="Arial"/>
          <w:b/>
          <w:i/>
        </w:rPr>
        <w:t>Mercredi</w:t>
      </w:r>
      <w:r w:rsidR="00625270" w:rsidRPr="00D077BF">
        <w:rPr>
          <w:rFonts w:ascii="Cambria" w:hAnsi="Cambria" w:cs="Arial"/>
          <w:b/>
          <w:i/>
        </w:rPr>
        <w:t xml:space="preserve"> </w:t>
      </w:r>
      <w:r w:rsidR="00FA019E" w:rsidRPr="00D077BF">
        <w:rPr>
          <w:rFonts w:ascii="Cambria" w:hAnsi="Cambria" w:cs="Arial"/>
          <w:b/>
          <w:i/>
        </w:rPr>
        <w:t>8</w:t>
      </w:r>
      <w:r w:rsidR="00D95AFF" w:rsidRPr="00D077BF">
        <w:rPr>
          <w:rFonts w:ascii="Cambria" w:hAnsi="Cambria" w:cs="Arial"/>
          <w:b/>
          <w:i/>
        </w:rPr>
        <w:t xml:space="preserve"> décembre</w:t>
      </w:r>
      <w:r w:rsidR="00625270" w:rsidRPr="00D077BF">
        <w:rPr>
          <w:rFonts w:ascii="Cambria" w:hAnsi="Cambria" w:cs="Arial"/>
          <w:b/>
          <w:i/>
        </w:rPr>
        <w:t xml:space="preserve"> 202</w:t>
      </w:r>
      <w:r w:rsidR="00456DD6" w:rsidRPr="00D077BF">
        <w:rPr>
          <w:rFonts w:ascii="Cambria" w:hAnsi="Cambria" w:cs="Arial"/>
          <w:b/>
          <w:i/>
        </w:rPr>
        <w:t>1</w:t>
      </w:r>
    </w:p>
    <w:p w14:paraId="58F3DB1E" w14:textId="77777777" w:rsidR="00625270" w:rsidRPr="00D077BF" w:rsidRDefault="00625270" w:rsidP="00CF60AA">
      <w:pPr>
        <w:tabs>
          <w:tab w:val="left" w:pos="3240"/>
        </w:tabs>
        <w:jc w:val="both"/>
        <w:rPr>
          <w:rFonts w:ascii="Cambria" w:hAnsi="Cambria"/>
        </w:rPr>
      </w:pPr>
      <w:r w:rsidRPr="00D077BF">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D077BF" w:rsidRDefault="00625270" w:rsidP="00CF60AA">
      <w:pPr>
        <w:overflowPunct w:val="0"/>
        <w:autoSpaceDE w:val="0"/>
        <w:autoSpaceDN w:val="0"/>
        <w:adjustRightInd w:val="0"/>
        <w:spacing w:before="120"/>
        <w:jc w:val="both"/>
        <w:rPr>
          <w:rFonts w:ascii="Cambria" w:hAnsi="Cambria"/>
          <w:b/>
          <w:lang w:eastAsia="fr-FR"/>
        </w:rPr>
      </w:pPr>
    </w:p>
    <w:p w14:paraId="268CA2B4" w14:textId="4574205D" w:rsidR="00D779A2" w:rsidRPr="00F35081" w:rsidRDefault="004C71F3" w:rsidP="00F35081">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D077BF">
        <w:rPr>
          <w:rFonts w:ascii="Cambria" w:hAnsi="Cambria"/>
          <w:b/>
        </w:rPr>
        <w:t>Compte rendu du Conseil des ministres</w:t>
      </w:r>
    </w:p>
    <w:p w14:paraId="16D6D3B3" w14:textId="1E238A89" w:rsidR="00124E3A" w:rsidRDefault="00261AEC" w:rsidP="00CF60AA">
      <w:pPr>
        <w:widowControl w:val="0"/>
        <w:autoSpaceDE w:val="0"/>
        <w:autoSpaceDN w:val="0"/>
        <w:adjustRightInd w:val="0"/>
        <w:spacing w:before="120"/>
        <w:jc w:val="both"/>
        <w:rPr>
          <w:rFonts w:ascii="Cambria" w:hAnsi="Cambria"/>
          <w:lang w:eastAsia="fr-FR"/>
        </w:rPr>
      </w:pPr>
      <w:r w:rsidRPr="00D077BF">
        <w:rPr>
          <w:rFonts w:ascii="Cambria" w:hAnsi="Cambria"/>
          <w:lang w:eastAsia="fr-FR"/>
        </w:rPr>
        <w:t xml:space="preserve">Le Conseil des ministres s’est réuni ce mercredi </w:t>
      </w:r>
      <w:r w:rsidR="00FA019E" w:rsidRPr="00D077BF">
        <w:rPr>
          <w:rFonts w:ascii="Cambria" w:hAnsi="Cambria"/>
          <w:lang w:eastAsia="fr-FR"/>
        </w:rPr>
        <w:t>8</w:t>
      </w:r>
      <w:r w:rsidR="00D95AFF" w:rsidRPr="00D077BF">
        <w:rPr>
          <w:rFonts w:ascii="Cambria" w:hAnsi="Cambria"/>
          <w:lang w:eastAsia="fr-FR"/>
        </w:rPr>
        <w:t xml:space="preserve"> décembre</w:t>
      </w:r>
      <w:r w:rsidRPr="00D077BF">
        <w:rPr>
          <w:rFonts w:ascii="Cambria" w:hAnsi="Cambria"/>
          <w:lang w:eastAsia="fr-FR"/>
        </w:rPr>
        <w:t xml:space="preserve"> 2021.</w:t>
      </w:r>
      <w:r w:rsidR="006E08F8" w:rsidRPr="00D077BF">
        <w:rPr>
          <w:rFonts w:ascii="Cambria" w:hAnsi="Cambria"/>
          <w:lang w:eastAsia="fr-FR"/>
        </w:rPr>
        <w:t xml:space="preserve"> </w:t>
      </w:r>
      <w:r w:rsidRPr="00D077BF">
        <w:rPr>
          <w:rFonts w:ascii="Cambria" w:hAnsi="Cambria"/>
          <w:lang w:eastAsia="fr-FR"/>
        </w:rPr>
        <w:t>Parmi les dossiers examinés, il a adopté les dossiers suivants</w:t>
      </w:r>
      <w:r w:rsidR="004F6EBC" w:rsidRPr="00D077BF">
        <w:rPr>
          <w:rFonts w:ascii="Cambria" w:hAnsi="Cambria"/>
          <w:lang w:eastAsia="fr-FR"/>
        </w:rPr>
        <w:t xml:space="preserve"> (lien du sommaire </w:t>
      </w:r>
      <w:r w:rsidR="00566602" w:rsidRPr="00D077BF">
        <w:rPr>
          <w:rFonts w:ascii="Cambria" w:hAnsi="Cambria"/>
          <w:lang w:eastAsia="fr-FR"/>
        </w:rPr>
        <w:t>interactif</w:t>
      </w:r>
      <w:r w:rsidR="004F6EBC" w:rsidRPr="00D077BF">
        <w:rPr>
          <w:rFonts w:ascii="Cambria" w:hAnsi="Cambria"/>
          <w:lang w:eastAsia="fr-FR"/>
        </w:rPr>
        <w:t>)</w:t>
      </w:r>
      <w:r w:rsidRPr="00D077BF">
        <w:rPr>
          <w:rFonts w:ascii="Cambria" w:hAnsi="Cambria"/>
          <w:lang w:eastAsia="fr-FR"/>
        </w:rPr>
        <w:t> :</w:t>
      </w:r>
      <w:r w:rsidR="001B0339" w:rsidRPr="00D077BF">
        <w:rPr>
          <w:rFonts w:ascii="Cambria" w:hAnsi="Cambria"/>
          <w:lang w:eastAsia="fr-FR"/>
        </w:rPr>
        <w:t xml:space="preserve"> </w:t>
      </w:r>
    </w:p>
    <w:p w14:paraId="54867645" w14:textId="77777777" w:rsidR="00F35081" w:rsidRPr="00D077BF" w:rsidRDefault="00F35081" w:rsidP="00CF60AA">
      <w:pPr>
        <w:widowControl w:val="0"/>
        <w:autoSpaceDE w:val="0"/>
        <w:autoSpaceDN w:val="0"/>
        <w:adjustRightInd w:val="0"/>
        <w:spacing w:before="120"/>
        <w:jc w:val="both"/>
        <w:rPr>
          <w:rFonts w:ascii="Cambria" w:hAnsi="Cambria"/>
          <w:lang w:eastAsia="fr-FR"/>
        </w:rPr>
      </w:pPr>
    </w:p>
    <w:sdt>
      <w:sdtPr>
        <w:rPr>
          <w:rFonts w:ascii="Times New Roman" w:eastAsia="Times New Roman" w:hAnsi="Times New Roman"/>
          <w:b w:val="0"/>
          <w:bCs w:val="0"/>
          <w:noProof w:val="0"/>
          <w:lang w:eastAsia="es-ES"/>
        </w:rPr>
        <w:id w:val="-1045363697"/>
        <w:docPartObj>
          <w:docPartGallery w:val="Table of Contents"/>
          <w:docPartUnique/>
        </w:docPartObj>
      </w:sdtPr>
      <w:sdtEndPr/>
      <w:sdtContent>
        <w:p w14:paraId="18B5FBCB" w14:textId="5DA16A23" w:rsidR="00F35081" w:rsidRPr="00F35081" w:rsidRDefault="0065694E">
          <w:pPr>
            <w:pStyle w:val="TM1"/>
            <w:rPr>
              <w:rFonts w:asciiTheme="minorHAnsi" w:hAnsiTheme="minorHAnsi" w:cstheme="minorBidi"/>
              <w:b w:val="0"/>
              <w:bCs w:val="0"/>
              <w:sz w:val="20"/>
              <w:szCs w:val="20"/>
            </w:rPr>
          </w:pPr>
          <w:r w:rsidRPr="00F35081">
            <w:rPr>
              <w:sz w:val="16"/>
              <w:szCs w:val="16"/>
            </w:rPr>
            <w:fldChar w:fldCharType="begin"/>
          </w:r>
          <w:r w:rsidRPr="00F35081">
            <w:rPr>
              <w:sz w:val="16"/>
              <w:szCs w:val="16"/>
            </w:rPr>
            <w:instrText xml:space="preserve"> TOC \o "1-3" \h \z \u </w:instrText>
          </w:r>
          <w:r w:rsidRPr="00F35081">
            <w:rPr>
              <w:sz w:val="16"/>
              <w:szCs w:val="16"/>
            </w:rPr>
            <w:fldChar w:fldCharType="separate"/>
          </w:r>
          <w:hyperlink w:anchor="_Toc89873564" w:history="1">
            <w:r w:rsidR="00F35081" w:rsidRPr="00F35081">
              <w:rPr>
                <w:rStyle w:val="Lienhypertexte"/>
                <w:sz w:val="20"/>
                <w:szCs w:val="20"/>
              </w:rPr>
              <w:t>MEF</w:t>
            </w:r>
            <w:r w:rsidR="00F35081">
              <w:rPr>
                <w:rStyle w:val="Lienhypertexte"/>
                <w:sz w:val="20"/>
                <w:szCs w:val="20"/>
              </w:rPr>
              <w:t xml:space="preserve"> </w:t>
            </w:r>
            <w:r w:rsidR="00F35081" w:rsidRPr="00F35081">
              <w:rPr>
                <w:rStyle w:val="Lienhypertexte"/>
                <w:sz w:val="20"/>
                <w:szCs w:val="20"/>
              </w:rPr>
              <w:t>-</w:t>
            </w:r>
            <w:r w:rsidR="00F35081">
              <w:rPr>
                <w:rStyle w:val="Lienhypertexte"/>
                <w:sz w:val="20"/>
                <w:szCs w:val="20"/>
              </w:rPr>
              <w:t xml:space="preserve"> ministre des Finances, de l’économie et du tourisme</w:t>
            </w:r>
            <w:r w:rsidR="00F35081" w:rsidRPr="00F35081">
              <w:rPr>
                <w:webHidden/>
                <w:sz w:val="20"/>
                <w:szCs w:val="20"/>
              </w:rPr>
              <w:tab/>
            </w:r>
            <w:r w:rsidR="00F35081" w:rsidRPr="00F35081">
              <w:rPr>
                <w:webHidden/>
                <w:sz w:val="20"/>
                <w:szCs w:val="20"/>
              </w:rPr>
              <w:fldChar w:fldCharType="begin"/>
            </w:r>
            <w:r w:rsidR="00F35081" w:rsidRPr="00F35081">
              <w:rPr>
                <w:webHidden/>
                <w:sz w:val="20"/>
                <w:szCs w:val="20"/>
              </w:rPr>
              <w:instrText xml:space="preserve"> PAGEREF _Toc89873564 \h </w:instrText>
            </w:r>
            <w:r w:rsidR="00F35081" w:rsidRPr="00F35081">
              <w:rPr>
                <w:webHidden/>
                <w:sz w:val="20"/>
                <w:szCs w:val="20"/>
              </w:rPr>
            </w:r>
            <w:r w:rsidR="00F35081" w:rsidRPr="00F35081">
              <w:rPr>
                <w:webHidden/>
                <w:sz w:val="20"/>
                <w:szCs w:val="20"/>
              </w:rPr>
              <w:fldChar w:fldCharType="separate"/>
            </w:r>
            <w:r w:rsidR="00D00BE9">
              <w:rPr>
                <w:webHidden/>
                <w:sz w:val="20"/>
                <w:szCs w:val="20"/>
              </w:rPr>
              <w:t>2</w:t>
            </w:r>
            <w:r w:rsidR="00F35081" w:rsidRPr="00F35081">
              <w:rPr>
                <w:webHidden/>
                <w:sz w:val="20"/>
                <w:szCs w:val="20"/>
              </w:rPr>
              <w:fldChar w:fldCharType="end"/>
            </w:r>
          </w:hyperlink>
        </w:p>
        <w:p w14:paraId="18896395" w14:textId="06DDC97E" w:rsidR="00F35081" w:rsidRPr="00F35081" w:rsidRDefault="00F35081">
          <w:pPr>
            <w:pStyle w:val="TM2"/>
            <w:rPr>
              <w:rFonts w:cstheme="minorBidi"/>
              <w:noProof/>
              <w:sz w:val="20"/>
              <w:szCs w:val="20"/>
            </w:rPr>
          </w:pPr>
          <w:hyperlink w:anchor="_Toc89873565" w:history="1">
            <w:r w:rsidRPr="00F35081">
              <w:rPr>
                <w:rStyle w:val="Lienhypertexte"/>
                <w:noProof/>
                <w:sz w:val="20"/>
                <w:szCs w:val="20"/>
              </w:rPr>
              <w:t>Approbation des budgets de la CPS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_Toc89873565 \h </w:instrText>
            </w:r>
            <w:r w:rsidRPr="00F35081">
              <w:rPr>
                <w:noProof/>
                <w:webHidden/>
                <w:sz w:val="20"/>
                <w:szCs w:val="20"/>
              </w:rPr>
            </w:r>
            <w:r w:rsidRPr="00F35081">
              <w:rPr>
                <w:noProof/>
                <w:webHidden/>
                <w:sz w:val="20"/>
                <w:szCs w:val="20"/>
              </w:rPr>
              <w:fldChar w:fldCharType="separate"/>
            </w:r>
            <w:r w:rsidR="00D00BE9">
              <w:rPr>
                <w:noProof/>
                <w:webHidden/>
                <w:sz w:val="20"/>
                <w:szCs w:val="20"/>
              </w:rPr>
              <w:t>2</w:t>
            </w:r>
            <w:r w:rsidRPr="00F35081">
              <w:rPr>
                <w:noProof/>
                <w:webHidden/>
                <w:sz w:val="20"/>
                <w:szCs w:val="20"/>
              </w:rPr>
              <w:fldChar w:fldCharType="end"/>
            </w:r>
          </w:hyperlink>
        </w:p>
        <w:p w14:paraId="69BE0486" w14:textId="3DBF803A" w:rsidR="00F35081" w:rsidRPr="00F35081" w:rsidRDefault="00F35081">
          <w:pPr>
            <w:pStyle w:val="TM2"/>
            <w:rPr>
              <w:rFonts w:cstheme="minorBidi"/>
              <w:noProof/>
              <w:sz w:val="20"/>
              <w:szCs w:val="20"/>
            </w:rPr>
          </w:pPr>
          <w:hyperlink w:anchor="_Toc89873566" w:history="1">
            <w:r w:rsidRPr="00F35081">
              <w:rPr>
                <w:rStyle w:val="Lienhypertexte"/>
                <w:noProof/>
                <w:sz w:val="20"/>
                <w:szCs w:val="20"/>
              </w:rPr>
              <w:t>Heures d’ouverture des débits de boisson</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_Toc89873566 \h </w:instrText>
            </w:r>
            <w:r w:rsidRPr="00F35081">
              <w:rPr>
                <w:noProof/>
                <w:webHidden/>
                <w:sz w:val="20"/>
                <w:szCs w:val="20"/>
              </w:rPr>
            </w:r>
            <w:r w:rsidRPr="00F35081">
              <w:rPr>
                <w:noProof/>
                <w:webHidden/>
                <w:sz w:val="20"/>
                <w:szCs w:val="20"/>
              </w:rPr>
              <w:fldChar w:fldCharType="separate"/>
            </w:r>
            <w:r w:rsidR="00D00BE9">
              <w:rPr>
                <w:noProof/>
                <w:webHidden/>
                <w:sz w:val="20"/>
                <w:szCs w:val="20"/>
              </w:rPr>
              <w:t>3</w:t>
            </w:r>
            <w:r w:rsidRPr="00F35081">
              <w:rPr>
                <w:noProof/>
                <w:webHidden/>
                <w:sz w:val="20"/>
                <w:szCs w:val="20"/>
              </w:rPr>
              <w:fldChar w:fldCharType="end"/>
            </w:r>
          </w:hyperlink>
        </w:p>
        <w:p w14:paraId="39C067C4" w14:textId="7DDC6689" w:rsidR="00F35081" w:rsidRPr="00F35081" w:rsidRDefault="00F35081">
          <w:pPr>
            <w:pStyle w:val="TM2"/>
            <w:rPr>
              <w:rFonts w:cstheme="minorBidi"/>
              <w:noProof/>
              <w:sz w:val="20"/>
              <w:szCs w:val="20"/>
            </w:rPr>
          </w:pPr>
          <w:hyperlink w:anchor="_Toc89873567" w:history="1">
            <w:r w:rsidRPr="00F35081">
              <w:rPr>
                <w:rStyle w:val="Lienhypertexte"/>
                <w:noProof/>
                <w:sz w:val="20"/>
                <w:szCs w:val="20"/>
              </w:rPr>
              <w:t>Subvention à la FOL : Espace info énergie</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_Toc89873567 \h </w:instrText>
            </w:r>
            <w:r w:rsidRPr="00F35081">
              <w:rPr>
                <w:noProof/>
                <w:webHidden/>
                <w:sz w:val="20"/>
                <w:szCs w:val="20"/>
              </w:rPr>
            </w:r>
            <w:r w:rsidRPr="00F35081">
              <w:rPr>
                <w:noProof/>
                <w:webHidden/>
                <w:sz w:val="20"/>
                <w:szCs w:val="20"/>
              </w:rPr>
              <w:fldChar w:fldCharType="separate"/>
            </w:r>
            <w:r w:rsidR="00D00BE9">
              <w:rPr>
                <w:noProof/>
                <w:webHidden/>
                <w:sz w:val="20"/>
                <w:szCs w:val="20"/>
              </w:rPr>
              <w:t>3</w:t>
            </w:r>
            <w:r w:rsidRPr="00F35081">
              <w:rPr>
                <w:noProof/>
                <w:webHidden/>
                <w:sz w:val="20"/>
                <w:szCs w:val="20"/>
              </w:rPr>
              <w:fldChar w:fldCharType="end"/>
            </w:r>
          </w:hyperlink>
        </w:p>
        <w:p w14:paraId="255990F0" w14:textId="104EEB0A" w:rsidR="00F35081" w:rsidRPr="00F35081" w:rsidRDefault="00F35081">
          <w:pPr>
            <w:pStyle w:val="TM2"/>
            <w:rPr>
              <w:rFonts w:cstheme="minorBidi"/>
              <w:noProof/>
              <w:sz w:val="20"/>
              <w:szCs w:val="20"/>
            </w:rPr>
          </w:pPr>
          <w:hyperlink w:anchor="_Toc89873568" w:history="1">
            <w:r w:rsidRPr="00F35081">
              <w:rPr>
                <w:rStyle w:val="Lienhypertexte"/>
                <w:noProof/>
                <w:sz w:val="20"/>
                <w:szCs w:val="20"/>
              </w:rPr>
              <w:t>Elaboration du Plan Climat de la Polynésie française (PCPF) 2022-2030</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_Toc89873568 \h </w:instrText>
            </w:r>
            <w:r w:rsidRPr="00F35081">
              <w:rPr>
                <w:noProof/>
                <w:webHidden/>
                <w:sz w:val="20"/>
                <w:szCs w:val="20"/>
              </w:rPr>
            </w:r>
            <w:r w:rsidRPr="00F35081">
              <w:rPr>
                <w:noProof/>
                <w:webHidden/>
                <w:sz w:val="20"/>
                <w:szCs w:val="20"/>
              </w:rPr>
              <w:fldChar w:fldCharType="separate"/>
            </w:r>
            <w:r w:rsidR="00D00BE9">
              <w:rPr>
                <w:noProof/>
                <w:webHidden/>
                <w:sz w:val="20"/>
                <w:szCs w:val="20"/>
              </w:rPr>
              <w:t>4</w:t>
            </w:r>
            <w:r w:rsidRPr="00F35081">
              <w:rPr>
                <w:noProof/>
                <w:webHidden/>
                <w:sz w:val="20"/>
                <w:szCs w:val="20"/>
              </w:rPr>
              <w:fldChar w:fldCharType="end"/>
            </w:r>
          </w:hyperlink>
        </w:p>
        <w:p w14:paraId="781A0CA5" w14:textId="72B99CE6" w:rsidR="00F35081" w:rsidRPr="00F35081" w:rsidRDefault="00F35081">
          <w:pPr>
            <w:pStyle w:val="TM2"/>
            <w:rPr>
              <w:rFonts w:cstheme="minorBidi"/>
              <w:noProof/>
              <w:sz w:val="20"/>
              <w:szCs w:val="20"/>
            </w:rPr>
          </w:pPr>
          <w:hyperlink w:anchor="_Toc89873569" w:history="1">
            <w:r w:rsidRPr="00F35081">
              <w:rPr>
                <w:rStyle w:val="Lienhypertexte"/>
                <w:noProof/>
                <w:sz w:val="20"/>
                <w:szCs w:val="20"/>
              </w:rPr>
              <w:t>Projet de convention entre la Caisse de prévoyance sociale (CPS) et la Maison de naissance « Tumu Ora »</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_Toc89873569 \h </w:instrText>
            </w:r>
            <w:r w:rsidRPr="00F35081">
              <w:rPr>
                <w:noProof/>
                <w:webHidden/>
                <w:sz w:val="20"/>
                <w:szCs w:val="20"/>
              </w:rPr>
            </w:r>
            <w:r w:rsidRPr="00F35081">
              <w:rPr>
                <w:noProof/>
                <w:webHidden/>
                <w:sz w:val="20"/>
                <w:szCs w:val="20"/>
              </w:rPr>
              <w:fldChar w:fldCharType="separate"/>
            </w:r>
            <w:r w:rsidR="00D00BE9">
              <w:rPr>
                <w:noProof/>
                <w:webHidden/>
                <w:sz w:val="20"/>
                <w:szCs w:val="20"/>
              </w:rPr>
              <w:t>5</w:t>
            </w:r>
            <w:r w:rsidRPr="00F35081">
              <w:rPr>
                <w:noProof/>
                <w:webHidden/>
                <w:sz w:val="20"/>
                <w:szCs w:val="20"/>
              </w:rPr>
              <w:fldChar w:fldCharType="end"/>
            </w:r>
          </w:hyperlink>
        </w:p>
        <w:p w14:paraId="1A63FE65" w14:textId="067E00B7" w:rsidR="00F35081" w:rsidRPr="00F35081" w:rsidRDefault="00F35081">
          <w:pPr>
            <w:pStyle w:val="TM1"/>
            <w:rPr>
              <w:rFonts w:asciiTheme="minorHAnsi" w:hAnsiTheme="minorHAnsi" w:cstheme="minorBidi"/>
              <w:b w:val="0"/>
              <w:bCs w:val="0"/>
              <w:sz w:val="20"/>
              <w:szCs w:val="20"/>
            </w:rPr>
          </w:pPr>
          <w:hyperlink w:anchor="_Toc89873570" w:history="1">
            <w:r w:rsidRPr="00F35081">
              <w:rPr>
                <w:rStyle w:val="Lienhypertexte"/>
                <w:sz w:val="20"/>
                <w:szCs w:val="20"/>
              </w:rPr>
              <w:t>MED</w:t>
            </w:r>
            <w:r>
              <w:rPr>
                <w:rStyle w:val="Lienhypertexte"/>
                <w:sz w:val="20"/>
                <w:szCs w:val="20"/>
              </w:rPr>
              <w:t xml:space="preserve"> </w:t>
            </w:r>
            <w:r w:rsidRPr="00F35081">
              <w:rPr>
                <w:rStyle w:val="Lienhypertexte"/>
                <w:sz w:val="20"/>
                <w:szCs w:val="20"/>
              </w:rPr>
              <w:t>-</w:t>
            </w:r>
            <w:r>
              <w:rPr>
                <w:rStyle w:val="Lienhypertexte"/>
                <w:sz w:val="20"/>
                <w:szCs w:val="20"/>
              </w:rPr>
              <w:t xml:space="preserve"> ministre de l’Agriculture, de l’économie bleue et du domaine</w:t>
            </w:r>
            <w:r w:rsidRPr="00F35081">
              <w:rPr>
                <w:webHidden/>
                <w:sz w:val="20"/>
                <w:szCs w:val="20"/>
              </w:rPr>
              <w:tab/>
            </w:r>
            <w:r w:rsidRPr="00F35081">
              <w:rPr>
                <w:webHidden/>
                <w:sz w:val="20"/>
                <w:szCs w:val="20"/>
              </w:rPr>
              <w:fldChar w:fldCharType="begin"/>
            </w:r>
            <w:r w:rsidRPr="00F35081">
              <w:rPr>
                <w:webHidden/>
                <w:sz w:val="20"/>
                <w:szCs w:val="20"/>
              </w:rPr>
              <w:instrText xml:space="preserve"> PAGEREF _Toc89873570 \h </w:instrText>
            </w:r>
            <w:r w:rsidRPr="00F35081">
              <w:rPr>
                <w:webHidden/>
                <w:sz w:val="20"/>
                <w:szCs w:val="20"/>
              </w:rPr>
            </w:r>
            <w:r w:rsidRPr="00F35081">
              <w:rPr>
                <w:webHidden/>
                <w:sz w:val="20"/>
                <w:szCs w:val="20"/>
              </w:rPr>
              <w:fldChar w:fldCharType="separate"/>
            </w:r>
            <w:r w:rsidR="00D00BE9">
              <w:rPr>
                <w:webHidden/>
                <w:sz w:val="20"/>
                <w:szCs w:val="20"/>
              </w:rPr>
              <w:t>5</w:t>
            </w:r>
            <w:r w:rsidRPr="00F35081">
              <w:rPr>
                <w:webHidden/>
                <w:sz w:val="20"/>
                <w:szCs w:val="20"/>
              </w:rPr>
              <w:fldChar w:fldCharType="end"/>
            </w:r>
          </w:hyperlink>
        </w:p>
        <w:p w14:paraId="09232443" w14:textId="0A0B05AD" w:rsidR="00F35081" w:rsidRPr="00F35081" w:rsidRDefault="00F35081">
          <w:pPr>
            <w:pStyle w:val="TM2"/>
            <w:rPr>
              <w:rFonts w:cstheme="minorBidi"/>
              <w:noProof/>
              <w:sz w:val="20"/>
              <w:szCs w:val="20"/>
            </w:rPr>
          </w:pPr>
          <w:hyperlink w:anchor="_Toc89873571" w:history="1">
            <w:r w:rsidRPr="00F35081">
              <w:rPr>
                <w:rStyle w:val="Lienhypertexte"/>
                <w:noProof/>
                <w:sz w:val="20"/>
                <w:szCs w:val="20"/>
              </w:rPr>
              <w:t>Diffusion de 5 nouvelles variétés de patates douces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_Toc89873571 \h </w:instrText>
            </w:r>
            <w:r w:rsidRPr="00F35081">
              <w:rPr>
                <w:noProof/>
                <w:webHidden/>
                <w:sz w:val="20"/>
                <w:szCs w:val="20"/>
              </w:rPr>
            </w:r>
            <w:r w:rsidRPr="00F35081">
              <w:rPr>
                <w:noProof/>
                <w:webHidden/>
                <w:sz w:val="20"/>
                <w:szCs w:val="20"/>
              </w:rPr>
              <w:fldChar w:fldCharType="separate"/>
            </w:r>
            <w:r w:rsidR="00D00BE9">
              <w:rPr>
                <w:noProof/>
                <w:webHidden/>
                <w:sz w:val="20"/>
                <w:szCs w:val="20"/>
              </w:rPr>
              <w:t>5</w:t>
            </w:r>
            <w:r w:rsidRPr="00F35081">
              <w:rPr>
                <w:noProof/>
                <w:webHidden/>
                <w:sz w:val="20"/>
                <w:szCs w:val="20"/>
              </w:rPr>
              <w:fldChar w:fldCharType="end"/>
            </w:r>
          </w:hyperlink>
        </w:p>
        <w:p w14:paraId="2432E154" w14:textId="71CF4AA0" w:rsidR="00F35081" w:rsidRPr="00F35081" w:rsidRDefault="00F35081">
          <w:pPr>
            <w:pStyle w:val="TM2"/>
            <w:rPr>
              <w:rFonts w:cstheme="minorBidi"/>
              <w:noProof/>
              <w:sz w:val="20"/>
              <w:szCs w:val="20"/>
            </w:rPr>
          </w:pPr>
          <w:hyperlink w:anchor="_Toc89873572" w:history="1">
            <w:r w:rsidRPr="00F35081">
              <w:rPr>
                <w:rStyle w:val="Lienhypertexte"/>
                <w:noProof/>
                <w:sz w:val="20"/>
                <w:szCs w:val="20"/>
              </w:rPr>
              <w:t>Valorisation de la qualité et de l’origine des produits agricoles (Loi du Pays)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_Toc89873572 \h </w:instrText>
            </w:r>
            <w:r w:rsidRPr="00F35081">
              <w:rPr>
                <w:noProof/>
                <w:webHidden/>
                <w:sz w:val="20"/>
                <w:szCs w:val="20"/>
              </w:rPr>
            </w:r>
            <w:r w:rsidRPr="00F35081">
              <w:rPr>
                <w:noProof/>
                <w:webHidden/>
                <w:sz w:val="20"/>
                <w:szCs w:val="20"/>
              </w:rPr>
              <w:fldChar w:fldCharType="separate"/>
            </w:r>
            <w:r w:rsidR="00D00BE9">
              <w:rPr>
                <w:noProof/>
                <w:webHidden/>
                <w:sz w:val="20"/>
                <w:szCs w:val="20"/>
              </w:rPr>
              <w:t>6</w:t>
            </w:r>
            <w:r w:rsidRPr="00F35081">
              <w:rPr>
                <w:noProof/>
                <w:webHidden/>
                <w:sz w:val="20"/>
                <w:szCs w:val="20"/>
              </w:rPr>
              <w:fldChar w:fldCharType="end"/>
            </w:r>
          </w:hyperlink>
        </w:p>
        <w:p w14:paraId="4EFB15D4" w14:textId="1082EEC8" w:rsidR="00F35081" w:rsidRPr="00F35081" w:rsidRDefault="00F35081">
          <w:pPr>
            <w:pStyle w:val="TM2"/>
            <w:rPr>
              <w:rFonts w:cstheme="minorBidi"/>
              <w:noProof/>
              <w:sz w:val="20"/>
              <w:szCs w:val="20"/>
            </w:rPr>
          </w:pPr>
          <w:hyperlink w:anchor="_Toc89873573" w:history="1">
            <w:r w:rsidRPr="00F35081">
              <w:rPr>
                <w:rStyle w:val="Lienhypertexte"/>
                <w:noProof/>
                <w:sz w:val="20"/>
                <w:szCs w:val="20"/>
              </w:rPr>
              <w:t>Réglementation des activités de la perliculture (Loi du Pays)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_Toc89873573 \h </w:instrText>
            </w:r>
            <w:r w:rsidRPr="00F35081">
              <w:rPr>
                <w:noProof/>
                <w:webHidden/>
                <w:sz w:val="20"/>
                <w:szCs w:val="20"/>
              </w:rPr>
            </w:r>
            <w:r w:rsidRPr="00F35081">
              <w:rPr>
                <w:noProof/>
                <w:webHidden/>
                <w:sz w:val="20"/>
                <w:szCs w:val="20"/>
              </w:rPr>
              <w:fldChar w:fldCharType="separate"/>
            </w:r>
            <w:r w:rsidR="00D00BE9">
              <w:rPr>
                <w:noProof/>
                <w:webHidden/>
                <w:sz w:val="20"/>
                <w:szCs w:val="20"/>
              </w:rPr>
              <w:t>6</w:t>
            </w:r>
            <w:r w:rsidRPr="00F35081">
              <w:rPr>
                <w:noProof/>
                <w:webHidden/>
                <w:sz w:val="20"/>
                <w:szCs w:val="20"/>
              </w:rPr>
              <w:fldChar w:fldCharType="end"/>
            </w:r>
          </w:hyperlink>
        </w:p>
        <w:p w14:paraId="11813658" w14:textId="001375BF" w:rsidR="00F35081" w:rsidRPr="00F35081" w:rsidRDefault="00F35081">
          <w:pPr>
            <w:pStyle w:val="TM2"/>
            <w:rPr>
              <w:rFonts w:cstheme="minorBidi"/>
              <w:noProof/>
              <w:sz w:val="20"/>
              <w:szCs w:val="20"/>
            </w:rPr>
          </w:pPr>
          <w:hyperlink w:anchor="_Toc89873574" w:history="1">
            <w:r w:rsidRPr="00F35081">
              <w:rPr>
                <w:rStyle w:val="Lienhypertexte"/>
                <w:noProof/>
                <w:sz w:val="20"/>
                <w:szCs w:val="20"/>
              </w:rPr>
              <w:t>Protection de certaines espèces marines (Loi du Pays)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_Toc89873574 \h </w:instrText>
            </w:r>
            <w:r w:rsidRPr="00F35081">
              <w:rPr>
                <w:noProof/>
                <w:webHidden/>
                <w:sz w:val="20"/>
                <w:szCs w:val="20"/>
              </w:rPr>
            </w:r>
            <w:r w:rsidRPr="00F35081">
              <w:rPr>
                <w:noProof/>
                <w:webHidden/>
                <w:sz w:val="20"/>
                <w:szCs w:val="20"/>
              </w:rPr>
              <w:fldChar w:fldCharType="separate"/>
            </w:r>
            <w:r w:rsidR="00D00BE9">
              <w:rPr>
                <w:noProof/>
                <w:webHidden/>
                <w:sz w:val="20"/>
                <w:szCs w:val="20"/>
              </w:rPr>
              <w:t>7</w:t>
            </w:r>
            <w:r w:rsidRPr="00F35081">
              <w:rPr>
                <w:noProof/>
                <w:webHidden/>
                <w:sz w:val="20"/>
                <w:szCs w:val="20"/>
              </w:rPr>
              <w:fldChar w:fldCharType="end"/>
            </w:r>
          </w:hyperlink>
        </w:p>
        <w:p w14:paraId="250E76A8" w14:textId="51528A7C" w:rsidR="00F35081" w:rsidRPr="00F35081" w:rsidRDefault="00F35081">
          <w:pPr>
            <w:pStyle w:val="TM2"/>
            <w:rPr>
              <w:rFonts w:cstheme="minorBidi"/>
              <w:noProof/>
              <w:sz w:val="20"/>
              <w:szCs w:val="20"/>
            </w:rPr>
          </w:pPr>
          <w:hyperlink w:anchor="_Toc89873575" w:history="1">
            <w:r w:rsidRPr="00F35081">
              <w:rPr>
                <w:rStyle w:val="Lienhypertexte"/>
                <w:noProof/>
                <w:sz w:val="20"/>
                <w:szCs w:val="20"/>
              </w:rPr>
              <w:t>Subvention au lycée agricole des Marquises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_Toc89873575 \h </w:instrText>
            </w:r>
            <w:r w:rsidRPr="00F35081">
              <w:rPr>
                <w:noProof/>
                <w:webHidden/>
                <w:sz w:val="20"/>
                <w:szCs w:val="20"/>
              </w:rPr>
            </w:r>
            <w:r w:rsidRPr="00F35081">
              <w:rPr>
                <w:noProof/>
                <w:webHidden/>
                <w:sz w:val="20"/>
                <w:szCs w:val="20"/>
              </w:rPr>
              <w:fldChar w:fldCharType="separate"/>
            </w:r>
            <w:r w:rsidR="00D00BE9">
              <w:rPr>
                <w:noProof/>
                <w:webHidden/>
                <w:sz w:val="20"/>
                <w:szCs w:val="20"/>
              </w:rPr>
              <w:t>7</w:t>
            </w:r>
            <w:r w:rsidRPr="00F35081">
              <w:rPr>
                <w:noProof/>
                <w:webHidden/>
                <w:sz w:val="20"/>
                <w:szCs w:val="20"/>
              </w:rPr>
              <w:fldChar w:fldCharType="end"/>
            </w:r>
          </w:hyperlink>
        </w:p>
        <w:p w14:paraId="36EAD6B6" w14:textId="62DD98B5" w:rsidR="00F35081" w:rsidRPr="00F35081" w:rsidRDefault="00F35081">
          <w:pPr>
            <w:pStyle w:val="TM1"/>
            <w:rPr>
              <w:rFonts w:asciiTheme="minorHAnsi" w:hAnsiTheme="minorHAnsi" w:cstheme="minorBidi"/>
              <w:b w:val="0"/>
              <w:bCs w:val="0"/>
              <w:sz w:val="20"/>
              <w:szCs w:val="20"/>
            </w:rPr>
          </w:pPr>
          <w:hyperlink w:anchor="_Toc89873576" w:history="1">
            <w:r w:rsidRPr="00F35081">
              <w:rPr>
                <w:rStyle w:val="Lienhypertexte"/>
                <w:sz w:val="20"/>
                <w:szCs w:val="20"/>
              </w:rPr>
              <w:t>MCE -</w:t>
            </w:r>
            <w:r>
              <w:rPr>
                <w:rStyle w:val="Lienhypertexte"/>
                <w:sz w:val="20"/>
                <w:szCs w:val="20"/>
              </w:rPr>
              <w:t xml:space="preserve"> ministre de la Culture et de l’environnement</w:t>
            </w:r>
            <w:r w:rsidRPr="00F35081">
              <w:rPr>
                <w:webHidden/>
                <w:sz w:val="20"/>
                <w:szCs w:val="20"/>
              </w:rPr>
              <w:tab/>
            </w:r>
            <w:r w:rsidRPr="00F35081">
              <w:rPr>
                <w:webHidden/>
                <w:sz w:val="20"/>
                <w:szCs w:val="20"/>
              </w:rPr>
              <w:fldChar w:fldCharType="begin"/>
            </w:r>
            <w:r w:rsidRPr="00F35081">
              <w:rPr>
                <w:webHidden/>
                <w:sz w:val="20"/>
                <w:szCs w:val="20"/>
              </w:rPr>
              <w:instrText xml:space="preserve"> PAGEREF _Toc89873576 \h </w:instrText>
            </w:r>
            <w:r w:rsidRPr="00F35081">
              <w:rPr>
                <w:webHidden/>
                <w:sz w:val="20"/>
                <w:szCs w:val="20"/>
              </w:rPr>
            </w:r>
            <w:r w:rsidRPr="00F35081">
              <w:rPr>
                <w:webHidden/>
                <w:sz w:val="20"/>
                <w:szCs w:val="20"/>
              </w:rPr>
              <w:fldChar w:fldCharType="separate"/>
            </w:r>
            <w:r w:rsidR="00D00BE9">
              <w:rPr>
                <w:webHidden/>
                <w:sz w:val="20"/>
                <w:szCs w:val="20"/>
              </w:rPr>
              <w:t>8</w:t>
            </w:r>
            <w:r w:rsidRPr="00F35081">
              <w:rPr>
                <w:webHidden/>
                <w:sz w:val="20"/>
                <w:szCs w:val="20"/>
              </w:rPr>
              <w:fldChar w:fldCharType="end"/>
            </w:r>
          </w:hyperlink>
        </w:p>
        <w:p w14:paraId="6A3BC920" w14:textId="0DD56C37" w:rsidR="00F35081" w:rsidRPr="00F35081" w:rsidRDefault="00F35081">
          <w:pPr>
            <w:pStyle w:val="TM2"/>
            <w:rPr>
              <w:rFonts w:cstheme="minorBidi"/>
              <w:noProof/>
              <w:sz w:val="20"/>
              <w:szCs w:val="20"/>
            </w:rPr>
          </w:pPr>
          <w:hyperlink w:anchor="_Toc89873577" w:history="1">
            <w:r w:rsidRPr="00F35081">
              <w:rPr>
                <w:rStyle w:val="Lienhypertexte"/>
                <w:noProof/>
                <w:sz w:val="20"/>
                <w:szCs w:val="20"/>
              </w:rPr>
              <w:t>Présentation du projet océanien : Le Grand mur bleu du Pacifique</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_Toc89873577 \h </w:instrText>
            </w:r>
            <w:r w:rsidRPr="00F35081">
              <w:rPr>
                <w:noProof/>
                <w:webHidden/>
                <w:sz w:val="20"/>
                <w:szCs w:val="20"/>
              </w:rPr>
            </w:r>
            <w:r w:rsidRPr="00F35081">
              <w:rPr>
                <w:noProof/>
                <w:webHidden/>
                <w:sz w:val="20"/>
                <w:szCs w:val="20"/>
              </w:rPr>
              <w:fldChar w:fldCharType="separate"/>
            </w:r>
            <w:r w:rsidR="00D00BE9">
              <w:rPr>
                <w:noProof/>
                <w:webHidden/>
                <w:sz w:val="20"/>
                <w:szCs w:val="20"/>
              </w:rPr>
              <w:t>8</w:t>
            </w:r>
            <w:r w:rsidRPr="00F35081">
              <w:rPr>
                <w:noProof/>
                <w:webHidden/>
                <w:sz w:val="20"/>
                <w:szCs w:val="20"/>
              </w:rPr>
              <w:fldChar w:fldCharType="end"/>
            </w:r>
          </w:hyperlink>
        </w:p>
        <w:p w14:paraId="129FB5A2" w14:textId="0F40AE02" w:rsidR="00F35081" w:rsidRPr="00F35081" w:rsidRDefault="00F35081">
          <w:pPr>
            <w:pStyle w:val="TM2"/>
            <w:rPr>
              <w:rFonts w:cstheme="minorBidi"/>
              <w:noProof/>
              <w:sz w:val="20"/>
              <w:szCs w:val="20"/>
            </w:rPr>
          </w:pPr>
          <w:hyperlink w:anchor="_Toc89873578" w:history="1">
            <w:r w:rsidRPr="00F35081">
              <w:rPr>
                <w:rStyle w:val="Lienhypertexte"/>
                <w:noProof/>
                <w:sz w:val="20"/>
                <w:szCs w:val="20"/>
              </w:rPr>
              <w:t>2022 – Année du sanctuaire marin de Polynésie française</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_Toc89873578 \h </w:instrText>
            </w:r>
            <w:r w:rsidRPr="00F35081">
              <w:rPr>
                <w:noProof/>
                <w:webHidden/>
                <w:sz w:val="20"/>
                <w:szCs w:val="20"/>
              </w:rPr>
            </w:r>
            <w:r w:rsidRPr="00F35081">
              <w:rPr>
                <w:noProof/>
                <w:webHidden/>
                <w:sz w:val="20"/>
                <w:szCs w:val="20"/>
              </w:rPr>
              <w:fldChar w:fldCharType="separate"/>
            </w:r>
            <w:r w:rsidR="00D00BE9">
              <w:rPr>
                <w:noProof/>
                <w:webHidden/>
                <w:sz w:val="20"/>
                <w:szCs w:val="20"/>
              </w:rPr>
              <w:t>8</w:t>
            </w:r>
            <w:r w:rsidRPr="00F35081">
              <w:rPr>
                <w:noProof/>
                <w:webHidden/>
                <w:sz w:val="20"/>
                <w:szCs w:val="20"/>
              </w:rPr>
              <w:fldChar w:fldCharType="end"/>
            </w:r>
          </w:hyperlink>
        </w:p>
        <w:p w14:paraId="1407B5A3" w14:textId="67460EFE" w:rsidR="00F35081" w:rsidRPr="00F35081" w:rsidRDefault="00F35081">
          <w:pPr>
            <w:pStyle w:val="TM2"/>
            <w:rPr>
              <w:rFonts w:cstheme="minorBidi"/>
              <w:noProof/>
              <w:sz w:val="20"/>
              <w:szCs w:val="20"/>
            </w:rPr>
          </w:pPr>
          <w:hyperlink w:anchor="_Toc89873579" w:history="1">
            <w:r w:rsidRPr="00F35081">
              <w:rPr>
                <w:rStyle w:val="Lienhypertexte"/>
                <w:noProof/>
                <w:sz w:val="20"/>
                <w:szCs w:val="20"/>
              </w:rPr>
              <w:t>Subventions aux associations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_Toc89873579 \h </w:instrText>
            </w:r>
            <w:r w:rsidRPr="00F35081">
              <w:rPr>
                <w:noProof/>
                <w:webHidden/>
                <w:sz w:val="20"/>
                <w:szCs w:val="20"/>
              </w:rPr>
            </w:r>
            <w:r w:rsidRPr="00F35081">
              <w:rPr>
                <w:noProof/>
                <w:webHidden/>
                <w:sz w:val="20"/>
                <w:szCs w:val="20"/>
              </w:rPr>
              <w:fldChar w:fldCharType="separate"/>
            </w:r>
            <w:r w:rsidR="00D00BE9">
              <w:rPr>
                <w:noProof/>
                <w:webHidden/>
                <w:sz w:val="20"/>
                <w:szCs w:val="20"/>
              </w:rPr>
              <w:t>9</w:t>
            </w:r>
            <w:r w:rsidRPr="00F35081">
              <w:rPr>
                <w:noProof/>
                <w:webHidden/>
                <w:sz w:val="20"/>
                <w:szCs w:val="20"/>
              </w:rPr>
              <w:fldChar w:fldCharType="end"/>
            </w:r>
          </w:hyperlink>
        </w:p>
        <w:p w14:paraId="06CFE105" w14:textId="51296A94" w:rsidR="00F35081" w:rsidRPr="00F35081" w:rsidRDefault="00F35081">
          <w:pPr>
            <w:pStyle w:val="TM1"/>
            <w:rPr>
              <w:rFonts w:asciiTheme="minorHAnsi" w:hAnsiTheme="minorHAnsi" w:cstheme="minorBidi"/>
              <w:b w:val="0"/>
              <w:bCs w:val="0"/>
              <w:sz w:val="20"/>
              <w:szCs w:val="20"/>
            </w:rPr>
          </w:pPr>
          <w:hyperlink w:anchor="_Toc89873580" w:history="1">
            <w:r w:rsidRPr="00F35081">
              <w:rPr>
                <w:rStyle w:val="Lienhypertexte"/>
                <w:sz w:val="20"/>
                <w:szCs w:val="20"/>
              </w:rPr>
              <w:t>MSP</w:t>
            </w:r>
            <w:r>
              <w:rPr>
                <w:rStyle w:val="Lienhypertexte"/>
                <w:sz w:val="20"/>
                <w:szCs w:val="20"/>
              </w:rPr>
              <w:t xml:space="preserve"> </w:t>
            </w:r>
            <w:r w:rsidRPr="00F35081">
              <w:rPr>
                <w:rStyle w:val="Lienhypertexte"/>
                <w:sz w:val="20"/>
                <w:szCs w:val="20"/>
              </w:rPr>
              <w:t>-</w:t>
            </w:r>
            <w:r>
              <w:rPr>
                <w:rStyle w:val="Lienhypertexte"/>
                <w:sz w:val="20"/>
                <w:szCs w:val="20"/>
              </w:rPr>
              <w:t xml:space="preserve"> ministre de la Santé</w:t>
            </w:r>
            <w:r w:rsidRPr="00F35081">
              <w:rPr>
                <w:webHidden/>
                <w:sz w:val="20"/>
                <w:szCs w:val="20"/>
              </w:rPr>
              <w:tab/>
            </w:r>
            <w:r w:rsidRPr="00F35081">
              <w:rPr>
                <w:webHidden/>
                <w:sz w:val="20"/>
                <w:szCs w:val="20"/>
              </w:rPr>
              <w:fldChar w:fldCharType="begin"/>
            </w:r>
            <w:r w:rsidRPr="00F35081">
              <w:rPr>
                <w:webHidden/>
                <w:sz w:val="20"/>
                <w:szCs w:val="20"/>
              </w:rPr>
              <w:instrText xml:space="preserve"> PAGEREF _Toc89873580 \h </w:instrText>
            </w:r>
            <w:r w:rsidRPr="00F35081">
              <w:rPr>
                <w:webHidden/>
                <w:sz w:val="20"/>
                <w:szCs w:val="20"/>
              </w:rPr>
            </w:r>
            <w:r w:rsidRPr="00F35081">
              <w:rPr>
                <w:webHidden/>
                <w:sz w:val="20"/>
                <w:szCs w:val="20"/>
              </w:rPr>
              <w:fldChar w:fldCharType="separate"/>
            </w:r>
            <w:r w:rsidR="00D00BE9">
              <w:rPr>
                <w:webHidden/>
                <w:sz w:val="20"/>
                <w:szCs w:val="20"/>
              </w:rPr>
              <w:t>9</w:t>
            </w:r>
            <w:r w:rsidRPr="00F35081">
              <w:rPr>
                <w:webHidden/>
                <w:sz w:val="20"/>
                <w:szCs w:val="20"/>
              </w:rPr>
              <w:fldChar w:fldCharType="end"/>
            </w:r>
          </w:hyperlink>
        </w:p>
        <w:p w14:paraId="6FF83622" w14:textId="0D7707EE" w:rsidR="00F35081" w:rsidRPr="00F35081" w:rsidRDefault="00F35081">
          <w:pPr>
            <w:pStyle w:val="TM2"/>
            <w:rPr>
              <w:rFonts w:cstheme="minorBidi"/>
              <w:noProof/>
              <w:sz w:val="20"/>
              <w:szCs w:val="20"/>
            </w:rPr>
          </w:pPr>
          <w:hyperlink w:anchor="_Toc89873581" w:history="1">
            <w:r w:rsidRPr="00F35081">
              <w:rPr>
                <w:rStyle w:val="Lienhypertexte"/>
                <w:rFonts w:eastAsia="Times New Roman"/>
                <w:noProof/>
                <w:sz w:val="20"/>
                <w:szCs w:val="20"/>
              </w:rPr>
              <w:t>Lutte contre la Covid-19 en Polynésie française : mesures générales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_Toc89873581 \h </w:instrText>
            </w:r>
            <w:r w:rsidRPr="00F35081">
              <w:rPr>
                <w:noProof/>
                <w:webHidden/>
                <w:sz w:val="20"/>
                <w:szCs w:val="20"/>
              </w:rPr>
            </w:r>
            <w:r w:rsidRPr="00F35081">
              <w:rPr>
                <w:noProof/>
                <w:webHidden/>
                <w:sz w:val="20"/>
                <w:szCs w:val="20"/>
              </w:rPr>
              <w:fldChar w:fldCharType="separate"/>
            </w:r>
            <w:r w:rsidR="00D00BE9">
              <w:rPr>
                <w:noProof/>
                <w:webHidden/>
                <w:sz w:val="20"/>
                <w:szCs w:val="20"/>
              </w:rPr>
              <w:t>9</w:t>
            </w:r>
            <w:r w:rsidRPr="00F35081">
              <w:rPr>
                <w:noProof/>
                <w:webHidden/>
                <w:sz w:val="20"/>
                <w:szCs w:val="20"/>
              </w:rPr>
              <w:fldChar w:fldCharType="end"/>
            </w:r>
          </w:hyperlink>
        </w:p>
        <w:p w14:paraId="2041B4D5" w14:textId="57E1F1D2" w:rsidR="00F35081" w:rsidRPr="00F35081" w:rsidRDefault="00F35081">
          <w:pPr>
            <w:pStyle w:val="TM1"/>
            <w:rPr>
              <w:rFonts w:asciiTheme="minorHAnsi" w:hAnsiTheme="minorHAnsi" w:cstheme="minorBidi"/>
              <w:b w:val="0"/>
              <w:bCs w:val="0"/>
              <w:sz w:val="20"/>
              <w:szCs w:val="20"/>
            </w:rPr>
          </w:pPr>
          <w:hyperlink w:anchor="_Toc89873582" w:history="1">
            <w:r w:rsidRPr="00F35081">
              <w:rPr>
                <w:rStyle w:val="Lienhypertexte"/>
                <w:sz w:val="20"/>
                <w:szCs w:val="20"/>
              </w:rPr>
              <w:t>MEA</w:t>
            </w:r>
            <w:r>
              <w:rPr>
                <w:rStyle w:val="Lienhypertexte"/>
                <w:sz w:val="20"/>
                <w:szCs w:val="20"/>
              </w:rPr>
              <w:t xml:space="preserve"> </w:t>
            </w:r>
            <w:r w:rsidRPr="00F35081">
              <w:rPr>
                <w:rStyle w:val="Lienhypertexte"/>
                <w:sz w:val="20"/>
                <w:szCs w:val="20"/>
              </w:rPr>
              <w:t>-</w:t>
            </w:r>
            <w:r>
              <w:rPr>
                <w:rStyle w:val="Lienhypertexte"/>
                <w:sz w:val="20"/>
                <w:szCs w:val="20"/>
              </w:rPr>
              <w:t xml:space="preserve"> ministre de l’Education, du travail et de la modernisation de l’administration</w:t>
            </w:r>
            <w:r w:rsidRPr="00F35081">
              <w:rPr>
                <w:webHidden/>
                <w:sz w:val="20"/>
                <w:szCs w:val="20"/>
              </w:rPr>
              <w:tab/>
            </w:r>
            <w:r w:rsidRPr="00F35081">
              <w:rPr>
                <w:webHidden/>
                <w:sz w:val="20"/>
                <w:szCs w:val="20"/>
              </w:rPr>
              <w:fldChar w:fldCharType="begin"/>
            </w:r>
            <w:r w:rsidRPr="00F35081">
              <w:rPr>
                <w:webHidden/>
                <w:sz w:val="20"/>
                <w:szCs w:val="20"/>
              </w:rPr>
              <w:instrText xml:space="preserve"> PAGEREF _Toc89873582 \h </w:instrText>
            </w:r>
            <w:r w:rsidRPr="00F35081">
              <w:rPr>
                <w:webHidden/>
                <w:sz w:val="20"/>
                <w:szCs w:val="20"/>
              </w:rPr>
            </w:r>
            <w:r w:rsidRPr="00F35081">
              <w:rPr>
                <w:webHidden/>
                <w:sz w:val="20"/>
                <w:szCs w:val="20"/>
              </w:rPr>
              <w:fldChar w:fldCharType="separate"/>
            </w:r>
            <w:r w:rsidR="00D00BE9">
              <w:rPr>
                <w:webHidden/>
                <w:sz w:val="20"/>
                <w:szCs w:val="20"/>
              </w:rPr>
              <w:t>10</w:t>
            </w:r>
            <w:r w:rsidRPr="00F35081">
              <w:rPr>
                <w:webHidden/>
                <w:sz w:val="20"/>
                <w:szCs w:val="20"/>
              </w:rPr>
              <w:fldChar w:fldCharType="end"/>
            </w:r>
          </w:hyperlink>
        </w:p>
        <w:p w14:paraId="13C31A3C" w14:textId="2DDB78F4" w:rsidR="00F35081" w:rsidRPr="00F35081" w:rsidRDefault="00F35081">
          <w:pPr>
            <w:pStyle w:val="TM2"/>
            <w:rPr>
              <w:rFonts w:cstheme="minorBidi"/>
              <w:noProof/>
              <w:sz w:val="20"/>
              <w:szCs w:val="20"/>
            </w:rPr>
          </w:pPr>
          <w:hyperlink w:anchor="_Toc89873583" w:history="1">
            <w:r w:rsidRPr="00F35081">
              <w:rPr>
                <w:rStyle w:val="Lienhypertexte"/>
                <w:rFonts w:eastAsia="Times New Roman"/>
                <w:noProof/>
                <w:sz w:val="20"/>
                <w:szCs w:val="20"/>
              </w:rPr>
              <w:t>Subventions aux établissements scolaires</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_Toc89873583 \h </w:instrText>
            </w:r>
            <w:r w:rsidRPr="00F35081">
              <w:rPr>
                <w:noProof/>
                <w:webHidden/>
                <w:sz w:val="20"/>
                <w:szCs w:val="20"/>
              </w:rPr>
            </w:r>
            <w:r w:rsidRPr="00F35081">
              <w:rPr>
                <w:noProof/>
                <w:webHidden/>
                <w:sz w:val="20"/>
                <w:szCs w:val="20"/>
              </w:rPr>
              <w:fldChar w:fldCharType="separate"/>
            </w:r>
            <w:r w:rsidR="00D00BE9">
              <w:rPr>
                <w:noProof/>
                <w:webHidden/>
                <w:sz w:val="20"/>
                <w:szCs w:val="20"/>
              </w:rPr>
              <w:t>10</w:t>
            </w:r>
            <w:r w:rsidRPr="00F35081">
              <w:rPr>
                <w:noProof/>
                <w:webHidden/>
                <w:sz w:val="20"/>
                <w:szCs w:val="20"/>
              </w:rPr>
              <w:fldChar w:fldCharType="end"/>
            </w:r>
          </w:hyperlink>
        </w:p>
        <w:p w14:paraId="3ED234E2" w14:textId="606D94BC" w:rsidR="00F35081" w:rsidRPr="00F35081" w:rsidRDefault="00F35081">
          <w:pPr>
            <w:pStyle w:val="TM2"/>
            <w:rPr>
              <w:rFonts w:cstheme="minorBidi"/>
              <w:noProof/>
              <w:sz w:val="20"/>
              <w:szCs w:val="20"/>
            </w:rPr>
          </w:pPr>
          <w:hyperlink w:anchor="_Toc89873584" w:history="1">
            <w:r w:rsidRPr="00F35081">
              <w:rPr>
                <w:rStyle w:val="Lienhypertexte"/>
                <w:rFonts w:eastAsia="Times New Roman"/>
                <w:noProof/>
                <w:sz w:val="20"/>
                <w:szCs w:val="20"/>
              </w:rPr>
              <w:t>Subvention au CFPA de Taravao</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_Toc89873584 \h </w:instrText>
            </w:r>
            <w:r w:rsidRPr="00F35081">
              <w:rPr>
                <w:noProof/>
                <w:webHidden/>
                <w:sz w:val="20"/>
                <w:szCs w:val="20"/>
              </w:rPr>
            </w:r>
            <w:r w:rsidRPr="00F35081">
              <w:rPr>
                <w:noProof/>
                <w:webHidden/>
                <w:sz w:val="20"/>
                <w:szCs w:val="20"/>
              </w:rPr>
              <w:fldChar w:fldCharType="separate"/>
            </w:r>
            <w:r w:rsidR="00D00BE9">
              <w:rPr>
                <w:noProof/>
                <w:webHidden/>
                <w:sz w:val="20"/>
                <w:szCs w:val="20"/>
              </w:rPr>
              <w:t>11</w:t>
            </w:r>
            <w:r w:rsidRPr="00F35081">
              <w:rPr>
                <w:noProof/>
                <w:webHidden/>
                <w:sz w:val="20"/>
                <w:szCs w:val="20"/>
              </w:rPr>
              <w:fldChar w:fldCharType="end"/>
            </w:r>
          </w:hyperlink>
        </w:p>
        <w:p w14:paraId="214387B6" w14:textId="1D5A76A4" w:rsidR="00F35081" w:rsidRPr="00F35081" w:rsidRDefault="00F35081">
          <w:pPr>
            <w:pStyle w:val="TM2"/>
            <w:rPr>
              <w:rFonts w:cstheme="minorBidi"/>
              <w:noProof/>
              <w:sz w:val="20"/>
              <w:szCs w:val="20"/>
            </w:rPr>
          </w:pPr>
          <w:hyperlink w:anchor="_Toc89873585" w:history="1">
            <w:r w:rsidRPr="00F35081">
              <w:rPr>
                <w:rStyle w:val="Lienhypertexte"/>
                <w:rFonts w:eastAsia="Times New Roman"/>
                <w:noProof/>
                <w:sz w:val="20"/>
                <w:szCs w:val="20"/>
              </w:rPr>
              <w:t>Subvention au Festival du film documentaire océanien (AFIFO)</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_Toc89873585 \h </w:instrText>
            </w:r>
            <w:r w:rsidRPr="00F35081">
              <w:rPr>
                <w:noProof/>
                <w:webHidden/>
                <w:sz w:val="20"/>
                <w:szCs w:val="20"/>
              </w:rPr>
            </w:r>
            <w:r w:rsidRPr="00F35081">
              <w:rPr>
                <w:noProof/>
                <w:webHidden/>
                <w:sz w:val="20"/>
                <w:szCs w:val="20"/>
              </w:rPr>
              <w:fldChar w:fldCharType="separate"/>
            </w:r>
            <w:r w:rsidR="00D00BE9">
              <w:rPr>
                <w:noProof/>
                <w:webHidden/>
                <w:sz w:val="20"/>
                <w:szCs w:val="20"/>
              </w:rPr>
              <w:t>11</w:t>
            </w:r>
            <w:r w:rsidRPr="00F35081">
              <w:rPr>
                <w:noProof/>
                <w:webHidden/>
                <w:sz w:val="20"/>
                <w:szCs w:val="20"/>
              </w:rPr>
              <w:fldChar w:fldCharType="end"/>
            </w:r>
          </w:hyperlink>
        </w:p>
        <w:p w14:paraId="36BA2124" w14:textId="615943F6" w:rsidR="00F35081" w:rsidRPr="00F35081" w:rsidRDefault="00F35081">
          <w:pPr>
            <w:pStyle w:val="TM2"/>
            <w:rPr>
              <w:rFonts w:cstheme="minorBidi"/>
              <w:noProof/>
              <w:sz w:val="20"/>
              <w:szCs w:val="20"/>
            </w:rPr>
          </w:pPr>
          <w:hyperlink w:anchor="_Toc89873586" w:history="1">
            <w:r w:rsidRPr="00F35081">
              <w:rPr>
                <w:rStyle w:val="Lienhypertexte"/>
                <w:rFonts w:eastAsia="Times New Roman"/>
                <w:noProof/>
                <w:sz w:val="20"/>
                <w:szCs w:val="20"/>
              </w:rPr>
              <w:t>Subvention au CNAM pour le projet « ISLV Code camp »</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_Toc89873586 \h </w:instrText>
            </w:r>
            <w:r w:rsidRPr="00F35081">
              <w:rPr>
                <w:noProof/>
                <w:webHidden/>
                <w:sz w:val="20"/>
                <w:szCs w:val="20"/>
              </w:rPr>
            </w:r>
            <w:r w:rsidRPr="00F35081">
              <w:rPr>
                <w:noProof/>
                <w:webHidden/>
                <w:sz w:val="20"/>
                <w:szCs w:val="20"/>
              </w:rPr>
              <w:fldChar w:fldCharType="separate"/>
            </w:r>
            <w:r w:rsidR="00D00BE9">
              <w:rPr>
                <w:noProof/>
                <w:webHidden/>
                <w:sz w:val="20"/>
                <w:szCs w:val="20"/>
              </w:rPr>
              <w:t>12</w:t>
            </w:r>
            <w:r w:rsidRPr="00F35081">
              <w:rPr>
                <w:noProof/>
                <w:webHidden/>
                <w:sz w:val="20"/>
                <w:szCs w:val="20"/>
              </w:rPr>
              <w:fldChar w:fldCharType="end"/>
            </w:r>
          </w:hyperlink>
        </w:p>
        <w:p w14:paraId="1D963B9F" w14:textId="31228A2F" w:rsidR="00F35081" w:rsidRPr="00F35081" w:rsidRDefault="00F35081">
          <w:pPr>
            <w:pStyle w:val="TM1"/>
            <w:rPr>
              <w:rFonts w:asciiTheme="minorHAnsi" w:hAnsiTheme="minorHAnsi" w:cstheme="minorBidi"/>
              <w:b w:val="0"/>
              <w:bCs w:val="0"/>
              <w:sz w:val="20"/>
              <w:szCs w:val="20"/>
            </w:rPr>
          </w:pPr>
          <w:hyperlink w:anchor="_Toc89873587" w:history="1">
            <w:r w:rsidRPr="00F35081">
              <w:rPr>
                <w:rStyle w:val="Lienhypertexte"/>
                <w:sz w:val="20"/>
                <w:szCs w:val="20"/>
              </w:rPr>
              <w:t>MFA</w:t>
            </w:r>
            <w:r>
              <w:rPr>
                <w:rStyle w:val="Lienhypertexte"/>
                <w:sz w:val="20"/>
                <w:szCs w:val="20"/>
              </w:rPr>
              <w:t xml:space="preserve"> </w:t>
            </w:r>
            <w:r w:rsidRPr="00F35081">
              <w:rPr>
                <w:rStyle w:val="Lienhypertexte"/>
                <w:sz w:val="20"/>
                <w:szCs w:val="20"/>
              </w:rPr>
              <w:t>-</w:t>
            </w:r>
            <w:r>
              <w:rPr>
                <w:rStyle w:val="Lienhypertexte"/>
                <w:sz w:val="20"/>
                <w:szCs w:val="20"/>
              </w:rPr>
              <w:t xml:space="preserve"> ministre de la Famille et des affaires sociales</w:t>
            </w:r>
            <w:r w:rsidRPr="00F35081">
              <w:rPr>
                <w:webHidden/>
                <w:sz w:val="20"/>
                <w:szCs w:val="20"/>
              </w:rPr>
              <w:tab/>
            </w:r>
            <w:r w:rsidRPr="00F35081">
              <w:rPr>
                <w:webHidden/>
                <w:sz w:val="20"/>
                <w:szCs w:val="20"/>
              </w:rPr>
              <w:fldChar w:fldCharType="begin"/>
            </w:r>
            <w:r w:rsidRPr="00F35081">
              <w:rPr>
                <w:webHidden/>
                <w:sz w:val="20"/>
                <w:szCs w:val="20"/>
              </w:rPr>
              <w:instrText xml:space="preserve"> PAGEREF _Toc89873587 \h </w:instrText>
            </w:r>
            <w:r w:rsidRPr="00F35081">
              <w:rPr>
                <w:webHidden/>
                <w:sz w:val="20"/>
                <w:szCs w:val="20"/>
              </w:rPr>
            </w:r>
            <w:r w:rsidRPr="00F35081">
              <w:rPr>
                <w:webHidden/>
                <w:sz w:val="20"/>
                <w:szCs w:val="20"/>
              </w:rPr>
              <w:fldChar w:fldCharType="separate"/>
            </w:r>
            <w:r w:rsidR="00D00BE9">
              <w:rPr>
                <w:webHidden/>
                <w:sz w:val="20"/>
                <w:szCs w:val="20"/>
              </w:rPr>
              <w:t>13</w:t>
            </w:r>
            <w:r w:rsidRPr="00F35081">
              <w:rPr>
                <w:webHidden/>
                <w:sz w:val="20"/>
                <w:szCs w:val="20"/>
              </w:rPr>
              <w:fldChar w:fldCharType="end"/>
            </w:r>
          </w:hyperlink>
        </w:p>
        <w:p w14:paraId="2779F890" w14:textId="6DC6A1C0" w:rsidR="00F35081" w:rsidRPr="00F35081" w:rsidRDefault="00F35081">
          <w:pPr>
            <w:pStyle w:val="TM2"/>
            <w:rPr>
              <w:rFonts w:cstheme="minorBidi"/>
              <w:noProof/>
              <w:sz w:val="20"/>
              <w:szCs w:val="20"/>
            </w:rPr>
          </w:pPr>
          <w:hyperlink w:anchor="_Toc89873588" w:history="1">
            <w:r w:rsidRPr="00F35081">
              <w:rPr>
                <w:rStyle w:val="Lienhypertexte"/>
                <w:rFonts w:eastAsia="Times New Roman"/>
                <w:noProof/>
                <w:sz w:val="20"/>
                <w:szCs w:val="20"/>
              </w:rPr>
              <w:t>Organisation de la course solidaire Hine Hia’ai Run</w:t>
            </w:r>
            <w:r w:rsidRPr="00F35081">
              <w:rPr>
                <w:noProof/>
                <w:webHidden/>
                <w:sz w:val="20"/>
                <w:szCs w:val="20"/>
              </w:rPr>
              <w:tab/>
            </w:r>
            <w:r w:rsidRPr="00F35081">
              <w:rPr>
                <w:noProof/>
                <w:webHidden/>
                <w:sz w:val="20"/>
                <w:szCs w:val="20"/>
              </w:rPr>
              <w:fldChar w:fldCharType="begin"/>
            </w:r>
            <w:r w:rsidRPr="00F35081">
              <w:rPr>
                <w:noProof/>
                <w:webHidden/>
                <w:sz w:val="20"/>
                <w:szCs w:val="20"/>
              </w:rPr>
              <w:instrText xml:space="preserve"> PAGEREF _Toc89873588 \h </w:instrText>
            </w:r>
            <w:r w:rsidRPr="00F35081">
              <w:rPr>
                <w:noProof/>
                <w:webHidden/>
                <w:sz w:val="20"/>
                <w:szCs w:val="20"/>
              </w:rPr>
            </w:r>
            <w:r w:rsidRPr="00F35081">
              <w:rPr>
                <w:noProof/>
                <w:webHidden/>
                <w:sz w:val="20"/>
                <w:szCs w:val="20"/>
              </w:rPr>
              <w:fldChar w:fldCharType="separate"/>
            </w:r>
            <w:r w:rsidR="00D00BE9">
              <w:rPr>
                <w:noProof/>
                <w:webHidden/>
                <w:sz w:val="20"/>
                <w:szCs w:val="20"/>
              </w:rPr>
              <w:t>13</w:t>
            </w:r>
            <w:r w:rsidRPr="00F35081">
              <w:rPr>
                <w:noProof/>
                <w:webHidden/>
                <w:sz w:val="20"/>
                <w:szCs w:val="20"/>
              </w:rPr>
              <w:fldChar w:fldCharType="end"/>
            </w:r>
          </w:hyperlink>
        </w:p>
        <w:p w14:paraId="42AE348A" w14:textId="0D416FD4" w:rsidR="00CC4CA2" w:rsidRPr="00D077BF" w:rsidRDefault="0065694E" w:rsidP="00124E3A">
          <w:pPr>
            <w:spacing w:line="276" w:lineRule="auto"/>
            <w:rPr>
              <w:rFonts w:ascii="Cambria" w:hAnsi="Cambria"/>
              <w:b/>
              <w:bCs/>
              <w:sz w:val="18"/>
              <w:szCs w:val="18"/>
            </w:rPr>
          </w:pPr>
          <w:r w:rsidRPr="00F35081">
            <w:rPr>
              <w:rFonts w:ascii="Cambria" w:hAnsi="Cambria"/>
              <w:b/>
              <w:bCs/>
              <w:sz w:val="16"/>
              <w:szCs w:val="16"/>
            </w:rPr>
            <w:lastRenderedPageBreak/>
            <w:fldChar w:fldCharType="end"/>
          </w:r>
        </w:p>
        <w:p w14:paraId="4FC19B80" w14:textId="1AAB8F89" w:rsidR="0071264C" w:rsidRPr="00D077BF" w:rsidRDefault="00EA174C" w:rsidP="00124E3A">
          <w:pPr>
            <w:spacing w:line="276" w:lineRule="auto"/>
            <w:rPr>
              <w:rFonts w:ascii="Cambria" w:hAnsi="Cambria"/>
              <w:b/>
              <w:bCs/>
              <w:sz w:val="20"/>
              <w:szCs w:val="20"/>
            </w:rPr>
          </w:pPr>
        </w:p>
      </w:sdtContent>
    </w:sdt>
    <w:p w14:paraId="491BD1D9" w14:textId="48C948D2" w:rsidR="00380DE7" w:rsidRPr="00D077BF" w:rsidRDefault="00380DE7" w:rsidP="00EE0217">
      <w:pPr>
        <w:pStyle w:val="Titre1"/>
      </w:pPr>
      <w:bookmarkStart w:id="0" w:name="_Toc89873564"/>
      <w:r w:rsidRPr="00D077BF">
        <w:t>- MEF-</w:t>
      </w:r>
      <w:bookmarkEnd w:id="0"/>
    </w:p>
    <w:p w14:paraId="35F8B260" w14:textId="20DFDF86" w:rsidR="00561739" w:rsidRPr="00D077BF" w:rsidRDefault="00561739" w:rsidP="00561739">
      <w:pPr>
        <w:rPr>
          <w:rFonts w:ascii="Cambria" w:hAnsi="Cambria"/>
        </w:rPr>
      </w:pPr>
      <w:bookmarkStart w:id="1" w:name="_Hlk88043263"/>
      <w:bookmarkStart w:id="2" w:name="_Hlk88043438"/>
    </w:p>
    <w:p w14:paraId="56703170" w14:textId="4B1F86CE" w:rsidR="00561739" w:rsidRPr="00D077BF" w:rsidRDefault="00DC33A8" w:rsidP="00561739">
      <w:pPr>
        <w:pStyle w:val="Titre2"/>
        <w:rPr>
          <w:rStyle w:val="lev"/>
          <w:b/>
          <w:bCs w:val="0"/>
        </w:rPr>
      </w:pPr>
      <w:bookmarkStart w:id="3" w:name="_Hlk89768752"/>
      <w:bookmarkStart w:id="4" w:name="_Toc89873565"/>
      <w:r w:rsidRPr="00D077BF">
        <w:rPr>
          <w:rStyle w:val="lev"/>
          <w:b/>
          <w:bCs w:val="0"/>
        </w:rPr>
        <w:t xml:space="preserve">Approbation </w:t>
      </w:r>
      <w:r w:rsidR="009B4328" w:rsidRPr="00D077BF">
        <w:rPr>
          <w:rStyle w:val="lev"/>
          <w:b/>
          <w:bCs w:val="0"/>
        </w:rPr>
        <w:t xml:space="preserve">des </w:t>
      </w:r>
      <w:r w:rsidRPr="00D077BF">
        <w:rPr>
          <w:rStyle w:val="lev"/>
          <w:b/>
          <w:bCs w:val="0"/>
        </w:rPr>
        <w:t xml:space="preserve">budgets </w:t>
      </w:r>
      <w:r w:rsidR="009B4328" w:rsidRPr="00D077BF">
        <w:rPr>
          <w:rStyle w:val="lev"/>
          <w:b/>
          <w:bCs w:val="0"/>
        </w:rPr>
        <w:t xml:space="preserve">de la </w:t>
      </w:r>
      <w:r w:rsidRPr="00D077BF">
        <w:rPr>
          <w:rStyle w:val="lev"/>
          <w:b/>
          <w:bCs w:val="0"/>
        </w:rPr>
        <w:t>CPS</w:t>
      </w:r>
      <w:bookmarkEnd w:id="4"/>
    </w:p>
    <w:p w14:paraId="478ED891" w14:textId="77777777" w:rsidR="00561739" w:rsidRPr="00D077BF" w:rsidRDefault="00561739" w:rsidP="00561739">
      <w:pPr>
        <w:rPr>
          <w:rFonts w:ascii="Cambria" w:hAnsi="Cambria"/>
        </w:rPr>
      </w:pPr>
    </w:p>
    <w:bookmarkEnd w:id="1"/>
    <w:bookmarkEnd w:id="2"/>
    <w:p w14:paraId="39970A90" w14:textId="77777777" w:rsidR="007C0966" w:rsidRPr="00D077BF" w:rsidRDefault="007C0966" w:rsidP="007C0966">
      <w:pPr>
        <w:pStyle w:val="NormalWeb"/>
        <w:jc w:val="both"/>
        <w:rPr>
          <w:rFonts w:ascii="Cambria" w:hAnsi="Cambria" w:cs="Arial"/>
        </w:rPr>
      </w:pPr>
      <w:r w:rsidRPr="00D077BF">
        <w:rPr>
          <w:rFonts w:ascii="Cambria" w:hAnsi="Cambria" w:cs="Arial"/>
        </w:rPr>
        <w:t>Le Conseil des ministres a rendu exécutoire 89 délibérations portant sur le budget 2022 des trois régimes de protection sociale. Le budget représente au total 135,110 milliards Fcfp de charges (dont notamment 104,018 milliards Fcfp au titre du régime des salariés, 4,491 milliards Fcfp au titre du régime des non-salariés et 26,601 milliards Fcfp au titre du régime de solidarité de la Polynésie française) et 130,082 milliards Fcfp de produits avec un résultat déficitaire estimé à -5,029 milliards Fcfp dû au régime des salariés (RGS).</w:t>
      </w:r>
    </w:p>
    <w:p w14:paraId="75224F79" w14:textId="5BBF1867" w:rsidR="007C0966" w:rsidRPr="00D077BF" w:rsidRDefault="007C0966" w:rsidP="007C0966">
      <w:pPr>
        <w:pStyle w:val="NormalWeb"/>
        <w:jc w:val="both"/>
        <w:rPr>
          <w:rFonts w:ascii="Cambria" w:hAnsi="Cambria" w:cs="Arial"/>
        </w:rPr>
      </w:pPr>
      <w:r w:rsidRPr="00D077BF">
        <w:rPr>
          <w:rFonts w:ascii="Cambria" w:hAnsi="Cambria" w:cs="Arial"/>
        </w:rPr>
        <w:t>A titre d’illustration, en approche PSG (protection sociale généralisée), les dépenses de la branche maladie des régimes représentent 60,896 milliards Fcfp, les dépenses de la branche famille pour 8,731 milliards Fcfp et la retraite des salariés pour 50,346 milliards Fcfp. La synthèse du budget annuel 2022 des régimes traduit une volonté de maintenir l’équilibre des comptes par une politique de maitrise des dépenses dans un contexte de reprise de l’activité économique en sortie de l’état d’urgence sanitaire.</w:t>
      </w:r>
    </w:p>
    <w:p w14:paraId="2F73FD01" w14:textId="77777777" w:rsidR="007C0966" w:rsidRPr="00D077BF" w:rsidRDefault="007C0966" w:rsidP="007C0966">
      <w:pPr>
        <w:pStyle w:val="NormalWeb"/>
        <w:jc w:val="both"/>
        <w:rPr>
          <w:rFonts w:ascii="Cambria" w:hAnsi="Cambria" w:cs="Arial"/>
        </w:rPr>
      </w:pPr>
      <w:r w:rsidRPr="00D077BF">
        <w:rPr>
          <w:rFonts w:ascii="Cambria" w:hAnsi="Cambria" w:cs="Arial"/>
        </w:rPr>
        <w:t>Le budget garantit, non sans difficultés, tous les droits des assurés sociaux, la reconduction des divers fonds et aides sociales mais aussi le maintien des conditions d’exercice des structures sanitaires et sociales privées et publiques, des professionnels de santé libéraux, afin de leur permettre de continuer le service rendu à la population après la deuxième vague épidémique de la Covid-19 aux effets dévastateurs tant sur la santé que sur l’économie du Pays.</w:t>
      </w:r>
    </w:p>
    <w:p w14:paraId="252E7676" w14:textId="77777777" w:rsidR="007C0966" w:rsidRPr="00D077BF" w:rsidRDefault="007C0966" w:rsidP="007C0966">
      <w:pPr>
        <w:pStyle w:val="NormalWeb"/>
        <w:jc w:val="both"/>
        <w:rPr>
          <w:rFonts w:ascii="Cambria" w:hAnsi="Cambria" w:cs="Arial"/>
        </w:rPr>
      </w:pPr>
      <w:r w:rsidRPr="00D077BF">
        <w:rPr>
          <w:rFonts w:ascii="Cambria" w:hAnsi="Cambria" w:cs="Arial"/>
        </w:rPr>
        <w:t>Il faut saluer l’implication du Pays qui a :</w:t>
      </w:r>
    </w:p>
    <w:p w14:paraId="5B999F2B" w14:textId="7D89B9A7" w:rsidR="008861E8" w:rsidRPr="00D077BF" w:rsidRDefault="007C0966" w:rsidP="007C0966">
      <w:pPr>
        <w:pStyle w:val="NormalWeb"/>
        <w:numPr>
          <w:ilvl w:val="0"/>
          <w:numId w:val="23"/>
        </w:numPr>
        <w:jc w:val="both"/>
        <w:rPr>
          <w:rFonts w:ascii="Cambria" w:hAnsi="Cambria" w:cs="Arial"/>
        </w:rPr>
      </w:pPr>
      <w:r w:rsidRPr="00D077BF">
        <w:rPr>
          <w:rFonts w:ascii="Cambria" w:hAnsi="Cambria" w:cs="Arial"/>
        </w:rPr>
        <w:t xml:space="preserve">Garanti le deuxième </w:t>
      </w:r>
      <w:proofErr w:type="spellStart"/>
      <w:r w:rsidRPr="00D077BF">
        <w:rPr>
          <w:rFonts w:ascii="Cambria" w:hAnsi="Cambria" w:cs="Arial"/>
        </w:rPr>
        <w:t>emprunt</w:t>
      </w:r>
      <w:proofErr w:type="spellEnd"/>
      <w:r w:rsidR="008861E8" w:rsidRPr="00D077BF">
        <w:rPr>
          <w:rFonts w:ascii="Cambria" w:hAnsi="Cambria" w:cs="Arial"/>
        </w:rPr>
        <w:t xml:space="preserve"> </w:t>
      </w:r>
      <w:r w:rsidRPr="00D077BF">
        <w:rPr>
          <w:rFonts w:ascii="Cambria" w:hAnsi="Cambria" w:cs="Arial"/>
        </w:rPr>
        <w:t>de trésorerie pour un montant de 7,4 milliards F</w:t>
      </w:r>
      <w:r w:rsidR="008861E8" w:rsidRPr="00D077BF">
        <w:rPr>
          <w:rFonts w:ascii="Cambria" w:hAnsi="Cambria" w:cs="Arial"/>
        </w:rPr>
        <w:t xml:space="preserve">cfp </w:t>
      </w:r>
      <w:r w:rsidRPr="00D077BF">
        <w:rPr>
          <w:rFonts w:ascii="Cambria" w:hAnsi="Cambria" w:cs="Arial"/>
        </w:rPr>
        <w:t xml:space="preserve">contracté par la Caisse, afin d’assurer le paiement de toutes les prestations aux ressortissants du régime des salariés </w:t>
      </w:r>
    </w:p>
    <w:p w14:paraId="1E008C42" w14:textId="53C8F71F" w:rsidR="008861E8" w:rsidRPr="00D077BF" w:rsidRDefault="007C0966" w:rsidP="007C0966">
      <w:pPr>
        <w:pStyle w:val="NormalWeb"/>
        <w:numPr>
          <w:ilvl w:val="0"/>
          <w:numId w:val="23"/>
        </w:numPr>
        <w:jc w:val="both"/>
        <w:rPr>
          <w:rFonts w:ascii="Cambria" w:hAnsi="Cambria" w:cs="Arial"/>
        </w:rPr>
      </w:pPr>
      <w:r w:rsidRPr="00D077BF">
        <w:rPr>
          <w:rFonts w:ascii="Cambria" w:hAnsi="Cambria" w:cs="Arial"/>
        </w:rPr>
        <w:t>Stabilisé son financement pour la branche retraite de salariés (2,087 milliards</w:t>
      </w:r>
      <w:r w:rsidR="008861E8" w:rsidRPr="00D077BF">
        <w:rPr>
          <w:rFonts w:ascii="Cambria" w:hAnsi="Cambria" w:cs="Arial"/>
        </w:rPr>
        <w:t xml:space="preserve"> Fcfp </w:t>
      </w:r>
      <w:r w:rsidRPr="00D077BF">
        <w:rPr>
          <w:rFonts w:ascii="Cambria" w:hAnsi="Cambria" w:cs="Arial"/>
        </w:rPr>
        <w:t xml:space="preserve">pour l’allocation complémentaire de retraite (ACR) -15 ans et le complément de retraite de solidarité (CRS)) </w:t>
      </w:r>
    </w:p>
    <w:p w14:paraId="283D5118" w14:textId="27932A42" w:rsidR="008861E8" w:rsidRPr="00D077BF" w:rsidRDefault="007C0966" w:rsidP="007C0966">
      <w:pPr>
        <w:pStyle w:val="NormalWeb"/>
        <w:numPr>
          <w:ilvl w:val="0"/>
          <w:numId w:val="23"/>
        </w:numPr>
        <w:jc w:val="both"/>
        <w:rPr>
          <w:rFonts w:ascii="Cambria" w:hAnsi="Cambria" w:cs="Arial"/>
        </w:rPr>
      </w:pPr>
      <w:r w:rsidRPr="00D077BF">
        <w:rPr>
          <w:rFonts w:ascii="Cambria" w:hAnsi="Cambria" w:cs="Arial"/>
        </w:rPr>
        <w:t>Pris l’engagement d’une intervention ferme de 26,505 milliards F</w:t>
      </w:r>
      <w:r w:rsidR="008861E8" w:rsidRPr="00D077BF">
        <w:rPr>
          <w:rFonts w:ascii="Cambria" w:hAnsi="Cambria" w:cs="Arial"/>
        </w:rPr>
        <w:t>cfp</w:t>
      </w:r>
      <w:r w:rsidRPr="00D077BF">
        <w:rPr>
          <w:rFonts w:ascii="Cambria" w:hAnsi="Cambria" w:cs="Arial"/>
        </w:rPr>
        <w:t xml:space="preserve"> pour le régime de solidarité de la Polynésie française et de 500 millions F</w:t>
      </w:r>
      <w:r w:rsidR="008861E8" w:rsidRPr="00D077BF">
        <w:rPr>
          <w:rFonts w:ascii="Cambria" w:hAnsi="Cambria" w:cs="Arial"/>
        </w:rPr>
        <w:t>cfp</w:t>
      </w:r>
      <w:r w:rsidRPr="00D077BF">
        <w:rPr>
          <w:rFonts w:ascii="Cambria" w:hAnsi="Cambria" w:cs="Arial"/>
        </w:rPr>
        <w:t xml:space="preserve"> pour le régime des </w:t>
      </w:r>
      <w:r w:rsidR="008861E8" w:rsidRPr="00D077BF">
        <w:rPr>
          <w:rFonts w:ascii="Cambria" w:hAnsi="Cambria" w:cs="Arial"/>
        </w:rPr>
        <w:t>non-salariés </w:t>
      </w:r>
    </w:p>
    <w:p w14:paraId="143C3AA4" w14:textId="58DCBEDE" w:rsidR="008861E8" w:rsidRPr="00D077BF" w:rsidRDefault="007C0966" w:rsidP="007C0966">
      <w:pPr>
        <w:pStyle w:val="NormalWeb"/>
        <w:numPr>
          <w:ilvl w:val="0"/>
          <w:numId w:val="23"/>
        </w:numPr>
        <w:jc w:val="both"/>
        <w:rPr>
          <w:rFonts w:ascii="Cambria" w:hAnsi="Cambria" w:cs="Arial"/>
        </w:rPr>
      </w:pPr>
      <w:r w:rsidRPr="00D077BF">
        <w:rPr>
          <w:rFonts w:ascii="Cambria" w:hAnsi="Cambria" w:cs="Arial"/>
        </w:rPr>
        <w:t xml:space="preserve">Atténué indirectement le déficit des régimes en mobilisant des financements publics conséquents pour la sauvegarde de l’emploi et la mise en place des conditions favorables pour l’activité économique déjà de retour à la hausse à des niveaux d’avant-crise (commerce, construction, industrie alimentaire…) </w:t>
      </w:r>
    </w:p>
    <w:p w14:paraId="07792680" w14:textId="77777777" w:rsidR="008861E8" w:rsidRPr="00D077BF" w:rsidRDefault="007C0966" w:rsidP="008861E8">
      <w:pPr>
        <w:pStyle w:val="NormalWeb"/>
        <w:jc w:val="both"/>
        <w:rPr>
          <w:rFonts w:ascii="Cambria" w:hAnsi="Cambria" w:cs="Arial"/>
        </w:rPr>
      </w:pPr>
      <w:r w:rsidRPr="00D077BF">
        <w:rPr>
          <w:rFonts w:ascii="Cambria" w:hAnsi="Cambria" w:cs="Arial"/>
        </w:rPr>
        <w:t>Afin de ne pas accroître le coût du travail et de préserver la dynamique du retour à la croissance de l’emploi et de l’activité économique, le Pays a maintenu, les taux de cotisations, les planchers et plafonds mensuels de rémunérations et de revenus soumis à cotisations de la CPS pour 2022</w:t>
      </w:r>
      <w:r w:rsidR="008861E8" w:rsidRPr="00D077BF">
        <w:rPr>
          <w:rFonts w:ascii="Cambria" w:hAnsi="Cambria" w:cs="Arial"/>
        </w:rPr>
        <w:t xml:space="preserve">. </w:t>
      </w:r>
    </w:p>
    <w:p w14:paraId="4C57D127" w14:textId="0CBB4600" w:rsidR="007C0966" w:rsidRPr="00D077BF" w:rsidRDefault="007C0966" w:rsidP="008861E8">
      <w:pPr>
        <w:pStyle w:val="NormalWeb"/>
        <w:jc w:val="both"/>
        <w:rPr>
          <w:rFonts w:ascii="Cambria" w:hAnsi="Cambria" w:cs="Arial"/>
        </w:rPr>
      </w:pPr>
      <w:r w:rsidRPr="00D077BF">
        <w:rPr>
          <w:rFonts w:ascii="Cambria" w:hAnsi="Cambria" w:cs="Arial"/>
        </w:rPr>
        <w:t>Les exercices budgétaires à venir devront établir un plan d’apurement des déficits constatés et impérativement garantir la charge de remboursement de l’emprunt.</w:t>
      </w:r>
      <w:r w:rsidRPr="00D077BF">
        <w:rPr>
          <w:rFonts w:ascii="Cambria" w:hAnsi="Cambria" w:cs="Arial"/>
        </w:rPr>
        <w:br/>
      </w:r>
      <w:r w:rsidRPr="00D077BF">
        <w:rPr>
          <w:rFonts w:ascii="Cambria" w:hAnsi="Cambria" w:cs="Arial"/>
        </w:rPr>
        <w:lastRenderedPageBreak/>
        <w:t>En définitive, les orientations définies par le ministère en charge de la protection sociale généralisée ont par conséquent été retenues par les régimes de protection sociale, mais la réforme de la PSG revêt à nouveau un caractère d’urgence qui devra obligatoirement être associée aux conditions de la reprise économique et à l’instauration d’un prélèvement solidaire sur la consommation de l’ensemble des Polynésiens pour assurer l’équilibre budgétaire de la protection sociale dans les années à venir.</w:t>
      </w:r>
    </w:p>
    <w:p w14:paraId="586AC7CD" w14:textId="77777777" w:rsidR="00A451F7" w:rsidRPr="00D077BF" w:rsidRDefault="00A451F7" w:rsidP="0049706D">
      <w:pPr>
        <w:pStyle w:val="NormalWeb"/>
        <w:jc w:val="both"/>
        <w:rPr>
          <w:rFonts w:ascii="Cambria" w:hAnsi="Cambria" w:cs="Arial"/>
        </w:rPr>
      </w:pPr>
    </w:p>
    <w:p w14:paraId="4F7179C6" w14:textId="30345523" w:rsidR="00157387" w:rsidRPr="00D077BF" w:rsidRDefault="00DC33A8" w:rsidP="00157387">
      <w:pPr>
        <w:pStyle w:val="Titre2"/>
        <w:rPr>
          <w:rStyle w:val="lev"/>
          <w:b/>
          <w:bCs w:val="0"/>
        </w:rPr>
      </w:pPr>
      <w:bookmarkStart w:id="5" w:name="_Toc89873566"/>
      <w:r w:rsidRPr="00D077BF">
        <w:rPr>
          <w:rStyle w:val="lev"/>
          <w:b/>
          <w:bCs w:val="0"/>
        </w:rPr>
        <w:t>Heures d’ouverture des débits de boisson</w:t>
      </w:r>
      <w:bookmarkEnd w:id="5"/>
    </w:p>
    <w:p w14:paraId="68D208BF" w14:textId="77777777" w:rsidR="00B34D62" w:rsidRPr="00D077BF" w:rsidRDefault="00B34D62" w:rsidP="00B34D62">
      <w:pPr>
        <w:jc w:val="both"/>
        <w:rPr>
          <w:rFonts w:ascii="Cambria" w:hAnsi="Cambria" w:cs="Arial"/>
          <w:color w:val="000000"/>
          <w:lang w:eastAsia="fr-FR"/>
        </w:rPr>
      </w:pPr>
    </w:p>
    <w:p w14:paraId="198D80AB" w14:textId="77777777" w:rsidR="003C5CE4" w:rsidRPr="00D077BF" w:rsidRDefault="003C5CE4" w:rsidP="003C5CE4">
      <w:pPr>
        <w:pStyle w:val="NormalWeb"/>
        <w:jc w:val="both"/>
        <w:rPr>
          <w:rFonts w:ascii="Cambria" w:hAnsi="Cambria" w:cs="Arial"/>
        </w:rPr>
      </w:pPr>
      <w:r w:rsidRPr="00D077BF">
        <w:rPr>
          <w:rFonts w:ascii="Cambria" w:hAnsi="Cambria" w:cs="Arial"/>
        </w:rPr>
        <w:t xml:space="preserve">Suite à la levée de l’état d’urgence sanitaire en Polynésie française le 15 novembre 2021, l’encadrement des jours et horaires de vente d’alcool durant les fêtes de fin d’année a été modifié compte tenu de la demande de la Fédération générale du Commerce. </w:t>
      </w:r>
    </w:p>
    <w:p w14:paraId="347C1265" w14:textId="77777777" w:rsidR="003C5CE4" w:rsidRPr="00D077BF" w:rsidRDefault="003C5CE4" w:rsidP="003C5CE4">
      <w:pPr>
        <w:pStyle w:val="NormalWeb"/>
        <w:jc w:val="both"/>
        <w:rPr>
          <w:rFonts w:ascii="Cambria" w:hAnsi="Cambria" w:cs="Arial"/>
        </w:rPr>
      </w:pPr>
      <w:r w:rsidRPr="00D077BF">
        <w:rPr>
          <w:rFonts w:ascii="Cambria" w:hAnsi="Cambria" w:cs="Arial"/>
        </w:rPr>
        <w:t xml:space="preserve">Ainsi, afin d’assurer la meilleure gestion possible des gestes barrières permettant de lutter contre l’épidémie, l’arrêté du 27 novembre 1961 fixant les heures d'ouverture des débits de boissons est modifié afin de permettre aux débits de boissons à emporter de rester ouverts jusqu’à 20 heures du 21 décembre au 31 décembre, y compris donc le week-end du 25 et 26 décembre. </w:t>
      </w:r>
    </w:p>
    <w:p w14:paraId="499B9C7C" w14:textId="1BD004B9" w:rsidR="003C5CE4" w:rsidRPr="00D077BF" w:rsidRDefault="003C5CE4" w:rsidP="003C5CE4">
      <w:pPr>
        <w:pStyle w:val="NormalWeb"/>
        <w:jc w:val="both"/>
        <w:rPr>
          <w:rFonts w:ascii="Cambria" w:hAnsi="Cambria" w:cs="Arial"/>
          <w:b/>
          <w:bCs/>
        </w:rPr>
      </w:pPr>
      <w:r w:rsidRPr="00D077BF">
        <w:rPr>
          <w:rFonts w:ascii="Cambria" w:hAnsi="Cambria" w:cs="Arial"/>
        </w:rPr>
        <w:t>Cette mesure vise à prévenir l’afflux de clientèle les jours de fête et la veille des jours de fêtes afin que la concentration des clients dans les établissements puisse être étalée sur toute la période des fêtes de fin d’année et cela avec une plus grande amplitude horaire.</w:t>
      </w:r>
    </w:p>
    <w:p w14:paraId="78AF1AB8" w14:textId="70A10CD6" w:rsidR="00B34D62" w:rsidRPr="00D077BF" w:rsidRDefault="00B34D62" w:rsidP="0049706D">
      <w:pPr>
        <w:pStyle w:val="NormalWeb"/>
        <w:jc w:val="both"/>
        <w:rPr>
          <w:rFonts w:ascii="Cambria" w:hAnsi="Cambria" w:cs="Arial"/>
        </w:rPr>
      </w:pPr>
    </w:p>
    <w:p w14:paraId="0CCD8C00" w14:textId="224E3D6C" w:rsidR="00B34D62" w:rsidRPr="00D077BF" w:rsidRDefault="00DC33A8" w:rsidP="00B34D62">
      <w:pPr>
        <w:pStyle w:val="Titre2"/>
        <w:rPr>
          <w:lang w:eastAsia="fr-FR"/>
        </w:rPr>
      </w:pPr>
      <w:bookmarkStart w:id="6" w:name="_Toc89873567"/>
      <w:r w:rsidRPr="00D077BF">
        <w:rPr>
          <w:lang w:eastAsia="fr-FR"/>
        </w:rPr>
        <w:t xml:space="preserve">Subvention </w:t>
      </w:r>
      <w:r w:rsidR="009B4328" w:rsidRPr="00D077BF">
        <w:rPr>
          <w:lang w:eastAsia="fr-FR"/>
        </w:rPr>
        <w:t xml:space="preserve">à la </w:t>
      </w:r>
      <w:r w:rsidRPr="00D077BF">
        <w:rPr>
          <w:lang w:eastAsia="fr-FR"/>
        </w:rPr>
        <w:t>FOL</w:t>
      </w:r>
      <w:r w:rsidR="009B4328" w:rsidRPr="00D077BF">
        <w:rPr>
          <w:lang w:eastAsia="fr-FR"/>
        </w:rPr>
        <w:t> :</w:t>
      </w:r>
      <w:r w:rsidRPr="00D077BF">
        <w:rPr>
          <w:lang w:eastAsia="fr-FR"/>
        </w:rPr>
        <w:t xml:space="preserve"> Espace info énergie</w:t>
      </w:r>
      <w:bookmarkEnd w:id="6"/>
    </w:p>
    <w:p w14:paraId="126CBCAF" w14:textId="708F3261" w:rsidR="00B34D62" w:rsidRPr="00D077BF" w:rsidRDefault="00B34D62" w:rsidP="00B34D62">
      <w:pPr>
        <w:rPr>
          <w:rFonts w:ascii="Cambria" w:hAnsi="Cambria"/>
          <w:lang w:eastAsia="fr-FR"/>
        </w:rPr>
      </w:pPr>
    </w:p>
    <w:p w14:paraId="459D3ECE" w14:textId="0F924B02" w:rsidR="005E489C" w:rsidRPr="00D077BF" w:rsidRDefault="008861E8" w:rsidP="008861E8">
      <w:pPr>
        <w:pStyle w:val="NormalWeb"/>
        <w:jc w:val="both"/>
        <w:rPr>
          <w:rFonts w:ascii="Cambria" w:hAnsi="Cambria" w:cs="Arial"/>
        </w:rPr>
      </w:pPr>
      <w:r w:rsidRPr="00D077BF">
        <w:rPr>
          <w:rFonts w:ascii="Cambria" w:hAnsi="Cambria" w:cs="Arial"/>
        </w:rPr>
        <w:t xml:space="preserve">Le ministre en charge de l’Energie a présenté au </w:t>
      </w:r>
      <w:r w:rsidR="005E489C" w:rsidRPr="00D077BF">
        <w:rPr>
          <w:rFonts w:ascii="Cambria" w:hAnsi="Cambria" w:cs="Arial"/>
        </w:rPr>
        <w:t>C</w:t>
      </w:r>
      <w:r w:rsidRPr="00D077BF">
        <w:rPr>
          <w:rFonts w:ascii="Cambria" w:hAnsi="Cambria" w:cs="Arial"/>
        </w:rPr>
        <w:t>onseil des ministres une proposition de subvention à la Fédération des</w:t>
      </w:r>
      <w:r w:rsidR="005E489C" w:rsidRPr="00D077BF">
        <w:rPr>
          <w:rFonts w:ascii="Cambria" w:hAnsi="Cambria" w:cs="Arial"/>
        </w:rPr>
        <w:t xml:space="preserve"> œuvres</w:t>
      </w:r>
      <w:r w:rsidRPr="00D077BF">
        <w:rPr>
          <w:rFonts w:ascii="Cambria" w:hAnsi="Cambria" w:cs="Arial"/>
        </w:rPr>
        <w:t xml:space="preserve"> </w:t>
      </w:r>
      <w:r w:rsidR="005E489C" w:rsidRPr="00D077BF">
        <w:rPr>
          <w:rFonts w:ascii="Cambria" w:hAnsi="Cambria" w:cs="Arial"/>
        </w:rPr>
        <w:t>l</w:t>
      </w:r>
      <w:r w:rsidRPr="00D077BF">
        <w:rPr>
          <w:rFonts w:ascii="Cambria" w:hAnsi="Cambria" w:cs="Arial"/>
        </w:rPr>
        <w:t xml:space="preserve">aïques de Polynésie française </w:t>
      </w:r>
      <w:r w:rsidR="005E489C" w:rsidRPr="00D077BF">
        <w:rPr>
          <w:rFonts w:ascii="Cambria" w:hAnsi="Cambria" w:cs="Arial"/>
        </w:rPr>
        <w:t xml:space="preserve">(FOL) </w:t>
      </w:r>
      <w:r w:rsidRPr="00D077BF">
        <w:rPr>
          <w:rFonts w:ascii="Cambria" w:hAnsi="Cambria" w:cs="Arial"/>
        </w:rPr>
        <w:t>pour le financement du fonctionnement de l’</w:t>
      </w:r>
      <w:r w:rsidR="00C83691" w:rsidRPr="00D077BF">
        <w:rPr>
          <w:rFonts w:ascii="Cambria" w:hAnsi="Cambria" w:cs="Arial"/>
        </w:rPr>
        <w:t>e</w:t>
      </w:r>
      <w:r w:rsidRPr="00D077BF">
        <w:rPr>
          <w:rFonts w:ascii="Cambria" w:hAnsi="Cambria" w:cs="Arial"/>
        </w:rPr>
        <w:t xml:space="preserve">space Info Energie (EIE). </w:t>
      </w:r>
    </w:p>
    <w:p w14:paraId="32F2AA1E" w14:textId="77777777" w:rsidR="005E489C" w:rsidRPr="00D077BF" w:rsidRDefault="008861E8" w:rsidP="008861E8">
      <w:pPr>
        <w:pStyle w:val="NormalWeb"/>
        <w:jc w:val="both"/>
        <w:rPr>
          <w:rFonts w:ascii="Cambria" w:hAnsi="Cambria" w:cs="Arial"/>
        </w:rPr>
      </w:pPr>
      <w:r w:rsidRPr="00D077BF">
        <w:rPr>
          <w:rFonts w:ascii="Cambria" w:hAnsi="Cambria" w:cs="Arial"/>
        </w:rPr>
        <w:t>Dans le cadre de son partenariat avec l’Agence de l'</w:t>
      </w:r>
      <w:r w:rsidR="005E489C" w:rsidRPr="00D077BF">
        <w:rPr>
          <w:rFonts w:ascii="Cambria" w:hAnsi="Cambria" w:cs="Arial"/>
        </w:rPr>
        <w:t>e</w:t>
      </w:r>
      <w:r w:rsidRPr="00D077BF">
        <w:rPr>
          <w:rFonts w:ascii="Cambria" w:hAnsi="Cambria" w:cs="Arial"/>
        </w:rPr>
        <w:t xml:space="preserve">nvironnement et de la </w:t>
      </w:r>
      <w:r w:rsidR="005E489C" w:rsidRPr="00D077BF">
        <w:rPr>
          <w:rFonts w:ascii="Cambria" w:hAnsi="Cambria" w:cs="Arial"/>
        </w:rPr>
        <w:t>m</w:t>
      </w:r>
      <w:r w:rsidRPr="00D077BF">
        <w:rPr>
          <w:rFonts w:ascii="Cambria" w:hAnsi="Cambria" w:cs="Arial"/>
        </w:rPr>
        <w:t xml:space="preserve">aîtrise de </w:t>
      </w:r>
      <w:r w:rsidR="005E489C" w:rsidRPr="00D077BF">
        <w:rPr>
          <w:rFonts w:ascii="Cambria" w:hAnsi="Cambria" w:cs="Arial"/>
        </w:rPr>
        <w:t>l’énergie</w:t>
      </w:r>
      <w:r w:rsidRPr="00D077BF">
        <w:rPr>
          <w:rFonts w:ascii="Cambria" w:hAnsi="Cambria" w:cs="Arial"/>
        </w:rPr>
        <w:t xml:space="preserve"> (ADEME) pour l’accompagnement de sa transition énergétique, le Pays a montré sa volonté de mobiliser l’ensemble des acteurs sur des actions de maîtrise de l’énergie, en instaurant et en cofinançant le fonctionnement de </w:t>
      </w:r>
      <w:r w:rsidR="005E489C" w:rsidRPr="00D077BF">
        <w:rPr>
          <w:rFonts w:ascii="Cambria" w:hAnsi="Cambria" w:cs="Arial"/>
        </w:rPr>
        <w:t>l’</w:t>
      </w:r>
      <w:r w:rsidRPr="00D077BF">
        <w:rPr>
          <w:rFonts w:ascii="Cambria" w:hAnsi="Cambria" w:cs="Arial"/>
        </w:rPr>
        <w:t>EIE depuis plusieurs années. Un espace info</w:t>
      </w:r>
      <w:r w:rsidR="005E489C" w:rsidRPr="00D077BF">
        <w:rPr>
          <w:rFonts w:ascii="Cambria" w:hAnsi="Cambria" w:cs="Arial"/>
        </w:rPr>
        <w:t xml:space="preserve"> </w:t>
      </w:r>
      <w:r w:rsidRPr="00D077BF">
        <w:rPr>
          <w:rFonts w:ascii="Cambria" w:hAnsi="Cambria" w:cs="Arial"/>
        </w:rPr>
        <w:t xml:space="preserve">énergie est un outil conçu et soutenu par l’ADEME, qui a pour mission de délivrer une information de qualité et conseiller gratuitement le grand public sur les réflexes simples à adopter et les solutions à mettre en œuvre afin de réduire sa consommation d’énergie et de contribuer à la réduction des émissions de gaz à effet de serre.  </w:t>
      </w:r>
    </w:p>
    <w:p w14:paraId="3A15CDF8" w14:textId="77777777" w:rsidR="00C83691" w:rsidRPr="00D077BF" w:rsidRDefault="008861E8" w:rsidP="008861E8">
      <w:pPr>
        <w:pStyle w:val="NormalWeb"/>
        <w:jc w:val="both"/>
        <w:rPr>
          <w:rFonts w:ascii="Cambria" w:hAnsi="Cambria" w:cs="Arial"/>
        </w:rPr>
      </w:pPr>
      <w:r w:rsidRPr="00D077BF">
        <w:rPr>
          <w:rFonts w:ascii="Cambria" w:hAnsi="Cambria" w:cs="Arial"/>
        </w:rPr>
        <w:t>En Polynésie française, cet espace est animé depuis avril 2015 par la FOL.  Les actions de l’EIE portées par deux conseillers s’articulent autour de conseils personnalisés auprès de particuliers (maîtrise de l’énergie (MDE), équipements, énergies renouvelables (</w:t>
      </w:r>
      <w:proofErr w:type="spellStart"/>
      <w:r w:rsidRPr="00D077BF">
        <w:rPr>
          <w:rFonts w:ascii="Cambria" w:hAnsi="Cambria" w:cs="Arial"/>
        </w:rPr>
        <w:t>EnR</w:t>
      </w:r>
      <w:proofErr w:type="spellEnd"/>
      <w:r w:rsidRPr="00D077BF">
        <w:rPr>
          <w:rFonts w:ascii="Cambria" w:hAnsi="Cambria" w:cs="Arial"/>
        </w:rPr>
        <w:t xml:space="preserve">), éco-construction…), de sensibilisation des scolaires (collèges et lycées), mais aussi de représentations lors de manifestations (salon de l’habitat, salon éco-durable Ti’a, semaine européenne de la mobilité, etc.). L’EIE conçoit et anime lui-même la fête de l’énergie en Polynésie française. Il développe également des outils de communication (flyers, roll-up, posters, animation d’une page Facebook et d’un site internet) ainsi que des outils pédagogiques pour l’assister dans ses interventions (jeu de l’énergie, roue de l’énergie, maquettes, etc.), et participe régulièrement à des émissions de radio ou de télévision. Il est également le concepteur et l’animateur du défi </w:t>
      </w:r>
      <w:proofErr w:type="spellStart"/>
      <w:r w:rsidRPr="00D077BF">
        <w:rPr>
          <w:rFonts w:ascii="Cambria" w:hAnsi="Cambria" w:cs="Arial"/>
        </w:rPr>
        <w:t>Tarani</w:t>
      </w:r>
      <w:proofErr w:type="spellEnd"/>
      <w:r w:rsidRPr="00D077BF">
        <w:rPr>
          <w:rFonts w:ascii="Cambria" w:hAnsi="Cambria" w:cs="Arial"/>
        </w:rPr>
        <w:t xml:space="preserve"> </w:t>
      </w:r>
      <w:proofErr w:type="spellStart"/>
      <w:r w:rsidRPr="00D077BF">
        <w:rPr>
          <w:rFonts w:ascii="Cambria" w:hAnsi="Cambria" w:cs="Arial"/>
        </w:rPr>
        <w:t>Uira</w:t>
      </w:r>
      <w:proofErr w:type="spellEnd"/>
      <w:r w:rsidRPr="00D077BF">
        <w:rPr>
          <w:rFonts w:ascii="Cambria" w:hAnsi="Cambria" w:cs="Arial"/>
        </w:rPr>
        <w:t xml:space="preserve">, un défi lancé entre </w:t>
      </w:r>
      <w:r w:rsidRPr="00D077BF">
        <w:rPr>
          <w:rFonts w:ascii="Cambria" w:hAnsi="Cambria" w:cs="Arial"/>
        </w:rPr>
        <w:lastRenderedPageBreak/>
        <w:t xml:space="preserve">plusieurs familles pour tenter de réduire leurs factures d’électricité par l’application d’écogestes au quotidien. Depuis 2020, il organise le concours CUBE (Concours </w:t>
      </w:r>
      <w:r w:rsidR="00C83691" w:rsidRPr="00D077BF">
        <w:rPr>
          <w:rFonts w:ascii="Cambria" w:hAnsi="Cambria" w:cs="Arial"/>
        </w:rPr>
        <w:t>u</w:t>
      </w:r>
      <w:r w:rsidRPr="00D077BF">
        <w:rPr>
          <w:rFonts w:ascii="Cambria" w:hAnsi="Cambria" w:cs="Arial"/>
        </w:rPr>
        <w:t xml:space="preserve">sages </w:t>
      </w:r>
      <w:r w:rsidR="00C83691" w:rsidRPr="00D077BF">
        <w:rPr>
          <w:rFonts w:ascii="Cambria" w:hAnsi="Cambria" w:cs="Arial"/>
        </w:rPr>
        <w:t>b</w:t>
      </w:r>
      <w:r w:rsidRPr="00D077BF">
        <w:rPr>
          <w:rFonts w:ascii="Cambria" w:hAnsi="Cambria" w:cs="Arial"/>
        </w:rPr>
        <w:t xml:space="preserve">âtiments </w:t>
      </w:r>
      <w:r w:rsidR="00C83691" w:rsidRPr="00D077BF">
        <w:rPr>
          <w:rFonts w:ascii="Cambria" w:hAnsi="Cambria" w:cs="Arial"/>
        </w:rPr>
        <w:t>e</w:t>
      </w:r>
      <w:r w:rsidRPr="00D077BF">
        <w:rPr>
          <w:rFonts w:ascii="Cambria" w:hAnsi="Cambria" w:cs="Arial"/>
        </w:rPr>
        <w:t xml:space="preserve">fficaces) qui est une compétition confrontant différents bâtiments tertiaires sur les économies d'énergies, avec l’assistance de l'Institut français pour la performance des bâtiments (IFPEB). </w:t>
      </w:r>
    </w:p>
    <w:p w14:paraId="47EB7962" w14:textId="609B1F8A" w:rsidR="008861E8" w:rsidRPr="00D077BF" w:rsidRDefault="008861E8" w:rsidP="008861E8">
      <w:pPr>
        <w:pStyle w:val="NormalWeb"/>
        <w:jc w:val="both"/>
        <w:rPr>
          <w:rFonts w:ascii="Cambria" w:hAnsi="Cambria" w:cs="Arial"/>
        </w:rPr>
      </w:pPr>
      <w:r w:rsidRPr="00D077BF">
        <w:rPr>
          <w:rFonts w:ascii="Cambria" w:hAnsi="Cambria" w:cs="Arial"/>
        </w:rPr>
        <w:t xml:space="preserve">Pour en savoir plus et suivre les activités de l’espace info énergie de Polynésie, vous pouvez rejoindre le site internet : </w:t>
      </w:r>
      <w:hyperlink r:id="rId9" w:history="1">
        <w:r w:rsidRPr="00D077BF">
          <w:rPr>
            <w:rStyle w:val="Lienhypertexte"/>
            <w:rFonts w:ascii="Cambria" w:hAnsi="Cambria" w:cs="Arial"/>
          </w:rPr>
          <w:t>https://www.infoenergie-polynesie.com/</w:t>
        </w:r>
      </w:hyperlink>
      <w:r w:rsidRPr="00D077BF">
        <w:rPr>
          <w:rFonts w:ascii="Cambria" w:hAnsi="Cambria" w:cs="Arial"/>
        </w:rPr>
        <w:t xml:space="preserve"> ou la page </w:t>
      </w:r>
      <w:proofErr w:type="spellStart"/>
      <w:r w:rsidRPr="00D077BF">
        <w:rPr>
          <w:rFonts w:ascii="Cambria" w:hAnsi="Cambria" w:cs="Arial"/>
        </w:rPr>
        <w:t>facebook</w:t>
      </w:r>
      <w:proofErr w:type="spellEnd"/>
      <w:r w:rsidRPr="00D077BF">
        <w:rPr>
          <w:rFonts w:ascii="Cambria" w:hAnsi="Cambria" w:cs="Arial"/>
        </w:rPr>
        <w:t xml:space="preserve"> dédiée : </w:t>
      </w:r>
      <w:hyperlink r:id="rId10" w:history="1">
        <w:r w:rsidRPr="00D077BF">
          <w:rPr>
            <w:rStyle w:val="Lienhypertexte"/>
            <w:rFonts w:ascii="Cambria" w:hAnsi="Cambria" w:cs="Arial"/>
          </w:rPr>
          <w:t>https://fr-fr.facebook.com/EspaceInfoEnergie/</w:t>
        </w:r>
      </w:hyperlink>
      <w:r w:rsidRPr="00D077BF">
        <w:rPr>
          <w:rFonts w:ascii="Cambria" w:hAnsi="Cambria" w:cs="Arial"/>
        </w:rPr>
        <w:t xml:space="preserve">. </w:t>
      </w:r>
    </w:p>
    <w:p w14:paraId="641FCF04" w14:textId="77777777" w:rsidR="007C0966" w:rsidRPr="00D077BF" w:rsidRDefault="007C0966" w:rsidP="00B34D62">
      <w:pPr>
        <w:pStyle w:val="NormalWeb"/>
        <w:jc w:val="both"/>
        <w:rPr>
          <w:rFonts w:ascii="Cambria" w:hAnsi="Cambria" w:cs="Arial"/>
        </w:rPr>
      </w:pPr>
    </w:p>
    <w:p w14:paraId="05939327" w14:textId="19DC95E0" w:rsidR="007C0966" w:rsidRPr="00D077BF" w:rsidRDefault="007C0966" w:rsidP="007C0966">
      <w:pPr>
        <w:pStyle w:val="Titre2"/>
        <w:rPr>
          <w:lang w:eastAsia="fr-FR"/>
        </w:rPr>
      </w:pPr>
      <w:bookmarkStart w:id="7" w:name="_Toc89873568"/>
      <w:r w:rsidRPr="00D077BF">
        <w:rPr>
          <w:lang w:eastAsia="fr-FR"/>
        </w:rPr>
        <w:t>Elaboration du Plan Climat de la Polynésie française (PCPF) 2022-2030</w:t>
      </w:r>
      <w:bookmarkEnd w:id="7"/>
    </w:p>
    <w:p w14:paraId="0980F7E4" w14:textId="77777777" w:rsidR="007C0966" w:rsidRPr="00D077BF" w:rsidRDefault="007C0966" w:rsidP="007C0966">
      <w:pPr>
        <w:rPr>
          <w:rFonts w:ascii="Cambria" w:hAnsi="Cambria"/>
          <w:lang w:eastAsia="fr-FR"/>
        </w:rPr>
      </w:pPr>
    </w:p>
    <w:p w14:paraId="0C774CAA" w14:textId="77777777" w:rsidR="000962B2" w:rsidRPr="00D077BF" w:rsidRDefault="00C83691" w:rsidP="00B34D62">
      <w:pPr>
        <w:pStyle w:val="NormalWeb"/>
        <w:jc w:val="both"/>
        <w:rPr>
          <w:rFonts w:ascii="Cambria" w:hAnsi="Cambria" w:cs="Arial"/>
        </w:rPr>
      </w:pPr>
      <w:r w:rsidRPr="00D077BF">
        <w:rPr>
          <w:rFonts w:ascii="Cambria" w:hAnsi="Cambria" w:cs="Arial"/>
        </w:rPr>
        <w:t xml:space="preserve">Le ministre en charge de l’Energie a présenté au Conseil des ministres l’élaboration de la future stratégie climatique de la Polynésie française. La Polynésie française s’est engagée en 2015 dans la mise en œuvre d’un Plan </w:t>
      </w:r>
      <w:r w:rsidR="000962B2" w:rsidRPr="00D077BF">
        <w:rPr>
          <w:rFonts w:ascii="Cambria" w:hAnsi="Cambria" w:cs="Arial"/>
        </w:rPr>
        <w:t>c</w:t>
      </w:r>
      <w:r w:rsidRPr="00D077BF">
        <w:rPr>
          <w:rFonts w:ascii="Cambria" w:hAnsi="Cambria" w:cs="Arial"/>
        </w:rPr>
        <w:t xml:space="preserve">limat </w:t>
      </w:r>
      <w:r w:rsidR="000962B2" w:rsidRPr="00D077BF">
        <w:rPr>
          <w:rFonts w:ascii="Cambria" w:hAnsi="Cambria" w:cs="Arial"/>
        </w:rPr>
        <w:t>é</w:t>
      </w:r>
      <w:r w:rsidRPr="00D077BF">
        <w:rPr>
          <w:rFonts w:ascii="Cambria" w:hAnsi="Cambria" w:cs="Arial"/>
        </w:rPr>
        <w:t xml:space="preserve">nergie 2015-2020 (PCE) afin de réduire les consommations </w:t>
      </w:r>
      <w:r w:rsidR="000962B2" w:rsidRPr="00D077BF">
        <w:rPr>
          <w:rFonts w:ascii="Cambria" w:hAnsi="Cambria" w:cs="Arial"/>
        </w:rPr>
        <w:t>énergétiques, développer</w:t>
      </w:r>
      <w:r w:rsidRPr="00D077BF">
        <w:rPr>
          <w:rFonts w:ascii="Cambria" w:hAnsi="Cambria" w:cs="Arial"/>
        </w:rPr>
        <w:t xml:space="preserve"> la production d’énergies renouvelables et s’adapter aux effets du changement climatique. </w:t>
      </w:r>
    </w:p>
    <w:p w14:paraId="606D3213" w14:textId="77777777" w:rsidR="000962B2" w:rsidRPr="00D077BF" w:rsidRDefault="00C83691" w:rsidP="00B34D62">
      <w:pPr>
        <w:pStyle w:val="NormalWeb"/>
        <w:jc w:val="both"/>
        <w:rPr>
          <w:rFonts w:ascii="Cambria" w:hAnsi="Cambria" w:cs="Arial"/>
        </w:rPr>
      </w:pPr>
      <w:r w:rsidRPr="00D077BF">
        <w:rPr>
          <w:rFonts w:ascii="Cambria" w:hAnsi="Cambria" w:cs="Arial"/>
        </w:rPr>
        <w:t>Le dernier comité de suivi du PC</w:t>
      </w:r>
      <w:r w:rsidR="000962B2" w:rsidRPr="00D077BF">
        <w:rPr>
          <w:rFonts w:ascii="Cambria" w:hAnsi="Cambria" w:cs="Arial"/>
        </w:rPr>
        <w:t>E</w:t>
      </w:r>
      <w:r w:rsidRPr="00D077BF">
        <w:rPr>
          <w:rFonts w:ascii="Cambria" w:hAnsi="Cambria" w:cs="Arial"/>
        </w:rPr>
        <w:t xml:space="preserve"> s’est réuni le 02 juillet 2021. Lors de cette réunion d’évaluation finale, il a été constaté que les cibles fixées à -6,5% de</w:t>
      </w:r>
      <w:r w:rsidR="000962B2" w:rsidRPr="00D077BF">
        <w:rPr>
          <w:rFonts w:ascii="Cambria" w:hAnsi="Cambria" w:cs="Arial"/>
        </w:rPr>
        <w:t xml:space="preserve"> gaz à effet de serre (GES)</w:t>
      </w:r>
      <w:r w:rsidRPr="00D077BF">
        <w:rPr>
          <w:rFonts w:ascii="Cambria" w:hAnsi="Cambria" w:cs="Arial"/>
        </w:rPr>
        <w:t xml:space="preserve"> et</w:t>
      </w:r>
      <w:r w:rsidR="000962B2" w:rsidRPr="00D077BF">
        <w:rPr>
          <w:rFonts w:ascii="Cambria" w:hAnsi="Cambria" w:cs="Arial"/>
        </w:rPr>
        <w:t xml:space="preserve"> </w:t>
      </w:r>
      <w:r w:rsidRPr="00D077BF">
        <w:rPr>
          <w:rFonts w:ascii="Cambria" w:hAnsi="Cambria" w:cs="Arial"/>
        </w:rPr>
        <w:t>-5% de consommation d’énergie fossile pour la période 2015-2020 n’ont pas été atteintes.</w:t>
      </w:r>
      <w:r w:rsidR="000962B2" w:rsidRPr="00D077BF">
        <w:rPr>
          <w:rFonts w:ascii="Cambria" w:hAnsi="Cambria" w:cs="Arial"/>
        </w:rPr>
        <w:t xml:space="preserve"> </w:t>
      </w:r>
      <w:r w:rsidRPr="00D077BF">
        <w:rPr>
          <w:rFonts w:ascii="Cambria" w:hAnsi="Cambria" w:cs="Arial"/>
        </w:rPr>
        <w:t xml:space="preserve">En effet la consommation d’énergie ainsi que les émissions de GES ont progressé d’environ 7% entre 2014 et 2019. </w:t>
      </w:r>
    </w:p>
    <w:p w14:paraId="43B1E09E" w14:textId="77777777" w:rsidR="00B7086F" w:rsidRPr="00D077BF" w:rsidRDefault="00C83691" w:rsidP="00B34D62">
      <w:pPr>
        <w:pStyle w:val="NormalWeb"/>
        <w:jc w:val="both"/>
        <w:rPr>
          <w:rFonts w:ascii="Cambria" w:hAnsi="Cambria" w:cs="Arial"/>
        </w:rPr>
      </w:pPr>
      <w:r w:rsidRPr="00D077BF">
        <w:rPr>
          <w:rFonts w:ascii="Cambria" w:hAnsi="Cambria" w:cs="Arial"/>
        </w:rPr>
        <w:t xml:space="preserve">De plus, la baisse de la consommation d’énergie observée sur 2020 résulte de la crise sanitaire. Elle n’est donc pas de nature à contribuer durablement aux objectifs du territoire en matière de réduction des émissions de gaz à effet de serre. A l’heure du bilan du </w:t>
      </w:r>
      <w:r w:rsidR="000962B2" w:rsidRPr="00D077BF">
        <w:rPr>
          <w:rFonts w:ascii="Cambria" w:hAnsi="Cambria" w:cs="Arial"/>
        </w:rPr>
        <w:t>PEC,</w:t>
      </w:r>
      <w:r w:rsidRPr="00D077BF">
        <w:rPr>
          <w:rFonts w:ascii="Cambria" w:hAnsi="Cambria" w:cs="Arial"/>
        </w:rPr>
        <w:t xml:space="preserve"> le Territoire de la Polynésie française souhaite d’ores et déjà poursuivre et consolider sa démarche d’atténuation et d’adaptation au changement climatique en s’engageant dans une nouvelle démarche intitulée Plan Climat de la Polynésie française (PCPF). </w:t>
      </w:r>
    </w:p>
    <w:p w14:paraId="664C6C31" w14:textId="77777777" w:rsidR="00D779A2" w:rsidRPr="00D077BF" w:rsidRDefault="00C83691" w:rsidP="00B34D62">
      <w:pPr>
        <w:pStyle w:val="NormalWeb"/>
        <w:jc w:val="both"/>
        <w:rPr>
          <w:rFonts w:ascii="Cambria" w:hAnsi="Cambria" w:cs="Arial"/>
        </w:rPr>
      </w:pPr>
      <w:r w:rsidRPr="00D077BF">
        <w:rPr>
          <w:rFonts w:ascii="Cambria" w:hAnsi="Cambria" w:cs="Arial"/>
        </w:rPr>
        <w:t xml:space="preserve">Pour permettre sa réussite, ce PCPF devra s’appuyer sur le principal enseignement du PCE, à savoir l’identifier comme la base de toutes les politiques sectorielles et le considérer comme tel. Il permettra de compléter l’approche du </w:t>
      </w:r>
      <w:r w:rsidR="0021263D" w:rsidRPr="00D077BF">
        <w:rPr>
          <w:rFonts w:ascii="Cambria" w:hAnsi="Cambria" w:cs="Arial"/>
        </w:rPr>
        <w:t>s</w:t>
      </w:r>
      <w:r w:rsidRPr="00D077BF">
        <w:rPr>
          <w:rFonts w:ascii="Cambria" w:hAnsi="Cambria" w:cs="Arial"/>
        </w:rPr>
        <w:t>chéma d’</w:t>
      </w:r>
      <w:r w:rsidR="0021263D" w:rsidRPr="00D077BF">
        <w:rPr>
          <w:rFonts w:ascii="Cambria" w:hAnsi="Cambria" w:cs="Arial"/>
        </w:rPr>
        <w:t>a</w:t>
      </w:r>
      <w:r w:rsidRPr="00D077BF">
        <w:rPr>
          <w:rFonts w:ascii="Cambria" w:hAnsi="Cambria" w:cs="Arial"/>
        </w:rPr>
        <w:t xml:space="preserve">ménagement </w:t>
      </w:r>
      <w:r w:rsidR="0021263D" w:rsidRPr="00D077BF">
        <w:rPr>
          <w:rFonts w:ascii="Cambria" w:hAnsi="Cambria" w:cs="Arial"/>
        </w:rPr>
        <w:t>g</w:t>
      </w:r>
      <w:r w:rsidRPr="00D077BF">
        <w:rPr>
          <w:rFonts w:ascii="Cambria" w:hAnsi="Cambria" w:cs="Arial"/>
        </w:rPr>
        <w:t xml:space="preserve">énéral (SAGE) qui consiste à donner un cadre de référence et une cohérence aux projets d’aménagements de la Polynésie française mais dans lequel les objectifs climatiques sont peu présents. </w:t>
      </w:r>
    </w:p>
    <w:p w14:paraId="52AB02B4" w14:textId="78FD4251" w:rsidR="007C0966" w:rsidRPr="00D077BF" w:rsidRDefault="00C83691" w:rsidP="00B34D62">
      <w:pPr>
        <w:pStyle w:val="NormalWeb"/>
        <w:jc w:val="both"/>
        <w:rPr>
          <w:rFonts w:ascii="Cambria" w:hAnsi="Cambria" w:cs="Arial"/>
        </w:rPr>
      </w:pPr>
      <w:r w:rsidRPr="00D077BF">
        <w:rPr>
          <w:rFonts w:ascii="Cambria" w:hAnsi="Cambria" w:cs="Arial"/>
        </w:rPr>
        <w:t>Le futur PCPF devra contribuer à renforcer l’ambition et les objectifs climatiques de chaque schéma sectoriel existant. La réussite de cette démarche ne pourra qu’être favorisée par la mobilisation des acteurs locaux, des habitants et des entreprises. Pour impliquer le plus largement possible la population dans cette démarche et définir collectivement la stratégie climatique de la Polynésie française, le Pays invite le public à participer aux événements et ateliers qu’il va organiser dans les mois à venir.</w:t>
      </w:r>
    </w:p>
    <w:p w14:paraId="26E6153D" w14:textId="1F77D715" w:rsidR="00AF7E65" w:rsidRDefault="00AF7E65" w:rsidP="00B34D62">
      <w:pPr>
        <w:pStyle w:val="NormalWeb"/>
        <w:jc w:val="both"/>
        <w:rPr>
          <w:rFonts w:ascii="Cambria" w:hAnsi="Cambria" w:cs="Arial"/>
        </w:rPr>
      </w:pPr>
    </w:p>
    <w:p w14:paraId="538306FC" w14:textId="64AFE0E3" w:rsidR="00F35081" w:rsidRDefault="00F35081" w:rsidP="00B34D62">
      <w:pPr>
        <w:pStyle w:val="NormalWeb"/>
        <w:jc w:val="both"/>
        <w:rPr>
          <w:rFonts w:ascii="Cambria" w:hAnsi="Cambria" w:cs="Arial"/>
        </w:rPr>
      </w:pPr>
    </w:p>
    <w:p w14:paraId="4A536185" w14:textId="77777777" w:rsidR="00F35081" w:rsidRPr="00D077BF" w:rsidRDefault="00F35081" w:rsidP="00B34D62">
      <w:pPr>
        <w:pStyle w:val="NormalWeb"/>
        <w:jc w:val="both"/>
        <w:rPr>
          <w:rFonts w:ascii="Cambria" w:hAnsi="Cambria" w:cs="Arial"/>
        </w:rPr>
      </w:pPr>
    </w:p>
    <w:p w14:paraId="3BF05B2D" w14:textId="37A42EEF" w:rsidR="00AF7E65" w:rsidRPr="00D077BF" w:rsidRDefault="00AF7E65" w:rsidP="00AF7E65">
      <w:pPr>
        <w:pStyle w:val="Titre2"/>
        <w:rPr>
          <w:lang w:eastAsia="fr-FR"/>
        </w:rPr>
      </w:pPr>
      <w:bookmarkStart w:id="8" w:name="_Toc89873569"/>
      <w:r w:rsidRPr="00D077BF">
        <w:rPr>
          <w:lang w:eastAsia="fr-FR"/>
        </w:rPr>
        <w:lastRenderedPageBreak/>
        <w:t>Projet de convention entre la Caisse de prévoyance sociale (CPS) et la Maison de naissance « Tumu Ora »</w:t>
      </w:r>
      <w:bookmarkEnd w:id="8"/>
    </w:p>
    <w:p w14:paraId="3C7930E7" w14:textId="77777777" w:rsidR="00AF7E65" w:rsidRPr="00D077BF" w:rsidRDefault="00AF7E65" w:rsidP="00B34D62">
      <w:pPr>
        <w:pStyle w:val="NormalWeb"/>
        <w:jc w:val="both"/>
        <w:rPr>
          <w:rFonts w:ascii="Cambria" w:hAnsi="Cambria" w:cs="Arial"/>
        </w:rPr>
      </w:pPr>
    </w:p>
    <w:bookmarkEnd w:id="3"/>
    <w:p w14:paraId="7851B525" w14:textId="77777777" w:rsidR="00AF7E65" w:rsidRPr="00D077BF" w:rsidRDefault="00AF7E65" w:rsidP="00AF7E65">
      <w:pPr>
        <w:jc w:val="both"/>
        <w:rPr>
          <w:rFonts w:ascii="Cambria" w:hAnsi="Cambria" w:cstheme="minorHAnsi"/>
        </w:rPr>
      </w:pPr>
      <w:r w:rsidRPr="00D077BF">
        <w:rPr>
          <w:rFonts w:ascii="Cambria" w:hAnsi="Cambria" w:cstheme="minorHAnsi"/>
        </w:rPr>
        <w:t xml:space="preserve">Depuis plusieurs années des familles de Polynésie française expriment le souhait d'avoir la possibilité de mettre au monde leur enfant dans des structures moins médicalisées. </w:t>
      </w:r>
    </w:p>
    <w:p w14:paraId="719F4500" w14:textId="77777777" w:rsidR="00AF7E65" w:rsidRPr="00D077BF" w:rsidRDefault="00AF7E65" w:rsidP="00AF7E65">
      <w:pPr>
        <w:jc w:val="both"/>
        <w:rPr>
          <w:rFonts w:ascii="Cambria" w:hAnsi="Cambria" w:cstheme="minorHAnsi"/>
        </w:rPr>
      </w:pPr>
    </w:p>
    <w:p w14:paraId="0626F4E2" w14:textId="77777777" w:rsidR="00AF7E65" w:rsidRPr="00D077BF" w:rsidRDefault="00AF7E65" w:rsidP="00AF7E65">
      <w:pPr>
        <w:jc w:val="both"/>
        <w:rPr>
          <w:rFonts w:ascii="Cambria" w:hAnsi="Cambria" w:cstheme="minorHAnsi"/>
        </w:rPr>
      </w:pPr>
      <w:r w:rsidRPr="00D077BF">
        <w:rPr>
          <w:rFonts w:ascii="Cambria" w:hAnsi="Cambria" w:cstheme="minorHAnsi"/>
        </w:rPr>
        <w:t>La loi du 6 décembre 2013 a permis l'expérimentation, en métropole, des maisons de naissance, structures gérées par des sage-femmes, prenant en charge les femmes enceintes à bas risque de complication, pendant la grossesse, l'accouchement et ses suites, avec le minimum d'intervention, dans un environnement un peu « comme à la maison ».</w:t>
      </w:r>
    </w:p>
    <w:p w14:paraId="1F8D3A86" w14:textId="77777777" w:rsidR="00AF7E65" w:rsidRPr="00D077BF" w:rsidRDefault="00AF7E65" w:rsidP="00AF7E65">
      <w:pPr>
        <w:jc w:val="both"/>
        <w:rPr>
          <w:rFonts w:ascii="Cambria" w:hAnsi="Cambria" w:cstheme="minorHAnsi"/>
        </w:rPr>
      </w:pPr>
    </w:p>
    <w:p w14:paraId="080AF7E8" w14:textId="77777777" w:rsidR="00AF7E65" w:rsidRPr="00D077BF" w:rsidRDefault="00AF7E65" w:rsidP="00AF7E65">
      <w:pPr>
        <w:jc w:val="both"/>
        <w:rPr>
          <w:rFonts w:ascii="Cambria" w:hAnsi="Cambria" w:cstheme="minorHAnsi"/>
        </w:rPr>
      </w:pPr>
      <w:r w:rsidRPr="00D077BF">
        <w:rPr>
          <w:rFonts w:ascii="Cambria" w:hAnsi="Cambria" w:cstheme="minorHAnsi"/>
        </w:rPr>
        <w:t>En Polynésie française, la naissance est encore considérée par les parents comme un évènement naturel et simple. Les femmes polynésiennes sont peu demandeuses d'une analgésie péridurale (47 % de recours sur les dernières statistiques disponibles du Centre Hospitalier de Polynésie française).</w:t>
      </w:r>
    </w:p>
    <w:p w14:paraId="27D52EDD" w14:textId="77777777" w:rsidR="00AF7E65" w:rsidRPr="00D077BF" w:rsidRDefault="00AF7E65" w:rsidP="00AF7E65">
      <w:pPr>
        <w:jc w:val="both"/>
        <w:rPr>
          <w:rFonts w:ascii="Cambria" w:hAnsi="Cambria" w:cstheme="minorHAnsi"/>
        </w:rPr>
      </w:pPr>
    </w:p>
    <w:p w14:paraId="387394E0" w14:textId="77777777" w:rsidR="00AF7E65" w:rsidRPr="00D077BF" w:rsidRDefault="00AF7E65" w:rsidP="00AF7E65">
      <w:pPr>
        <w:jc w:val="both"/>
        <w:rPr>
          <w:rFonts w:ascii="Cambria" w:hAnsi="Cambria" w:cstheme="minorHAnsi"/>
        </w:rPr>
      </w:pPr>
      <w:r w:rsidRPr="00D077BF">
        <w:rPr>
          <w:rFonts w:ascii="Cambria" w:hAnsi="Cambria" w:cstheme="minorHAnsi"/>
        </w:rPr>
        <w:t>L’association Maison de naissance « Tumu Ora » a été autorisée par arrêté du 26 juillet 2021 à créer à titre expérimental une maison de naissance en Polynésie française.</w:t>
      </w:r>
    </w:p>
    <w:p w14:paraId="45231EE1" w14:textId="77777777" w:rsidR="00AF7E65" w:rsidRPr="00D077BF" w:rsidRDefault="00AF7E65" w:rsidP="00AF7E65">
      <w:pPr>
        <w:jc w:val="both"/>
        <w:rPr>
          <w:rFonts w:ascii="Cambria" w:hAnsi="Cambria" w:cstheme="minorHAnsi"/>
        </w:rPr>
      </w:pPr>
    </w:p>
    <w:p w14:paraId="6F647ED8" w14:textId="77777777" w:rsidR="00AF7E65" w:rsidRPr="00D077BF" w:rsidRDefault="00AF7E65" w:rsidP="00AF7E65">
      <w:pPr>
        <w:jc w:val="both"/>
        <w:rPr>
          <w:rFonts w:ascii="Cambria" w:hAnsi="Cambria" w:cstheme="minorHAnsi"/>
        </w:rPr>
      </w:pPr>
      <w:r w:rsidRPr="00D077BF">
        <w:rPr>
          <w:rFonts w:ascii="Cambria" w:hAnsi="Cambria" w:cstheme="minorHAnsi"/>
        </w:rPr>
        <w:t>Les objectifs poursuivis dans ce projet sont les suivants :</w:t>
      </w:r>
    </w:p>
    <w:p w14:paraId="7D630DE4" w14:textId="77777777" w:rsidR="00AF7E65" w:rsidRPr="00D077BF" w:rsidRDefault="00AF7E65" w:rsidP="00AF7E65">
      <w:pPr>
        <w:pStyle w:val="Paragraphedeliste"/>
        <w:numPr>
          <w:ilvl w:val="0"/>
          <w:numId w:val="32"/>
        </w:numPr>
        <w:jc w:val="both"/>
        <w:rPr>
          <w:rFonts w:ascii="Cambria" w:hAnsi="Cambria" w:cstheme="minorHAnsi"/>
        </w:rPr>
      </w:pPr>
      <w:r w:rsidRPr="00D077BF">
        <w:rPr>
          <w:rFonts w:ascii="Cambria" w:hAnsi="Cambria" w:cstheme="minorHAnsi"/>
        </w:rPr>
        <w:t>La diversification de l'offre de soins périnataux en Polynésie française pour les patientes en situation de bas risque obstétrical ;</w:t>
      </w:r>
    </w:p>
    <w:p w14:paraId="5C18D38B" w14:textId="77777777" w:rsidR="00AF7E65" w:rsidRPr="00D077BF" w:rsidRDefault="00AF7E65" w:rsidP="00AF7E65">
      <w:pPr>
        <w:pStyle w:val="Paragraphedeliste"/>
        <w:numPr>
          <w:ilvl w:val="0"/>
          <w:numId w:val="32"/>
        </w:numPr>
        <w:jc w:val="both"/>
        <w:rPr>
          <w:rFonts w:ascii="Cambria" w:hAnsi="Cambria" w:cstheme="minorHAnsi"/>
        </w:rPr>
      </w:pPr>
      <w:r w:rsidRPr="00D077BF">
        <w:rPr>
          <w:rFonts w:ascii="Cambria" w:hAnsi="Cambria" w:cstheme="minorHAnsi"/>
        </w:rPr>
        <w:t>La création d'un espace où sont mis en avant : la physiologie de la mise au monde, le respect des valeurs culturelles et familiales de la naissance, la prévention de l’iatrogénie (ensemble des effets indésirables provoqués par la prise d’un ou plusieurs médicaments), la prise en charge globale de l'individu par une même équipe de professionnels, intime et personnalisée ;</w:t>
      </w:r>
    </w:p>
    <w:p w14:paraId="3F78751B" w14:textId="77777777" w:rsidR="00AF7E65" w:rsidRPr="00D077BF" w:rsidRDefault="00AF7E65" w:rsidP="00AF7E65">
      <w:pPr>
        <w:pStyle w:val="Paragraphedeliste"/>
        <w:numPr>
          <w:ilvl w:val="0"/>
          <w:numId w:val="32"/>
        </w:numPr>
        <w:jc w:val="both"/>
        <w:rPr>
          <w:rFonts w:ascii="Cambria" w:hAnsi="Cambria" w:cstheme="minorHAnsi"/>
        </w:rPr>
      </w:pPr>
      <w:r w:rsidRPr="00D077BF">
        <w:rPr>
          <w:rFonts w:ascii="Cambria" w:hAnsi="Cambria" w:cstheme="minorHAnsi"/>
        </w:rPr>
        <w:t>La collaboration du secteur public et privé en médecine périnatale et l'établissement du début d'un réseau de soins ;</w:t>
      </w:r>
    </w:p>
    <w:p w14:paraId="0B315F15" w14:textId="26626D21" w:rsidR="00AF7E65" w:rsidRPr="00D077BF" w:rsidRDefault="00AF7E65" w:rsidP="00AF7E65">
      <w:pPr>
        <w:pStyle w:val="Paragraphedeliste"/>
        <w:numPr>
          <w:ilvl w:val="0"/>
          <w:numId w:val="32"/>
        </w:numPr>
        <w:jc w:val="both"/>
        <w:rPr>
          <w:rFonts w:ascii="Cambria" w:hAnsi="Cambria" w:cstheme="minorHAnsi"/>
        </w:rPr>
      </w:pPr>
      <w:r w:rsidRPr="00D077BF">
        <w:rPr>
          <w:rFonts w:ascii="Cambria" w:hAnsi="Cambria" w:cstheme="minorHAnsi"/>
        </w:rPr>
        <w:t>Une augmentation de l'offre de soins « ambulatoire », une diminution des hospitalisations (avantages non négligeables en période épidémique notamment) et une économie à terme des dépenses de la CPS pour la prise en charge des patientes à bas risque.</w:t>
      </w:r>
    </w:p>
    <w:p w14:paraId="29015A30" w14:textId="77777777" w:rsidR="007222AE" w:rsidRPr="00D077BF" w:rsidRDefault="007222AE" w:rsidP="007222AE">
      <w:pPr>
        <w:pStyle w:val="Paragraphedeliste"/>
        <w:jc w:val="both"/>
        <w:rPr>
          <w:rFonts w:ascii="Cambria" w:hAnsi="Cambria" w:cstheme="minorHAnsi"/>
        </w:rPr>
      </w:pPr>
    </w:p>
    <w:p w14:paraId="7853814F" w14:textId="77777777" w:rsidR="00DB22DD" w:rsidRPr="00D077BF" w:rsidRDefault="00DB22DD" w:rsidP="0049706D">
      <w:pPr>
        <w:pStyle w:val="NormalWeb"/>
        <w:jc w:val="both"/>
        <w:rPr>
          <w:rFonts w:ascii="Cambria" w:hAnsi="Cambria" w:cs="Arial"/>
        </w:rPr>
      </w:pPr>
    </w:p>
    <w:p w14:paraId="3F3CD179" w14:textId="2CD48EC7" w:rsidR="0006201F" w:rsidRPr="00D077BF" w:rsidRDefault="0006201F" w:rsidP="0006201F">
      <w:pPr>
        <w:pStyle w:val="Titre1"/>
      </w:pPr>
      <w:bookmarkStart w:id="9" w:name="_Toc89873570"/>
      <w:r w:rsidRPr="00D077BF">
        <w:t>- MED-</w:t>
      </w:r>
      <w:bookmarkEnd w:id="9"/>
    </w:p>
    <w:p w14:paraId="42B6D8EA" w14:textId="77777777" w:rsidR="0006201F" w:rsidRPr="00D077BF" w:rsidRDefault="0006201F" w:rsidP="0006201F">
      <w:pPr>
        <w:rPr>
          <w:rFonts w:ascii="Cambria" w:hAnsi="Cambria"/>
        </w:rPr>
      </w:pPr>
    </w:p>
    <w:p w14:paraId="62BFF0D7" w14:textId="13DBA17B" w:rsidR="0006201F" w:rsidRPr="00D077BF" w:rsidRDefault="00DC33A8" w:rsidP="0006201F">
      <w:pPr>
        <w:pStyle w:val="Titre2"/>
        <w:rPr>
          <w:lang w:eastAsia="fr-FR"/>
        </w:rPr>
      </w:pPr>
      <w:bookmarkStart w:id="10" w:name="_Toc89873571"/>
      <w:r w:rsidRPr="00D077BF">
        <w:rPr>
          <w:lang w:eastAsia="fr-FR"/>
        </w:rPr>
        <w:t>Diffusion de 5 nouvelles variétés de patates douces</w:t>
      </w:r>
      <w:bookmarkEnd w:id="10"/>
    </w:p>
    <w:p w14:paraId="5840906F" w14:textId="3FF1D9A7" w:rsidR="00723D84" w:rsidRPr="00D077BF" w:rsidRDefault="00723D84" w:rsidP="00723D84">
      <w:pPr>
        <w:rPr>
          <w:rFonts w:ascii="Cambria" w:hAnsi="Cambria"/>
          <w:lang w:eastAsia="fr-FR"/>
        </w:rPr>
      </w:pPr>
    </w:p>
    <w:p w14:paraId="0EA916BE" w14:textId="48689E2A" w:rsidR="00E05D9F" w:rsidRPr="00D077BF" w:rsidRDefault="00E05D9F" w:rsidP="00E05D9F">
      <w:pPr>
        <w:jc w:val="both"/>
        <w:rPr>
          <w:rFonts w:ascii="Cambria" w:hAnsi="Cambria" w:cs="Arial"/>
          <w:color w:val="000000"/>
          <w:lang w:eastAsia="fr-FR"/>
        </w:rPr>
      </w:pPr>
      <w:r w:rsidRPr="00D077BF">
        <w:rPr>
          <w:rFonts w:ascii="Cambria" w:hAnsi="Cambria" w:cs="Arial"/>
          <w:color w:val="000000"/>
          <w:lang w:eastAsia="fr-FR"/>
        </w:rPr>
        <w:t xml:space="preserve">La Direction de l’agriculture (DAG) au travers de son centre Agropol, a initié en 2019 un programme de création variétale sur les patates douces par la production de nouveaux hybrides et un programme de multiplication et développement du </w:t>
      </w:r>
      <w:proofErr w:type="spellStart"/>
      <w:r w:rsidRPr="00D077BF">
        <w:rPr>
          <w:rFonts w:ascii="Cambria" w:hAnsi="Cambria" w:cs="Arial"/>
          <w:color w:val="000000"/>
          <w:lang w:eastAsia="fr-FR"/>
        </w:rPr>
        <w:t>uru</w:t>
      </w:r>
      <w:proofErr w:type="spellEnd"/>
      <w:r w:rsidRPr="00D077BF">
        <w:rPr>
          <w:rFonts w:ascii="Cambria" w:hAnsi="Cambria" w:cs="Arial"/>
          <w:color w:val="000000"/>
          <w:lang w:eastAsia="fr-FR"/>
        </w:rPr>
        <w:t xml:space="preserve"> par la vitroculture.</w:t>
      </w:r>
    </w:p>
    <w:p w14:paraId="21368A13" w14:textId="77777777" w:rsidR="00E05D9F" w:rsidRPr="00D077BF" w:rsidRDefault="00E05D9F" w:rsidP="00E05D9F">
      <w:pPr>
        <w:jc w:val="both"/>
        <w:rPr>
          <w:rFonts w:ascii="Cambria" w:hAnsi="Cambria" w:cs="Arial"/>
          <w:color w:val="000000"/>
          <w:lang w:eastAsia="fr-FR"/>
        </w:rPr>
      </w:pPr>
    </w:p>
    <w:p w14:paraId="4B6328B2" w14:textId="77777777" w:rsidR="00F35081" w:rsidRDefault="00E05D9F" w:rsidP="00E05D9F">
      <w:pPr>
        <w:jc w:val="both"/>
        <w:rPr>
          <w:rFonts w:ascii="Cambria" w:hAnsi="Cambria" w:cs="Arial"/>
          <w:color w:val="000000"/>
          <w:lang w:eastAsia="fr-FR"/>
        </w:rPr>
      </w:pPr>
      <w:r w:rsidRPr="00D077BF">
        <w:rPr>
          <w:rFonts w:ascii="Cambria" w:hAnsi="Cambria" w:cs="Arial"/>
          <w:color w:val="000000"/>
          <w:lang w:eastAsia="fr-FR"/>
        </w:rPr>
        <w:t>Cinq nouvelles variétés hybrides de patate douce, deux variétés à chair orange et 3 variétés à chair jaune, qui répondent aux critères de vigueur de la plante, de tolérance à des maladies, de bonne présentation du tubercule, et de qualités gustatives remarquables sont aujourd’hui diffusées dans tous les archipels.</w:t>
      </w:r>
    </w:p>
    <w:p w14:paraId="11863646" w14:textId="77777777" w:rsidR="00F35081" w:rsidRDefault="00F35081" w:rsidP="00E05D9F">
      <w:pPr>
        <w:jc w:val="both"/>
        <w:rPr>
          <w:rFonts w:ascii="Cambria" w:hAnsi="Cambria" w:cs="Arial"/>
          <w:color w:val="000000"/>
          <w:lang w:eastAsia="fr-FR"/>
        </w:rPr>
      </w:pPr>
    </w:p>
    <w:p w14:paraId="18015AE3" w14:textId="361CFF98" w:rsidR="00E05D9F" w:rsidRPr="00D077BF" w:rsidRDefault="00E05D9F" w:rsidP="00E05D9F">
      <w:pPr>
        <w:jc w:val="both"/>
        <w:rPr>
          <w:rFonts w:ascii="Cambria" w:hAnsi="Cambria" w:cs="Arial"/>
          <w:color w:val="000000"/>
          <w:lang w:eastAsia="fr-FR"/>
        </w:rPr>
      </w:pPr>
      <w:r w:rsidRPr="00D077BF">
        <w:rPr>
          <w:rFonts w:ascii="Cambria" w:hAnsi="Cambria" w:cs="Arial"/>
          <w:color w:val="000000"/>
          <w:lang w:eastAsia="fr-FR"/>
        </w:rPr>
        <w:t xml:space="preserve">Pour le </w:t>
      </w:r>
      <w:proofErr w:type="spellStart"/>
      <w:r w:rsidRPr="00D077BF">
        <w:rPr>
          <w:rFonts w:ascii="Cambria" w:hAnsi="Cambria" w:cs="Arial"/>
          <w:color w:val="000000"/>
          <w:lang w:eastAsia="fr-FR"/>
        </w:rPr>
        <w:t>uru</w:t>
      </w:r>
      <w:proofErr w:type="spellEnd"/>
      <w:r w:rsidRPr="00D077BF">
        <w:rPr>
          <w:rFonts w:ascii="Cambria" w:hAnsi="Cambria" w:cs="Arial"/>
          <w:color w:val="000000"/>
          <w:lang w:eastAsia="fr-FR"/>
        </w:rPr>
        <w:t xml:space="preserve">, deux variétés sont disponibles : la variété </w:t>
      </w:r>
      <w:proofErr w:type="spellStart"/>
      <w:r w:rsidRPr="00D077BF">
        <w:rPr>
          <w:rFonts w:ascii="Cambria" w:hAnsi="Cambria" w:cs="Arial"/>
          <w:color w:val="000000"/>
          <w:lang w:eastAsia="fr-FR"/>
        </w:rPr>
        <w:t>Huero</w:t>
      </w:r>
      <w:proofErr w:type="spellEnd"/>
      <w:r w:rsidRPr="00D077BF">
        <w:rPr>
          <w:rFonts w:ascii="Cambria" w:hAnsi="Cambria" w:cs="Arial"/>
          <w:color w:val="000000"/>
          <w:lang w:eastAsia="fr-FR"/>
        </w:rPr>
        <w:t xml:space="preserve"> </w:t>
      </w:r>
      <w:proofErr w:type="spellStart"/>
      <w:r w:rsidRPr="00D077BF">
        <w:rPr>
          <w:rFonts w:ascii="Cambria" w:hAnsi="Cambria" w:cs="Arial"/>
          <w:color w:val="000000"/>
          <w:lang w:eastAsia="fr-FR"/>
        </w:rPr>
        <w:t>rea</w:t>
      </w:r>
      <w:proofErr w:type="spellEnd"/>
      <w:r w:rsidRPr="00D077BF">
        <w:rPr>
          <w:rFonts w:ascii="Cambria" w:hAnsi="Cambria" w:cs="Arial"/>
          <w:color w:val="000000"/>
          <w:lang w:eastAsia="fr-FR"/>
        </w:rPr>
        <w:t xml:space="preserve"> </w:t>
      </w:r>
      <w:proofErr w:type="spellStart"/>
      <w:r w:rsidRPr="00D077BF">
        <w:rPr>
          <w:rFonts w:ascii="Cambria" w:hAnsi="Cambria" w:cs="Arial"/>
          <w:color w:val="000000"/>
          <w:lang w:eastAsia="fr-FR"/>
        </w:rPr>
        <w:t>moa</w:t>
      </w:r>
      <w:proofErr w:type="spellEnd"/>
      <w:r w:rsidRPr="00D077BF">
        <w:rPr>
          <w:rFonts w:ascii="Cambria" w:hAnsi="Cambria" w:cs="Arial"/>
          <w:color w:val="000000"/>
          <w:lang w:eastAsia="fr-FR"/>
        </w:rPr>
        <w:t xml:space="preserve"> </w:t>
      </w:r>
      <w:proofErr w:type="spellStart"/>
      <w:r w:rsidRPr="00D077BF">
        <w:rPr>
          <w:rFonts w:ascii="Cambria" w:hAnsi="Cambria" w:cs="Arial"/>
          <w:color w:val="000000"/>
          <w:lang w:eastAsia="fr-FR"/>
        </w:rPr>
        <w:t>ninamu</w:t>
      </w:r>
      <w:proofErr w:type="spellEnd"/>
      <w:r w:rsidRPr="00D077BF">
        <w:rPr>
          <w:rFonts w:ascii="Cambria" w:hAnsi="Cambria" w:cs="Arial"/>
          <w:color w:val="000000"/>
          <w:lang w:eastAsia="fr-FR"/>
        </w:rPr>
        <w:t xml:space="preserve"> qui produit en 3 ans et la variété Rare plus tardif (5 ans) avec un fruit de 2 kilos, de bonne conservation, souvent confondu avec la variété </w:t>
      </w:r>
      <w:proofErr w:type="spellStart"/>
      <w:r w:rsidRPr="00D077BF">
        <w:rPr>
          <w:rFonts w:ascii="Cambria" w:hAnsi="Cambria" w:cs="Arial"/>
          <w:color w:val="000000"/>
          <w:lang w:eastAsia="fr-FR"/>
        </w:rPr>
        <w:t>Puero</w:t>
      </w:r>
      <w:proofErr w:type="spellEnd"/>
      <w:r w:rsidRPr="00D077BF">
        <w:rPr>
          <w:rFonts w:ascii="Cambria" w:hAnsi="Cambria" w:cs="Arial"/>
          <w:color w:val="000000"/>
          <w:lang w:eastAsia="fr-FR"/>
        </w:rPr>
        <w:t>.</w:t>
      </w:r>
    </w:p>
    <w:p w14:paraId="68A1568C" w14:textId="77777777" w:rsidR="00E05D9F" w:rsidRPr="00D077BF" w:rsidRDefault="00E05D9F" w:rsidP="00E05D9F">
      <w:pPr>
        <w:jc w:val="both"/>
        <w:rPr>
          <w:rFonts w:ascii="Cambria" w:hAnsi="Cambria" w:cs="Arial"/>
          <w:color w:val="000000"/>
          <w:lang w:eastAsia="fr-FR"/>
        </w:rPr>
      </w:pPr>
    </w:p>
    <w:p w14:paraId="5C87C99C" w14:textId="07086898" w:rsidR="00E05D9F" w:rsidRPr="00D077BF" w:rsidRDefault="00E05D9F" w:rsidP="00E05D9F">
      <w:pPr>
        <w:jc w:val="both"/>
        <w:rPr>
          <w:rFonts w:ascii="Cambria" w:hAnsi="Cambria" w:cs="Arial"/>
          <w:color w:val="000000"/>
          <w:lang w:eastAsia="fr-FR"/>
        </w:rPr>
      </w:pPr>
      <w:r w:rsidRPr="00D077BF">
        <w:rPr>
          <w:rFonts w:ascii="Cambria" w:hAnsi="Cambria" w:cs="Arial"/>
          <w:color w:val="000000"/>
          <w:lang w:eastAsia="fr-FR"/>
        </w:rPr>
        <w:t xml:space="preserve">De mai à décembre 2021 près de 4500 plants de </w:t>
      </w:r>
      <w:proofErr w:type="spellStart"/>
      <w:r w:rsidRPr="00D077BF">
        <w:rPr>
          <w:rFonts w:ascii="Cambria" w:hAnsi="Cambria" w:cs="Arial"/>
          <w:color w:val="000000"/>
          <w:lang w:eastAsia="fr-FR"/>
        </w:rPr>
        <w:t>uru</w:t>
      </w:r>
      <w:proofErr w:type="spellEnd"/>
      <w:r w:rsidRPr="00D077BF">
        <w:rPr>
          <w:rFonts w:ascii="Cambria" w:hAnsi="Cambria" w:cs="Arial"/>
          <w:color w:val="000000"/>
          <w:lang w:eastAsia="fr-FR"/>
        </w:rPr>
        <w:t xml:space="preserve"> sont expédiés dans les îles : îles sous le vent (1000), Marquises (900), Australes (800), IDV (150), Tuamotu (1600).</w:t>
      </w:r>
    </w:p>
    <w:p w14:paraId="6E60F1A8" w14:textId="77777777" w:rsidR="00E05D9F" w:rsidRPr="00D077BF" w:rsidRDefault="00E05D9F" w:rsidP="00E05D9F">
      <w:pPr>
        <w:jc w:val="both"/>
        <w:rPr>
          <w:rFonts w:ascii="Cambria" w:hAnsi="Cambria" w:cs="Arial"/>
          <w:color w:val="000000"/>
          <w:lang w:eastAsia="fr-FR"/>
        </w:rPr>
      </w:pPr>
    </w:p>
    <w:p w14:paraId="02FC1AEC" w14:textId="0678734C" w:rsidR="00FA26F2" w:rsidRPr="00D077BF" w:rsidRDefault="00E05D9F" w:rsidP="00E05D9F">
      <w:pPr>
        <w:jc w:val="both"/>
        <w:rPr>
          <w:rFonts w:ascii="Cambria" w:hAnsi="Cambria" w:cs="Arial"/>
          <w:color w:val="000000"/>
          <w:lang w:eastAsia="fr-FR"/>
        </w:rPr>
      </w:pPr>
      <w:r w:rsidRPr="00D077BF">
        <w:rPr>
          <w:rFonts w:ascii="Cambria" w:hAnsi="Cambria" w:cs="Arial"/>
          <w:color w:val="000000"/>
          <w:lang w:eastAsia="fr-FR"/>
        </w:rPr>
        <w:t xml:space="preserve">Tous les agriculteurs titulaires de la carte professionnelle peuvent bénéficier des boutures de </w:t>
      </w:r>
      <w:proofErr w:type="spellStart"/>
      <w:r w:rsidRPr="00D077BF">
        <w:rPr>
          <w:rFonts w:ascii="Cambria" w:hAnsi="Cambria" w:cs="Arial"/>
          <w:color w:val="000000"/>
          <w:lang w:eastAsia="fr-FR"/>
        </w:rPr>
        <w:t>umara</w:t>
      </w:r>
      <w:proofErr w:type="spellEnd"/>
      <w:r w:rsidRPr="00D077BF">
        <w:rPr>
          <w:rFonts w:ascii="Cambria" w:hAnsi="Cambria" w:cs="Arial"/>
          <w:color w:val="000000"/>
          <w:lang w:eastAsia="fr-FR"/>
        </w:rPr>
        <w:t xml:space="preserve"> et des plants de </w:t>
      </w:r>
      <w:proofErr w:type="spellStart"/>
      <w:r w:rsidRPr="00D077BF">
        <w:rPr>
          <w:rFonts w:ascii="Cambria" w:hAnsi="Cambria" w:cs="Arial"/>
          <w:color w:val="000000"/>
          <w:lang w:eastAsia="fr-FR"/>
        </w:rPr>
        <w:t>uru</w:t>
      </w:r>
      <w:proofErr w:type="spellEnd"/>
      <w:r w:rsidRPr="00D077BF">
        <w:rPr>
          <w:rFonts w:ascii="Cambria" w:hAnsi="Cambria" w:cs="Arial"/>
          <w:color w:val="000000"/>
          <w:lang w:eastAsia="fr-FR"/>
        </w:rPr>
        <w:t xml:space="preserve"> auprès des antennes de la DAG de leur îles.</w:t>
      </w:r>
    </w:p>
    <w:p w14:paraId="55EBE235" w14:textId="77777777" w:rsidR="00E05D9F" w:rsidRPr="00D077BF" w:rsidRDefault="00E05D9F" w:rsidP="00E05D9F">
      <w:pPr>
        <w:jc w:val="both"/>
        <w:rPr>
          <w:rFonts w:ascii="Cambria" w:hAnsi="Cambria"/>
          <w:lang w:eastAsia="fr-FR"/>
        </w:rPr>
      </w:pPr>
    </w:p>
    <w:p w14:paraId="5902FF8B" w14:textId="77777777" w:rsidR="00C61300" w:rsidRPr="00D077BF" w:rsidRDefault="00C61300" w:rsidP="00C61300">
      <w:pPr>
        <w:jc w:val="both"/>
        <w:rPr>
          <w:rFonts w:ascii="Cambria" w:hAnsi="Cambria"/>
          <w:lang w:eastAsia="fr-FR"/>
        </w:rPr>
      </w:pPr>
    </w:p>
    <w:p w14:paraId="184DF30C" w14:textId="2810230E" w:rsidR="0006201F" w:rsidRPr="00D077BF" w:rsidRDefault="009B4328" w:rsidP="0006201F">
      <w:pPr>
        <w:pStyle w:val="Titre2"/>
        <w:rPr>
          <w:lang w:eastAsia="fr-FR"/>
        </w:rPr>
      </w:pPr>
      <w:bookmarkStart w:id="11" w:name="_Toc89873572"/>
      <w:r w:rsidRPr="00D077BF">
        <w:rPr>
          <w:lang w:eastAsia="fr-FR"/>
        </w:rPr>
        <w:t>Valorisation</w:t>
      </w:r>
      <w:r w:rsidR="00DC33A8" w:rsidRPr="00D077BF">
        <w:rPr>
          <w:lang w:eastAsia="fr-FR"/>
        </w:rPr>
        <w:t xml:space="preserve"> de la qualité et de l’origine des produits agricoles</w:t>
      </w:r>
      <w:r w:rsidRPr="00D077BF">
        <w:rPr>
          <w:lang w:eastAsia="fr-FR"/>
        </w:rPr>
        <w:t xml:space="preserve"> (Loi du Pays)</w:t>
      </w:r>
      <w:bookmarkEnd w:id="11"/>
    </w:p>
    <w:p w14:paraId="0D28B0CC" w14:textId="77777777" w:rsidR="0006201F" w:rsidRPr="00D077BF" w:rsidRDefault="0006201F" w:rsidP="0006201F">
      <w:pPr>
        <w:rPr>
          <w:rFonts w:ascii="Cambria" w:hAnsi="Cambria"/>
          <w:lang w:eastAsia="fr-FR"/>
        </w:rPr>
      </w:pPr>
    </w:p>
    <w:p w14:paraId="6E2CC94B" w14:textId="77777777" w:rsidR="00E05D9F" w:rsidRPr="00D077BF" w:rsidRDefault="00E05D9F" w:rsidP="00E05D9F">
      <w:pPr>
        <w:pStyle w:val="NormalWeb"/>
        <w:jc w:val="both"/>
        <w:rPr>
          <w:rFonts w:ascii="Cambria" w:hAnsi="Cambria"/>
        </w:rPr>
      </w:pPr>
      <w:r w:rsidRPr="00D077BF">
        <w:rPr>
          <w:rFonts w:ascii="Cambria" w:hAnsi="Cambria"/>
        </w:rPr>
        <w:t>Afin de mieux valoriser les produits du Fenua, l’Assemblée de Polynésie française a adopté en août 2020 une loi du Pays instaurant la possibilité d’octroyer les mentions « Appellation d’origine », « Indication géographique » ou encore « Qualité supérieure » aux produits polynésiens de la terre, de la mer et de l’artisanat traditionnel.</w:t>
      </w:r>
    </w:p>
    <w:p w14:paraId="47333A22" w14:textId="77777777" w:rsidR="00E05D9F" w:rsidRPr="00D077BF" w:rsidRDefault="00E05D9F" w:rsidP="00E05D9F">
      <w:pPr>
        <w:pStyle w:val="NormalWeb"/>
        <w:jc w:val="both"/>
        <w:rPr>
          <w:rFonts w:ascii="Cambria" w:hAnsi="Cambria"/>
        </w:rPr>
      </w:pPr>
      <w:r w:rsidRPr="00D077BF">
        <w:rPr>
          <w:rFonts w:ascii="Cambria" w:hAnsi="Cambria"/>
        </w:rPr>
        <w:t>L’attribution de ces signes de la qualité et de l’origine contribue à la promotion et à la protection des produits certifiés contre les contrefaçons et les usurpations.</w:t>
      </w:r>
    </w:p>
    <w:p w14:paraId="1349F5CF" w14:textId="259B4641" w:rsidR="00E05D9F" w:rsidRPr="00D077BF" w:rsidRDefault="00E05D9F" w:rsidP="00E05D9F">
      <w:pPr>
        <w:pStyle w:val="NormalWeb"/>
        <w:jc w:val="both"/>
        <w:rPr>
          <w:rFonts w:ascii="Cambria" w:hAnsi="Cambria"/>
        </w:rPr>
      </w:pPr>
      <w:r w:rsidRPr="00D077BF">
        <w:rPr>
          <w:rFonts w:ascii="Cambria" w:hAnsi="Cambria"/>
        </w:rPr>
        <w:t>Le Conseil des ministres a approuvé l’arrêté précisant les conditions d’application de cette loi du Pays relative aux signes d’identification de la qualité et de l’origine des produits du secteur primaire.</w:t>
      </w:r>
    </w:p>
    <w:p w14:paraId="69C9AD08" w14:textId="6E92629B" w:rsidR="00DC33A8" w:rsidRPr="00D077BF" w:rsidRDefault="00E05D9F" w:rsidP="00E05D9F">
      <w:pPr>
        <w:pStyle w:val="NormalWeb"/>
        <w:jc w:val="both"/>
        <w:rPr>
          <w:rFonts w:ascii="Cambria" w:hAnsi="Cambria"/>
          <w:color w:val="auto"/>
          <w:lang w:bidi="fr-FR"/>
        </w:rPr>
      </w:pPr>
      <w:r w:rsidRPr="00D077BF">
        <w:rPr>
          <w:rFonts w:ascii="Cambria" w:hAnsi="Cambria"/>
          <w:color w:val="auto"/>
          <w:lang w:bidi="fr-FR"/>
        </w:rPr>
        <w:t>Ainsi, les premiers groupements professionnels, comme le Syndicat des producteurs de Rhum agricole ou encore l’Association interprofessionnelle Vanille de Tahiti, vont pouvoir déposer dès le début de l’année 2022 leur demande de reconnaissance en « Indication géographique » ou en « Appellation d’origine » polynésiennes, préalable à une reconnaissance au niveau européen.</w:t>
      </w:r>
    </w:p>
    <w:p w14:paraId="00DDD843" w14:textId="77777777" w:rsidR="00E05D9F" w:rsidRPr="00D077BF" w:rsidRDefault="00E05D9F" w:rsidP="00E05D9F">
      <w:pPr>
        <w:pStyle w:val="NormalWeb"/>
        <w:jc w:val="both"/>
        <w:rPr>
          <w:rFonts w:ascii="Cambria" w:hAnsi="Cambria"/>
          <w:color w:val="auto"/>
        </w:rPr>
      </w:pPr>
    </w:p>
    <w:p w14:paraId="181CB8A5" w14:textId="6B639ACA" w:rsidR="00DC33A8" w:rsidRPr="00D077BF" w:rsidRDefault="009B4328" w:rsidP="00DC33A8">
      <w:pPr>
        <w:pStyle w:val="Titre2"/>
        <w:rPr>
          <w:lang w:eastAsia="fr-FR"/>
        </w:rPr>
      </w:pPr>
      <w:bookmarkStart w:id="12" w:name="_Hlk89769692"/>
      <w:bookmarkStart w:id="13" w:name="_Toc89873573"/>
      <w:r w:rsidRPr="00D077BF">
        <w:rPr>
          <w:lang w:eastAsia="fr-FR"/>
        </w:rPr>
        <w:t>R</w:t>
      </w:r>
      <w:r w:rsidR="00DC33A8" w:rsidRPr="00D077BF">
        <w:rPr>
          <w:lang w:eastAsia="fr-FR"/>
        </w:rPr>
        <w:t>églementa</w:t>
      </w:r>
      <w:r w:rsidRPr="00D077BF">
        <w:rPr>
          <w:lang w:eastAsia="fr-FR"/>
        </w:rPr>
        <w:t>tion</w:t>
      </w:r>
      <w:r w:rsidR="00DC33A8" w:rsidRPr="00D077BF">
        <w:rPr>
          <w:lang w:eastAsia="fr-FR"/>
        </w:rPr>
        <w:t xml:space="preserve"> </w:t>
      </w:r>
      <w:r w:rsidRPr="00D077BF">
        <w:rPr>
          <w:lang w:eastAsia="fr-FR"/>
        </w:rPr>
        <w:t>d</w:t>
      </w:r>
      <w:r w:rsidR="00DC33A8" w:rsidRPr="00D077BF">
        <w:rPr>
          <w:lang w:eastAsia="fr-FR"/>
        </w:rPr>
        <w:t>es activités de la perliculture</w:t>
      </w:r>
      <w:r w:rsidRPr="00D077BF">
        <w:rPr>
          <w:lang w:eastAsia="fr-FR"/>
        </w:rPr>
        <w:t xml:space="preserve"> (Loi du Pays)</w:t>
      </w:r>
      <w:bookmarkEnd w:id="13"/>
    </w:p>
    <w:p w14:paraId="20E4463E" w14:textId="77777777" w:rsidR="00DC33A8" w:rsidRPr="00D077BF" w:rsidRDefault="00DC33A8" w:rsidP="00DC33A8">
      <w:pPr>
        <w:rPr>
          <w:rFonts w:ascii="Cambria" w:hAnsi="Cambria"/>
          <w:lang w:eastAsia="fr-FR"/>
        </w:rPr>
      </w:pPr>
    </w:p>
    <w:p w14:paraId="56DA1961" w14:textId="75D351F8" w:rsidR="00B57B9F" w:rsidRPr="00D077BF" w:rsidRDefault="00B57B9F" w:rsidP="00B57B9F">
      <w:pPr>
        <w:pStyle w:val="NormalWeb"/>
        <w:jc w:val="both"/>
        <w:rPr>
          <w:rFonts w:ascii="Cambria" w:hAnsi="Cambria"/>
        </w:rPr>
      </w:pPr>
      <w:r w:rsidRPr="00D077BF">
        <w:rPr>
          <w:rFonts w:ascii="Cambria" w:hAnsi="Cambria"/>
        </w:rPr>
        <w:t>La loi du pays du 18 juillet 2017 modifiée, réglementant les activités professionnelles liées à la production et la commercialisation des produits perliers et nacriers en Polynésie française a modifié en profondeur l’encadrement réglementaire de la filière perlicole. Elle a notamment permis de mettre en place des outils de gouvernance participative avec la création d’un Conseil de la perliculture et de comités de gestion décentralisés.</w:t>
      </w:r>
    </w:p>
    <w:p w14:paraId="080C86C4" w14:textId="77777777" w:rsidR="00B57B9F" w:rsidRPr="00D077BF" w:rsidRDefault="00B57B9F" w:rsidP="00B57B9F">
      <w:pPr>
        <w:pStyle w:val="NormalWeb"/>
        <w:jc w:val="both"/>
        <w:rPr>
          <w:rFonts w:ascii="Cambria" w:hAnsi="Cambria"/>
        </w:rPr>
      </w:pPr>
      <w:r w:rsidRPr="00D077BF">
        <w:rPr>
          <w:rFonts w:ascii="Cambria" w:hAnsi="Cambria"/>
        </w:rPr>
        <w:t>Un processus continu d’échanges avec les professionnels du secteur a ainsi pu être mis en place et a abouti à plusieurs recommandations, dont une partie implique une nouvelle évolution du cadre réglementaire. Conformément aux orientations de la politique publique, celles-ci visent à rationaliser l’utilisation des lagons, renforcer les outils de régulation de l’offre et consolider la gouvernance.</w:t>
      </w:r>
    </w:p>
    <w:p w14:paraId="639ACF96" w14:textId="77777777" w:rsidR="00B57B9F" w:rsidRPr="00D077BF" w:rsidRDefault="00B57B9F" w:rsidP="00B57B9F">
      <w:pPr>
        <w:pStyle w:val="NormalWeb"/>
        <w:jc w:val="both"/>
        <w:rPr>
          <w:rFonts w:ascii="Cambria" w:hAnsi="Cambria"/>
        </w:rPr>
      </w:pPr>
      <w:r w:rsidRPr="00D077BF">
        <w:rPr>
          <w:rFonts w:ascii="Cambria" w:hAnsi="Cambria"/>
        </w:rPr>
        <w:t xml:space="preserve">Ces évolutions vont notamment permettre d’instaurer un quota de production pour chaque producteur, d’assurer un meilleur contrôle de l’importation des collecteurs de naissains en plastique, de renforcer les conditions d’octroi des cartes de producteurs et de faciliter leur retrait en cas de manquement aux obligations. </w:t>
      </w:r>
    </w:p>
    <w:p w14:paraId="451AAB26" w14:textId="2AFEDB6A" w:rsidR="00B57B9F" w:rsidRPr="00D077BF" w:rsidRDefault="00B57B9F" w:rsidP="00B57B9F">
      <w:pPr>
        <w:pStyle w:val="NormalWeb"/>
        <w:jc w:val="both"/>
        <w:rPr>
          <w:rFonts w:ascii="Cambria" w:hAnsi="Cambria"/>
        </w:rPr>
      </w:pPr>
      <w:r w:rsidRPr="00D077BF">
        <w:rPr>
          <w:rFonts w:ascii="Cambria" w:hAnsi="Cambria"/>
        </w:rPr>
        <w:lastRenderedPageBreak/>
        <w:t xml:space="preserve">Elles permettront également de clarifier certaines dispositions qui se sont avérées à l’usage imprécises ou sujettes à interprétation. Il s’agit par exemple de clarifier le caractère « non commercial » d’une </w:t>
      </w:r>
      <w:r w:rsidR="006B43E9" w:rsidRPr="00D077BF">
        <w:rPr>
          <w:rFonts w:ascii="Cambria" w:hAnsi="Cambria"/>
        </w:rPr>
        <w:t>exportation</w:t>
      </w:r>
      <w:r w:rsidRPr="00D077BF">
        <w:rPr>
          <w:rFonts w:ascii="Cambria" w:hAnsi="Cambria"/>
        </w:rPr>
        <w:t>. Enfin, le dispositif de sanction est complété pour tenir compte de ces évolutions.</w:t>
      </w:r>
    </w:p>
    <w:p w14:paraId="2B249BBC" w14:textId="15C72C8F" w:rsidR="00B57B9F" w:rsidRPr="00D077BF" w:rsidRDefault="00B57B9F" w:rsidP="00B57B9F">
      <w:pPr>
        <w:pStyle w:val="NormalWeb"/>
        <w:jc w:val="both"/>
        <w:rPr>
          <w:rFonts w:ascii="Cambria" w:hAnsi="Cambria"/>
        </w:rPr>
      </w:pPr>
      <w:r w:rsidRPr="00D077BF">
        <w:rPr>
          <w:rFonts w:ascii="Cambria" w:hAnsi="Cambria"/>
        </w:rPr>
        <w:t>Le Conseil des ministres a ainsi autorisé la transmission, aux fins d’examen par l’Assemblée de la Polynésie française, d’un projet de loi du pays portant modification de la loi du pays du 18 juillet 2017 modifiée, réglementant les activités professionnelles liées à la production et la commercialisation des produits perliers et nacriers en Polynésie française.</w:t>
      </w:r>
    </w:p>
    <w:p w14:paraId="049C91C0" w14:textId="77777777" w:rsidR="00E05D9F" w:rsidRPr="00D077BF" w:rsidRDefault="00E05D9F" w:rsidP="00DC33A8">
      <w:pPr>
        <w:pStyle w:val="NormalWeb"/>
        <w:jc w:val="both"/>
        <w:rPr>
          <w:rFonts w:ascii="Cambria" w:hAnsi="Cambria"/>
          <w:color w:val="auto"/>
        </w:rPr>
      </w:pPr>
    </w:p>
    <w:p w14:paraId="53DADEC7" w14:textId="27DE45C9" w:rsidR="00DC33A8" w:rsidRPr="00D077BF" w:rsidRDefault="009B4328" w:rsidP="00DC33A8">
      <w:pPr>
        <w:pStyle w:val="Titre2"/>
        <w:rPr>
          <w:lang w:eastAsia="fr-FR"/>
        </w:rPr>
      </w:pPr>
      <w:bookmarkStart w:id="14" w:name="_Toc89873574"/>
      <w:r w:rsidRPr="00D077BF">
        <w:rPr>
          <w:lang w:eastAsia="fr-FR"/>
        </w:rPr>
        <w:t>P</w:t>
      </w:r>
      <w:r w:rsidR="00DC33A8" w:rsidRPr="00D077BF">
        <w:rPr>
          <w:lang w:eastAsia="fr-FR"/>
        </w:rPr>
        <w:t>rotection de certaines espèces marines</w:t>
      </w:r>
      <w:r w:rsidRPr="00D077BF">
        <w:rPr>
          <w:lang w:eastAsia="fr-FR"/>
        </w:rPr>
        <w:t xml:space="preserve"> (Loi du Pays)</w:t>
      </w:r>
      <w:bookmarkEnd w:id="14"/>
    </w:p>
    <w:p w14:paraId="0EA1488B" w14:textId="77777777" w:rsidR="00DC33A8" w:rsidRPr="00D077BF" w:rsidRDefault="00DC33A8" w:rsidP="00DC33A8">
      <w:pPr>
        <w:rPr>
          <w:rFonts w:ascii="Cambria" w:hAnsi="Cambria"/>
          <w:lang w:eastAsia="fr-FR"/>
        </w:rPr>
      </w:pPr>
    </w:p>
    <w:p w14:paraId="21DE9C82" w14:textId="77777777" w:rsidR="006B43E9" w:rsidRPr="00D077BF" w:rsidRDefault="006B43E9" w:rsidP="006B43E9">
      <w:pPr>
        <w:pStyle w:val="NormalWeb"/>
        <w:jc w:val="both"/>
        <w:rPr>
          <w:rFonts w:ascii="Cambria" w:hAnsi="Cambria"/>
        </w:rPr>
      </w:pPr>
      <w:r w:rsidRPr="00D077BF">
        <w:rPr>
          <w:rFonts w:ascii="Cambria" w:hAnsi="Cambria"/>
        </w:rPr>
        <w:t>Dans sa volonté de poursuivre une politique d’exploitation durable des ressources marines de la Polynésie française, le Pays souhaite renforcer les dispositifs déjà existants. A cette fin, un projet de loi du Pays propose de créer de nouveaux outils ou mesures destinés à améliorer la gestion des pêches pour une pêche durable.</w:t>
      </w:r>
    </w:p>
    <w:p w14:paraId="7426DDB2" w14:textId="77777777" w:rsidR="006B43E9" w:rsidRPr="00D077BF" w:rsidRDefault="006B43E9" w:rsidP="006B43E9">
      <w:pPr>
        <w:pStyle w:val="NormalWeb"/>
        <w:jc w:val="both"/>
        <w:rPr>
          <w:rFonts w:ascii="Cambria" w:hAnsi="Cambria"/>
        </w:rPr>
      </w:pPr>
      <w:r w:rsidRPr="00D077BF">
        <w:rPr>
          <w:rFonts w:ascii="Cambria" w:hAnsi="Cambria"/>
        </w:rPr>
        <w:t xml:space="preserve">Parmi ces mesures, et à la demande des professionnels du secteur, désormais seuls les pêcheurs détenteurs d’un titre professionnel officiel (licence de pêche ou carte de la Chambre d’agriculture et de la pêche lagonaire) seront autorisés à commercialiser leurs produits de la pêche auprès des entreprises répertoriées à la Chambre de commerce et d’industrie, des services et des métiers et auprès de toutes personnes morales de droit public. Ceci afin de valoriser la professionnalisation du secteur. </w:t>
      </w:r>
    </w:p>
    <w:p w14:paraId="1213F7E4" w14:textId="77777777" w:rsidR="006B43E9" w:rsidRPr="00D077BF" w:rsidRDefault="006B43E9" w:rsidP="006B43E9">
      <w:pPr>
        <w:pStyle w:val="NormalWeb"/>
        <w:jc w:val="both"/>
        <w:rPr>
          <w:rFonts w:ascii="Cambria" w:hAnsi="Cambria"/>
        </w:rPr>
      </w:pPr>
      <w:r w:rsidRPr="00D077BF">
        <w:rPr>
          <w:rFonts w:ascii="Cambria" w:hAnsi="Cambria"/>
        </w:rPr>
        <w:t>Le projet de loi du Pays propose également de lever l’interdiction de la pêche aux burgaux dont la dernière pêche officielle date de l’année 2000. Cette proposition est motivée par le bon développement des stocks de burgaux dans les îles, par l’engouement des Polynésiens pour sa bonne chair et par l’existence d’un artisanat informel à partir de sa coquille et des opercules. Toutefois, le projet de loi du Pays limite la collecte aux seuls individus compris entre 16 et 18 centimètres de diamètre. Cette limitation doit assurer la protection des juvéniles et des grands reproducteurs. Cette mesure permettra d’exploiter durablement cette ressource à l’échelle locale.</w:t>
      </w:r>
    </w:p>
    <w:p w14:paraId="2319B3FB" w14:textId="77777777" w:rsidR="006B43E9" w:rsidRPr="00D077BF" w:rsidRDefault="006B43E9" w:rsidP="006B43E9">
      <w:pPr>
        <w:pStyle w:val="NormalWeb"/>
        <w:jc w:val="both"/>
        <w:rPr>
          <w:rFonts w:ascii="Cambria" w:hAnsi="Cambria"/>
        </w:rPr>
      </w:pPr>
      <w:r w:rsidRPr="00D077BF">
        <w:rPr>
          <w:rFonts w:ascii="Cambria" w:hAnsi="Cambria"/>
        </w:rPr>
        <w:t xml:space="preserve">Enfin, il est proposé de compléter l’outil de gestion « zone de pêche réglementée » (ZPR) déjà en place.  Souhaitées par les pêcheurs, soucieux d’une exploitation durable des ressources marines et de protection des espèces, ces nouvelles mesures doivent permettre de prendre en compte l’état des stocks, les cycles des espèces et de contrôler la pression de pêche. Ainsi, elles donneront la possibilité de cibler des espèces particulières, si besoin de limiter les captures ou le nombre de pêcheurs pendant une période donnée.  </w:t>
      </w:r>
    </w:p>
    <w:bookmarkEnd w:id="12"/>
    <w:p w14:paraId="4882142B" w14:textId="77777777" w:rsidR="00DC33A8" w:rsidRPr="00D077BF" w:rsidRDefault="00DC33A8" w:rsidP="00DC33A8">
      <w:pPr>
        <w:pStyle w:val="NormalWeb"/>
        <w:jc w:val="both"/>
        <w:rPr>
          <w:rFonts w:ascii="Cambria" w:hAnsi="Cambria"/>
        </w:rPr>
      </w:pPr>
    </w:p>
    <w:p w14:paraId="5E6C2A82" w14:textId="3F2FFDB3" w:rsidR="00DC33A8" w:rsidRPr="00D077BF" w:rsidRDefault="00DC33A8" w:rsidP="00DC33A8">
      <w:pPr>
        <w:pStyle w:val="Titre2"/>
        <w:rPr>
          <w:lang w:eastAsia="fr-FR"/>
        </w:rPr>
      </w:pPr>
      <w:bookmarkStart w:id="15" w:name="_Toc89873575"/>
      <w:r w:rsidRPr="00D077BF">
        <w:rPr>
          <w:lang w:eastAsia="fr-FR"/>
        </w:rPr>
        <w:t xml:space="preserve">Subvention </w:t>
      </w:r>
      <w:r w:rsidR="009B4328" w:rsidRPr="00D077BF">
        <w:rPr>
          <w:lang w:eastAsia="fr-FR"/>
        </w:rPr>
        <w:t xml:space="preserve">au </w:t>
      </w:r>
      <w:r w:rsidRPr="00D077BF">
        <w:rPr>
          <w:lang w:eastAsia="fr-FR"/>
        </w:rPr>
        <w:t>lycée agricole des Marquises</w:t>
      </w:r>
      <w:bookmarkEnd w:id="15"/>
    </w:p>
    <w:p w14:paraId="76A7ADB1" w14:textId="77777777" w:rsidR="00DC33A8" w:rsidRPr="00D077BF" w:rsidRDefault="00DC33A8" w:rsidP="00DC33A8">
      <w:pPr>
        <w:rPr>
          <w:rFonts w:ascii="Cambria" w:hAnsi="Cambria"/>
          <w:lang w:eastAsia="fr-FR"/>
        </w:rPr>
      </w:pPr>
    </w:p>
    <w:p w14:paraId="047BB4B0" w14:textId="2D302906" w:rsidR="00E05D9F" w:rsidRPr="00D077BF" w:rsidRDefault="00E05D9F" w:rsidP="00E05D9F">
      <w:pPr>
        <w:pStyle w:val="NormalWeb"/>
        <w:jc w:val="both"/>
        <w:rPr>
          <w:rFonts w:ascii="Cambria" w:hAnsi="Cambria"/>
          <w:color w:val="auto"/>
        </w:rPr>
      </w:pPr>
      <w:r w:rsidRPr="00D077BF">
        <w:rPr>
          <w:rFonts w:ascii="Cambria" w:hAnsi="Cambria"/>
          <w:color w:val="auto"/>
        </w:rPr>
        <w:t xml:space="preserve">Le Conseil des ministres a octroyé, au profit du Lycée Agricole des Marquises : « Te </w:t>
      </w:r>
      <w:proofErr w:type="spellStart"/>
      <w:r w:rsidRPr="00D077BF">
        <w:rPr>
          <w:rFonts w:ascii="Cambria" w:hAnsi="Cambria"/>
          <w:color w:val="auto"/>
        </w:rPr>
        <w:t>Henua</w:t>
      </w:r>
      <w:proofErr w:type="spellEnd"/>
      <w:r w:rsidRPr="00D077BF">
        <w:rPr>
          <w:rFonts w:ascii="Cambria" w:hAnsi="Cambria"/>
          <w:color w:val="auto"/>
        </w:rPr>
        <w:t xml:space="preserve"> </w:t>
      </w:r>
      <w:proofErr w:type="spellStart"/>
      <w:r w:rsidRPr="00D077BF">
        <w:rPr>
          <w:rFonts w:ascii="Cambria" w:hAnsi="Cambria"/>
          <w:color w:val="auto"/>
        </w:rPr>
        <w:t>Enana</w:t>
      </w:r>
      <w:proofErr w:type="spellEnd"/>
      <w:r w:rsidRPr="00D077BF">
        <w:rPr>
          <w:rFonts w:ascii="Cambria" w:hAnsi="Cambria"/>
          <w:color w:val="auto"/>
        </w:rPr>
        <w:t xml:space="preserve"> » - Saint Athanase sis à Taiohae-Nuku Hiva, une aide à la filière agricole à la conversion biologique de son exploitation fruitière et vivrière d’une superficie de 1,5 hectares. L’aide est calculée sur la base de la nature des productions et des surfaces conduites en agriculture biologique.</w:t>
      </w:r>
    </w:p>
    <w:p w14:paraId="5B866AE3" w14:textId="64DCDCEA" w:rsidR="007222AE" w:rsidRPr="00F35081" w:rsidRDefault="00E05D9F" w:rsidP="00F35081">
      <w:pPr>
        <w:pStyle w:val="NormalWeb"/>
        <w:jc w:val="both"/>
        <w:rPr>
          <w:rFonts w:ascii="Cambria" w:hAnsi="Cambria"/>
          <w:color w:val="auto"/>
        </w:rPr>
      </w:pPr>
      <w:r w:rsidRPr="00D077BF">
        <w:rPr>
          <w:rFonts w:ascii="Cambria" w:hAnsi="Cambria"/>
          <w:color w:val="auto"/>
        </w:rPr>
        <w:t>Le montant de la subvention qui lui est alloué est de 550 000 Fcfp.</w:t>
      </w:r>
    </w:p>
    <w:p w14:paraId="3048671C" w14:textId="0D10E0A2" w:rsidR="00D722E2" w:rsidRPr="00D077BF" w:rsidRDefault="00F532C7" w:rsidP="005D084D">
      <w:pPr>
        <w:pStyle w:val="Titre1"/>
      </w:pPr>
      <w:bookmarkStart w:id="16" w:name="_Toc89873576"/>
      <w:r w:rsidRPr="00D077BF">
        <w:lastRenderedPageBreak/>
        <w:t xml:space="preserve">- </w:t>
      </w:r>
      <w:r w:rsidR="00073530" w:rsidRPr="00D077BF">
        <w:t>MCE</w:t>
      </w:r>
      <w:r w:rsidRPr="00D077BF">
        <w:t xml:space="preserve"> -</w:t>
      </w:r>
      <w:bookmarkStart w:id="17" w:name="_Hlk88044199"/>
      <w:bookmarkEnd w:id="16"/>
    </w:p>
    <w:bookmarkEnd w:id="17"/>
    <w:p w14:paraId="59F4093D" w14:textId="77777777" w:rsidR="00184AD7" w:rsidRPr="00D077BF" w:rsidRDefault="00184AD7" w:rsidP="00D95AFF">
      <w:pPr>
        <w:jc w:val="both"/>
        <w:rPr>
          <w:rFonts w:ascii="Cambria" w:hAnsi="Cambria"/>
          <w:lang w:eastAsia="fr-FR"/>
        </w:rPr>
      </w:pPr>
    </w:p>
    <w:p w14:paraId="161FC8E4" w14:textId="34CFDAEC" w:rsidR="00D95AFF" w:rsidRPr="00D077BF" w:rsidRDefault="00D95AFF" w:rsidP="00D95AFF">
      <w:pPr>
        <w:jc w:val="both"/>
        <w:rPr>
          <w:rFonts w:ascii="Cambria" w:hAnsi="Cambria"/>
          <w:lang w:eastAsia="fr-FR"/>
        </w:rPr>
      </w:pPr>
    </w:p>
    <w:p w14:paraId="3EE2581D" w14:textId="6F2A59F7" w:rsidR="00D95AFF" w:rsidRPr="00D077BF" w:rsidRDefault="009B4328" w:rsidP="00D95AFF">
      <w:pPr>
        <w:pStyle w:val="Titre2"/>
        <w:rPr>
          <w:lang w:eastAsia="fr-FR"/>
        </w:rPr>
      </w:pPr>
      <w:bookmarkStart w:id="18" w:name="_Toc89873577"/>
      <w:r w:rsidRPr="00D077BF">
        <w:rPr>
          <w:lang w:eastAsia="fr-FR"/>
        </w:rPr>
        <w:t>Présentation du projet océanien : Le Grand mur bleu du Pacifique</w:t>
      </w:r>
      <w:bookmarkEnd w:id="18"/>
    </w:p>
    <w:p w14:paraId="7DA08763" w14:textId="1276E6B7" w:rsidR="00D95AFF" w:rsidRPr="00D077BF" w:rsidRDefault="00D95AFF" w:rsidP="00D95AFF">
      <w:pPr>
        <w:rPr>
          <w:rFonts w:ascii="Cambria" w:hAnsi="Cambria"/>
          <w:lang w:eastAsia="fr-FR"/>
        </w:rPr>
      </w:pPr>
    </w:p>
    <w:p w14:paraId="06EFD621" w14:textId="77777777" w:rsidR="003106A8" w:rsidRPr="00D077BF" w:rsidRDefault="003106A8" w:rsidP="003106A8">
      <w:pPr>
        <w:jc w:val="both"/>
        <w:rPr>
          <w:rFonts w:ascii="Cambria" w:hAnsi="Cambria"/>
          <w:lang w:eastAsia="fr-FR"/>
        </w:rPr>
      </w:pPr>
      <w:r w:rsidRPr="00D077BF">
        <w:rPr>
          <w:rFonts w:ascii="Cambria" w:hAnsi="Cambria"/>
          <w:lang w:eastAsia="fr-FR"/>
        </w:rPr>
        <w:t>Si les pays et territoires du Pacifique, la Polynésie française y compris, sont les premières victimes des effets du changement climatique mondial, ils doivent également avoir une vraie ambition de lutte contre ses effets.</w:t>
      </w:r>
    </w:p>
    <w:p w14:paraId="39F674B3" w14:textId="77777777" w:rsidR="003106A8" w:rsidRPr="00D077BF" w:rsidRDefault="003106A8" w:rsidP="003106A8">
      <w:pPr>
        <w:jc w:val="both"/>
        <w:rPr>
          <w:rFonts w:ascii="Cambria" w:hAnsi="Cambria"/>
          <w:lang w:eastAsia="fr-FR"/>
        </w:rPr>
      </w:pPr>
    </w:p>
    <w:p w14:paraId="3EE7C028" w14:textId="77777777" w:rsidR="003106A8" w:rsidRPr="00D077BF" w:rsidRDefault="003106A8" w:rsidP="003106A8">
      <w:pPr>
        <w:jc w:val="both"/>
        <w:rPr>
          <w:rFonts w:ascii="Cambria" w:hAnsi="Cambria"/>
          <w:lang w:eastAsia="fr-FR"/>
        </w:rPr>
      </w:pPr>
      <w:r w:rsidRPr="00D077BF">
        <w:rPr>
          <w:rFonts w:ascii="Cambria" w:hAnsi="Cambria"/>
          <w:lang w:eastAsia="fr-FR"/>
        </w:rPr>
        <w:t xml:space="preserve">Dans ce cadre, le gouvernement souhaite porter au plus haut niveau international une </w:t>
      </w:r>
      <w:r w:rsidRPr="00D077BF">
        <w:rPr>
          <w:rFonts w:ascii="Cambria" w:hAnsi="Cambria"/>
          <w:i/>
          <w:lang w:eastAsia="fr-FR"/>
        </w:rPr>
        <w:t xml:space="preserve">« Ambition Te Moana O Hiva - le Grand mur bleu du Pacifique » </w:t>
      </w:r>
      <w:r w:rsidRPr="00D077BF">
        <w:rPr>
          <w:rFonts w:ascii="Cambria" w:hAnsi="Cambria"/>
          <w:lang w:eastAsia="fr-FR"/>
        </w:rPr>
        <w:t>qui vise à recentrer les efforts environnementaux des pays et territoires du Pacifique sur la protection et la gestion durable de notre Grand Océan, de manière à assurer à terme leur autonomie alimentaire et économique, et à lutter contre les effets du changement climatique mondial, autour de trois axes stratégiques :</w:t>
      </w:r>
    </w:p>
    <w:p w14:paraId="5BC3A329" w14:textId="77777777" w:rsidR="003106A8" w:rsidRPr="00D077BF" w:rsidRDefault="003106A8" w:rsidP="003106A8">
      <w:pPr>
        <w:jc w:val="both"/>
        <w:rPr>
          <w:rFonts w:ascii="Cambria" w:hAnsi="Cambria"/>
          <w:lang w:eastAsia="fr-FR"/>
        </w:rPr>
      </w:pPr>
    </w:p>
    <w:p w14:paraId="7B57338F" w14:textId="77777777" w:rsidR="003106A8" w:rsidRPr="00D077BF" w:rsidRDefault="003106A8" w:rsidP="003106A8">
      <w:pPr>
        <w:numPr>
          <w:ilvl w:val="0"/>
          <w:numId w:val="19"/>
        </w:numPr>
        <w:jc w:val="both"/>
        <w:rPr>
          <w:rFonts w:ascii="Cambria" w:hAnsi="Cambria"/>
          <w:lang w:eastAsia="fr-FR"/>
        </w:rPr>
      </w:pPr>
      <w:r w:rsidRPr="00D077BF">
        <w:rPr>
          <w:rFonts w:ascii="Cambria" w:hAnsi="Cambria"/>
          <w:lang w:eastAsia="fr-FR"/>
        </w:rPr>
        <w:t>Assurer la transition d’une économie liée à la vente des licences de pêche vers une économie bleue locale, durable et autonome ;</w:t>
      </w:r>
    </w:p>
    <w:p w14:paraId="5B61E2B8" w14:textId="77777777" w:rsidR="003106A8" w:rsidRPr="00D077BF" w:rsidRDefault="003106A8" w:rsidP="003106A8">
      <w:pPr>
        <w:numPr>
          <w:ilvl w:val="0"/>
          <w:numId w:val="19"/>
        </w:numPr>
        <w:jc w:val="both"/>
        <w:rPr>
          <w:rFonts w:ascii="Cambria" w:hAnsi="Cambria"/>
          <w:lang w:eastAsia="fr-FR"/>
        </w:rPr>
      </w:pPr>
      <w:r w:rsidRPr="00D077BF">
        <w:rPr>
          <w:rFonts w:ascii="Cambria" w:hAnsi="Cambria"/>
          <w:lang w:eastAsia="fr-FR"/>
        </w:rPr>
        <w:t>S’inspirer de Tainui ātea, le concept original polynésien de protection et de gestion durable des espaces et des espèces ;</w:t>
      </w:r>
    </w:p>
    <w:p w14:paraId="55438ABA" w14:textId="62B8A181" w:rsidR="003106A8" w:rsidRPr="00D077BF" w:rsidRDefault="003106A8" w:rsidP="003106A8">
      <w:pPr>
        <w:numPr>
          <w:ilvl w:val="0"/>
          <w:numId w:val="19"/>
        </w:numPr>
        <w:jc w:val="both"/>
        <w:rPr>
          <w:rFonts w:ascii="Cambria" w:hAnsi="Cambria"/>
          <w:lang w:eastAsia="fr-FR"/>
        </w:rPr>
      </w:pPr>
      <w:r w:rsidRPr="00D077BF">
        <w:rPr>
          <w:rFonts w:ascii="Cambria" w:hAnsi="Cambria"/>
          <w:lang w:eastAsia="fr-FR"/>
        </w:rPr>
        <w:t>Obtenir auprès de l’Organisation maritime internationale la reconnaissance des pays du Pacifique en tant que zone maritime particulièrement vulnérable.</w:t>
      </w:r>
    </w:p>
    <w:p w14:paraId="6018C3AD" w14:textId="77777777" w:rsidR="003106A8" w:rsidRPr="00D077BF" w:rsidRDefault="003106A8" w:rsidP="003106A8">
      <w:pPr>
        <w:ind w:left="1211"/>
        <w:jc w:val="both"/>
        <w:rPr>
          <w:rFonts w:ascii="Cambria" w:hAnsi="Cambria"/>
          <w:lang w:eastAsia="fr-FR"/>
        </w:rPr>
      </w:pPr>
    </w:p>
    <w:p w14:paraId="61C1E5E4" w14:textId="33D71E28" w:rsidR="00DC33A8" w:rsidRPr="00D077BF" w:rsidRDefault="003106A8" w:rsidP="00184AD7">
      <w:pPr>
        <w:jc w:val="both"/>
        <w:rPr>
          <w:rFonts w:ascii="Cambria" w:hAnsi="Cambria"/>
          <w:lang w:eastAsia="fr-FR"/>
        </w:rPr>
      </w:pPr>
      <w:r w:rsidRPr="00D077BF">
        <w:rPr>
          <w:rFonts w:ascii="Cambria" w:hAnsi="Cambria"/>
          <w:lang w:eastAsia="fr-FR"/>
        </w:rPr>
        <w:t>C’est cette ambition que le gouvernement va défendre, dans un premier temps, devant les représentants à l’Assemblée de la Polynésie française, puis présenter aux partenaires régionaux afin de recueillir leur assentiment sur ce projet régional d’envergue à portée internationale.</w:t>
      </w:r>
    </w:p>
    <w:p w14:paraId="5EACABDD" w14:textId="77777777" w:rsidR="00CC4CA2" w:rsidRPr="00D077BF" w:rsidRDefault="00CC4CA2" w:rsidP="00184AD7">
      <w:pPr>
        <w:jc w:val="both"/>
        <w:rPr>
          <w:rFonts w:ascii="Cambria" w:hAnsi="Cambria"/>
          <w:lang w:eastAsia="fr-FR"/>
        </w:rPr>
      </w:pPr>
    </w:p>
    <w:p w14:paraId="390F480F" w14:textId="77777777" w:rsidR="00DC33A8" w:rsidRPr="00D077BF" w:rsidRDefault="00DC33A8" w:rsidP="00184AD7">
      <w:pPr>
        <w:jc w:val="both"/>
        <w:rPr>
          <w:rFonts w:ascii="Cambria" w:hAnsi="Cambria"/>
          <w:lang w:eastAsia="fr-FR"/>
        </w:rPr>
      </w:pPr>
    </w:p>
    <w:p w14:paraId="7DBB0A3D" w14:textId="0FB0AD25" w:rsidR="00DC33A8" w:rsidRPr="00D077BF" w:rsidRDefault="003106A8" w:rsidP="00DC33A8">
      <w:pPr>
        <w:pStyle w:val="Titre2"/>
        <w:rPr>
          <w:lang w:eastAsia="fr-FR"/>
        </w:rPr>
      </w:pPr>
      <w:bookmarkStart w:id="19" w:name="_Toc89873578"/>
      <w:r w:rsidRPr="00D077BF">
        <w:rPr>
          <w:lang w:eastAsia="fr-FR"/>
        </w:rPr>
        <w:t>2022 – Année du sanctuaire marin de Polynésie française</w:t>
      </w:r>
      <w:bookmarkEnd w:id="19"/>
    </w:p>
    <w:p w14:paraId="0B84BA01" w14:textId="77777777" w:rsidR="00DC33A8" w:rsidRPr="00D077BF" w:rsidRDefault="00DC33A8" w:rsidP="00DC33A8">
      <w:pPr>
        <w:rPr>
          <w:rFonts w:ascii="Cambria" w:hAnsi="Cambria"/>
          <w:lang w:eastAsia="fr-FR"/>
        </w:rPr>
      </w:pPr>
    </w:p>
    <w:p w14:paraId="15EDBB36" w14:textId="77777777" w:rsidR="003106A8" w:rsidRPr="00D077BF" w:rsidRDefault="003106A8" w:rsidP="003106A8">
      <w:pPr>
        <w:jc w:val="both"/>
        <w:rPr>
          <w:rFonts w:ascii="Cambria" w:hAnsi="Cambria"/>
          <w:lang w:eastAsia="fr-FR"/>
        </w:rPr>
      </w:pPr>
      <w:r w:rsidRPr="00D077BF">
        <w:rPr>
          <w:rFonts w:ascii="Cambria" w:hAnsi="Cambria"/>
          <w:lang w:eastAsia="fr-FR"/>
        </w:rPr>
        <w:t>Cela fera 20 ans, depuis le 13 mai 2002, que notre Fenua est devenu le plus grand sanctuaire des mammifères marins au monde.</w:t>
      </w:r>
    </w:p>
    <w:p w14:paraId="5C33B393" w14:textId="77777777" w:rsidR="003106A8" w:rsidRPr="00D077BF" w:rsidRDefault="003106A8" w:rsidP="003106A8">
      <w:pPr>
        <w:jc w:val="both"/>
        <w:rPr>
          <w:rFonts w:ascii="Cambria" w:hAnsi="Cambria"/>
          <w:lang w:eastAsia="fr-FR"/>
        </w:rPr>
      </w:pPr>
    </w:p>
    <w:p w14:paraId="467CE7A4" w14:textId="77777777" w:rsidR="003106A8" w:rsidRPr="00D077BF" w:rsidRDefault="003106A8" w:rsidP="003106A8">
      <w:pPr>
        <w:jc w:val="both"/>
        <w:rPr>
          <w:rFonts w:ascii="Cambria" w:hAnsi="Cambria"/>
          <w:lang w:eastAsia="fr-FR"/>
        </w:rPr>
      </w:pPr>
      <w:r w:rsidRPr="00D077BF">
        <w:rPr>
          <w:rFonts w:ascii="Cambria" w:hAnsi="Cambria"/>
          <w:lang w:eastAsia="fr-FR"/>
        </w:rPr>
        <w:t>Depuis lors, le sanctuaire marin polynésien protège également toutes les espèces de tortues marines, toutes les espèces de requins et toutes les espèces de raies Mobula. Enfin, depuis avril 2018, Tainui ātea est classé en aire marine gérée.</w:t>
      </w:r>
    </w:p>
    <w:p w14:paraId="40CF653B" w14:textId="77777777" w:rsidR="003106A8" w:rsidRPr="00D077BF" w:rsidRDefault="003106A8" w:rsidP="003106A8">
      <w:pPr>
        <w:jc w:val="both"/>
        <w:rPr>
          <w:rFonts w:ascii="Cambria" w:hAnsi="Cambria"/>
          <w:lang w:eastAsia="fr-FR"/>
        </w:rPr>
      </w:pPr>
    </w:p>
    <w:p w14:paraId="6F6B5C6D" w14:textId="77777777" w:rsidR="003106A8" w:rsidRPr="00D077BF" w:rsidRDefault="003106A8" w:rsidP="003106A8">
      <w:pPr>
        <w:jc w:val="both"/>
        <w:rPr>
          <w:rFonts w:ascii="Cambria" w:hAnsi="Cambria"/>
          <w:lang w:eastAsia="fr-FR"/>
        </w:rPr>
      </w:pPr>
      <w:r w:rsidRPr="00D077BF">
        <w:rPr>
          <w:rFonts w:ascii="Cambria" w:hAnsi="Cambria"/>
          <w:lang w:eastAsia="fr-FR"/>
        </w:rPr>
        <w:t>2022 sera donc l’occasion de rappeler l’histoire des mesures de protection et de gestion durable mises en place par les gouvernements polynésiens successifs depuis plus de 70 ans. Ce sera également l’opportunité de défendre un concept polynésien de protection et de gestion durable des espaces et des espèces, pragmatique, inspiré des millénaires de savoir-faire traditionnels. Ce sera enfin le moment d’affirmer, au plus haut niveau, la volonté forte de notre Gouvernement à agir et à trouver des solutions fondées sur la nature pour répondre aux effets du changement climatique mondial.</w:t>
      </w:r>
    </w:p>
    <w:p w14:paraId="7C506A2F" w14:textId="340683FD" w:rsidR="00DC33A8" w:rsidRPr="00D077BF" w:rsidRDefault="00DC33A8" w:rsidP="00DC33A8">
      <w:pPr>
        <w:jc w:val="both"/>
        <w:rPr>
          <w:rFonts w:ascii="Cambria" w:hAnsi="Cambria"/>
          <w:lang w:eastAsia="fr-FR"/>
        </w:rPr>
      </w:pPr>
    </w:p>
    <w:p w14:paraId="79023E93" w14:textId="0813F3C6" w:rsidR="00DC33A8" w:rsidRDefault="00DC33A8" w:rsidP="00DC33A8">
      <w:pPr>
        <w:jc w:val="both"/>
        <w:rPr>
          <w:rFonts w:ascii="Cambria" w:hAnsi="Cambria"/>
          <w:lang w:eastAsia="fr-FR"/>
        </w:rPr>
      </w:pPr>
    </w:p>
    <w:p w14:paraId="007BA297" w14:textId="77777777" w:rsidR="00F35081" w:rsidRPr="00D077BF" w:rsidRDefault="00F35081" w:rsidP="00DC33A8">
      <w:pPr>
        <w:jc w:val="both"/>
        <w:rPr>
          <w:rFonts w:ascii="Cambria" w:hAnsi="Cambria"/>
          <w:lang w:eastAsia="fr-FR"/>
        </w:rPr>
      </w:pPr>
    </w:p>
    <w:p w14:paraId="7A5F4281" w14:textId="3F283F5D" w:rsidR="00DC33A8" w:rsidRPr="00D077BF" w:rsidRDefault="00DC33A8" w:rsidP="00DC33A8">
      <w:pPr>
        <w:pStyle w:val="Titre2"/>
        <w:rPr>
          <w:lang w:eastAsia="fr-FR"/>
        </w:rPr>
      </w:pPr>
      <w:bookmarkStart w:id="20" w:name="_Hlk89788699"/>
      <w:bookmarkStart w:id="21" w:name="_Toc89873579"/>
      <w:r w:rsidRPr="00D077BF">
        <w:rPr>
          <w:lang w:eastAsia="fr-FR"/>
        </w:rPr>
        <w:lastRenderedPageBreak/>
        <w:t>Subventions aux associations</w:t>
      </w:r>
      <w:bookmarkEnd w:id="21"/>
    </w:p>
    <w:p w14:paraId="33873DD5" w14:textId="77777777" w:rsidR="00DC33A8" w:rsidRPr="00D077BF" w:rsidRDefault="00DC33A8" w:rsidP="00DC33A8">
      <w:pPr>
        <w:rPr>
          <w:rFonts w:ascii="Cambria" w:hAnsi="Cambria"/>
          <w:lang w:eastAsia="fr-FR"/>
        </w:rPr>
      </w:pPr>
    </w:p>
    <w:p w14:paraId="79817080" w14:textId="247321FF" w:rsidR="00CB3969" w:rsidRPr="00D077BF" w:rsidRDefault="00CB3969" w:rsidP="00CB3969">
      <w:pPr>
        <w:jc w:val="both"/>
        <w:rPr>
          <w:rFonts w:ascii="Cambria" w:hAnsi="Cambria"/>
          <w:lang w:eastAsia="fr-FR"/>
        </w:rPr>
      </w:pPr>
      <w:r w:rsidRPr="00D077BF">
        <w:rPr>
          <w:rFonts w:ascii="Cambria" w:hAnsi="Cambria"/>
          <w:lang w:eastAsia="fr-FR"/>
        </w:rPr>
        <w:t>Sur proposition du ministre de la Culture, de l’environnement en charge de la jeunesse et des sports et de l’artisanat, le Conseil des ministres a adopté l'octroi de subventions en fonctionnement et en investissement pour un montant total de</w:t>
      </w:r>
      <w:r w:rsidRPr="00D077BF">
        <w:rPr>
          <w:rFonts w:ascii="Cambria" w:hAnsi="Cambria"/>
          <w:b/>
          <w:lang w:eastAsia="fr-FR"/>
        </w:rPr>
        <w:t xml:space="preserve"> </w:t>
      </w:r>
      <w:r w:rsidRPr="00D077BF">
        <w:rPr>
          <w:rFonts w:ascii="Cambria" w:hAnsi="Cambria"/>
          <w:bCs/>
          <w:lang w:eastAsia="fr-FR"/>
        </w:rPr>
        <w:t>10 359 490 Fcfp :</w:t>
      </w:r>
      <w:r w:rsidRPr="00D077BF">
        <w:rPr>
          <w:rFonts w:ascii="Cambria" w:hAnsi="Cambria"/>
          <w:lang w:eastAsia="fr-FR"/>
        </w:rPr>
        <w:t xml:space="preserve"> </w:t>
      </w:r>
    </w:p>
    <w:p w14:paraId="6FEC0216" w14:textId="77777777" w:rsidR="00CB3969" w:rsidRPr="00D077BF" w:rsidRDefault="00CB3969" w:rsidP="00CB3969">
      <w:pPr>
        <w:jc w:val="both"/>
        <w:rPr>
          <w:rFonts w:ascii="Cambria" w:hAnsi="Cambria"/>
          <w:lang w:eastAsia="fr-FR"/>
        </w:rPr>
      </w:pPr>
    </w:p>
    <w:p w14:paraId="1AA2B5F4" w14:textId="1888A083" w:rsidR="00CB3969" w:rsidRPr="00D077BF" w:rsidRDefault="00CB3969" w:rsidP="00CB3969">
      <w:pPr>
        <w:pStyle w:val="Paragraphedeliste"/>
        <w:numPr>
          <w:ilvl w:val="0"/>
          <w:numId w:val="30"/>
        </w:numPr>
        <w:jc w:val="both"/>
        <w:rPr>
          <w:rFonts w:ascii="Cambria" w:hAnsi="Cambria"/>
          <w:lang w:eastAsia="fr-FR"/>
        </w:rPr>
      </w:pPr>
      <w:r w:rsidRPr="00D077BF">
        <w:rPr>
          <w:rFonts w:ascii="Cambria" w:hAnsi="Cambria"/>
          <w:lang w:eastAsia="fr-FR"/>
        </w:rPr>
        <w:t xml:space="preserve">Au titre de l’artisanat : en faveur de la Fédération Te </w:t>
      </w:r>
      <w:proofErr w:type="spellStart"/>
      <w:r w:rsidRPr="00D077BF">
        <w:rPr>
          <w:rFonts w:ascii="Cambria" w:hAnsi="Cambria"/>
          <w:lang w:eastAsia="fr-FR"/>
        </w:rPr>
        <w:t>Tuhuka</w:t>
      </w:r>
      <w:proofErr w:type="spellEnd"/>
      <w:r w:rsidRPr="00D077BF">
        <w:rPr>
          <w:rFonts w:ascii="Cambria" w:hAnsi="Cambria"/>
          <w:lang w:eastAsia="fr-FR"/>
        </w:rPr>
        <w:t xml:space="preserve"> o te </w:t>
      </w:r>
      <w:proofErr w:type="spellStart"/>
      <w:r w:rsidRPr="00D077BF">
        <w:rPr>
          <w:rFonts w:ascii="Cambria" w:hAnsi="Cambria"/>
          <w:lang w:eastAsia="fr-FR"/>
        </w:rPr>
        <w:t>Henua</w:t>
      </w:r>
      <w:proofErr w:type="spellEnd"/>
      <w:r w:rsidRPr="00D077BF">
        <w:rPr>
          <w:rFonts w:ascii="Cambria" w:hAnsi="Cambria"/>
          <w:lang w:eastAsia="fr-FR"/>
        </w:rPr>
        <w:t xml:space="preserve"> </w:t>
      </w:r>
      <w:proofErr w:type="spellStart"/>
      <w:r w:rsidRPr="00D077BF">
        <w:rPr>
          <w:rFonts w:ascii="Cambria" w:hAnsi="Cambria"/>
          <w:lang w:eastAsia="fr-FR"/>
        </w:rPr>
        <w:t>Enana</w:t>
      </w:r>
      <w:proofErr w:type="spellEnd"/>
      <w:r w:rsidRPr="00D077BF">
        <w:rPr>
          <w:rFonts w:ascii="Cambria" w:hAnsi="Cambria"/>
          <w:lang w:eastAsia="fr-FR"/>
        </w:rPr>
        <w:t xml:space="preserve"> pour l'organisation et la mise en place du 50ème salon des Marquises en novembre 2021 au Parc des expositions de Mamao.</w:t>
      </w:r>
    </w:p>
    <w:p w14:paraId="48E1B292" w14:textId="77777777" w:rsidR="00CB3969" w:rsidRPr="00D077BF" w:rsidRDefault="00CB3969" w:rsidP="00CB3969">
      <w:pPr>
        <w:pStyle w:val="Paragraphedeliste"/>
        <w:numPr>
          <w:ilvl w:val="0"/>
          <w:numId w:val="30"/>
        </w:numPr>
        <w:jc w:val="both"/>
        <w:rPr>
          <w:rFonts w:ascii="Cambria" w:hAnsi="Cambria"/>
          <w:lang w:eastAsia="fr-FR"/>
        </w:rPr>
      </w:pPr>
      <w:r w:rsidRPr="00D077BF">
        <w:rPr>
          <w:rFonts w:ascii="Cambria" w:hAnsi="Cambria"/>
          <w:lang w:eastAsia="fr-FR"/>
        </w:rPr>
        <w:t xml:space="preserve">Au titre de la culture en faveur de :  </w:t>
      </w:r>
    </w:p>
    <w:p w14:paraId="0932B91B" w14:textId="4C8274FD" w:rsidR="00CB3969" w:rsidRPr="00D077BF" w:rsidRDefault="00CB3969" w:rsidP="00CB3969">
      <w:pPr>
        <w:pStyle w:val="Paragraphedeliste"/>
        <w:numPr>
          <w:ilvl w:val="0"/>
          <w:numId w:val="31"/>
        </w:numPr>
        <w:jc w:val="both"/>
        <w:rPr>
          <w:rFonts w:ascii="Cambria" w:hAnsi="Cambria"/>
          <w:lang w:eastAsia="fr-FR"/>
        </w:rPr>
      </w:pPr>
      <w:r w:rsidRPr="00D077BF">
        <w:rPr>
          <w:rFonts w:ascii="Cambria" w:hAnsi="Cambria"/>
          <w:lang w:eastAsia="fr-FR"/>
        </w:rPr>
        <w:t xml:space="preserve">L’association District </w:t>
      </w:r>
      <w:proofErr w:type="spellStart"/>
      <w:r w:rsidRPr="00D077BF">
        <w:rPr>
          <w:rFonts w:ascii="Cambria" w:hAnsi="Cambria"/>
          <w:lang w:eastAsia="fr-FR"/>
        </w:rPr>
        <w:t>Vaka</w:t>
      </w:r>
      <w:proofErr w:type="spellEnd"/>
      <w:r w:rsidRPr="00D077BF">
        <w:rPr>
          <w:rFonts w:ascii="Cambria" w:hAnsi="Cambria"/>
          <w:lang w:eastAsia="fr-FR"/>
        </w:rPr>
        <w:t xml:space="preserve"> de Ua-Pou pour financer l'acquisition d'</w:t>
      </w:r>
      <w:proofErr w:type="spellStart"/>
      <w:r w:rsidRPr="00D077BF">
        <w:rPr>
          <w:rFonts w:ascii="Cambria" w:hAnsi="Cambria"/>
          <w:lang w:eastAsia="fr-FR"/>
        </w:rPr>
        <w:t>ukulele</w:t>
      </w:r>
      <w:proofErr w:type="spellEnd"/>
      <w:r w:rsidRPr="00D077BF">
        <w:rPr>
          <w:rFonts w:ascii="Cambria" w:hAnsi="Cambria"/>
          <w:lang w:eastAsia="fr-FR"/>
        </w:rPr>
        <w:t>, dans le cadre du projet de cours de musique traditionnelle, au titre de l'année 2021 </w:t>
      </w:r>
    </w:p>
    <w:p w14:paraId="4953B933" w14:textId="77189A54" w:rsidR="00CB3969" w:rsidRPr="00D077BF" w:rsidRDefault="00CB3969" w:rsidP="00CB3969">
      <w:pPr>
        <w:pStyle w:val="Paragraphedeliste"/>
        <w:numPr>
          <w:ilvl w:val="0"/>
          <w:numId w:val="31"/>
        </w:numPr>
        <w:jc w:val="both"/>
        <w:rPr>
          <w:rFonts w:ascii="Cambria" w:hAnsi="Cambria"/>
          <w:lang w:eastAsia="fr-FR"/>
        </w:rPr>
      </w:pPr>
      <w:r w:rsidRPr="00D077BF">
        <w:rPr>
          <w:rFonts w:ascii="Cambria" w:hAnsi="Cambria"/>
          <w:lang w:eastAsia="fr-FR"/>
        </w:rPr>
        <w:t xml:space="preserve">L’association Puna Reo </w:t>
      </w:r>
      <w:proofErr w:type="spellStart"/>
      <w:r w:rsidRPr="00D077BF">
        <w:rPr>
          <w:rFonts w:ascii="Cambria" w:hAnsi="Cambria"/>
          <w:lang w:eastAsia="fr-FR"/>
        </w:rPr>
        <w:t>Piha'eina</w:t>
      </w:r>
      <w:proofErr w:type="spellEnd"/>
      <w:r w:rsidRPr="00D077BF">
        <w:rPr>
          <w:rFonts w:ascii="Cambria" w:hAnsi="Cambria"/>
          <w:lang w:eastAsia="fr-FR"/>
        </w:rPr>
        <w:t xml:space="preserve"> pour la construction d'un bloc sanitaire sur le site </w:t>
      </w:r>
      <w:proofErr w:type="spellStart"/>
      <w:r w:rsidRPr="00D077BF">
        <w:rPr>
          <w:rFonts w:ascii="Cambria" w:hAnsi="Cambria"/>
          <w:lang w:eastAsia="fr-FR"/>
        </w:rPr>
        <w:t>Pererau</w:t>
      </w:r>
      <w:proofErr w:type="spellEnd"/>
      <w:r w:rsidRPr="00D077BF">
        <w:rPr>
          <w:rFonts w:ascii="Cambria" w:hAnsi="Cambria"/>
          <w:lang w:eastAsia="fr-FR"/>
        </w:rPr>
        <w:t xml:space="preserve"> sis à Moorea - Phase 2</w:t>
      </w:r>
    </w:p>
    <w:bookmarkEnd w:id="20"/>
    <w:p w14:paraId="2EB1E9B3" w14:textId="77777777" w:rsidR="00DC33A8" w:rsidRPr="00D077BF" w:rsidRDefault="00DC33A8" w:rsidP="00DC33A8">
      <w:pPr>
        <w:jc w:val="both"/>
        <w:rPr>
          <w:rFonts w:ascii="Cambria" w:hAnsi="Cambria"/>
          <w:lang w:eastAsia="fr-FR"/>
        </w:rPr>
      </w:pPr>
    </w:p>
    <w:p w14:paraId="7F48535F" w14:textId="77777777" w:rsidR="00DB22DD" w:rsidRPr="00D077BF" w:rsidRDefault="00DB22DD" w:rsidP="00887AD1">
      <w:pPr>
        <w:rPr>
          <w:rFonts w:ascii="Cambria" w:hAnsi="Cambria"/>
        </w:rPr>
      </w:pPr>
    </w:p>
    <w:p w14:paraId="191151B5" w14:textId="7B90D302" w:rsidR="00561739" w:rsidRPr="00D077BF" w:rsidRDefault="00DF6629" w:rsidP="00CA7DD9">
      <w:pPr>
        <w:pStyle w:val="Titre1"/>
      </w:pPr>
      <w:bookmarkStart w:id="22" w:name="_Toc89873580"/>
      <w:r w:rsidRPr="00D077BF">
        <w:t xml:space="preserve">- </w:t>
      </w:r>
      <w:r w:rsidR="00D95AFF" w:rsidRPr="00D077BF">
        <w:t>MSP</w:t>
      </w:r>
      <w:r w:rsidRPr="00D077BF">
        <w:t>-</w:t>
      </w:r>
      <w:bookmarkEnd w:id="22"/>
    </w:p>
    <w:p w14:paraId="686BAD64" w14:textId="214A1421" w:rsidR="00887AD1" w:rsidRPr="00D077BF" w:rsidRDefault="00887AD1" w:rsidP="00CA7DD9">
      <w:pPr>
        <w:rPr>
          <w:rFonts w:ascii="Cambria" w:hAnsi="Cambria"/>
        </w:rPr>
      </w:pPr>
    </w:p>
    <w:p w14:paraId="31F2FD79" w14:textId="77777777" w:rsidR="00CC4CA2" w:rsidRPr="00D077BF" w:rsidRDefault="00CC4CA2" w:rsidP="00CA7DD9">
      <w:pPr>
        <w:rPr>
          <w:rFonts w:ascii="Cambria" w:hAnsi="Cambria"/>
        </w:rPr>
      </w:pPr>
    </w:p>
    <w:p w14:paraId="4753D5C2" w14:textId="62CC2BF6" w:rsidR="00561739" w:rsidRPr="00D077BF" w:rsidRDefault="009B4328" w:rsidP="00561739">
      <w:pPr>
        <w:pStyle w:val="Titre2"/>
        <w:rPr>
          <w:rFonts w:eastAsia="Times New Roman"/>
          <w:lang w:eastAsia="fr-FR"/>
        </w:rPr>
      </w:pPr>
      <w:bookmarkStart w:id="23" w:name="_Hlk89787187"/>
      <w:bookmarkStart w:id="24" w:name="_Toc89873581"/>
      <w:r w:rsidRPr="00D077BF">
        <w:rPr>
          <w:rFonts w:eastAsia="Times New Roman"/>
          <w:lang w:eastAsia="fr-FR"/>
        </w:rPr>
        <w:t>Lutte</w:t>
      </w:r>
      <w:r w:rsidR="00603222" w:rsidRPr="00D077BF">
        <w:rPr>
          <w:rFonts w:eastAsia="Times New Roman"/>
          <w:lang w:eastAsia="fr-FR"/>
        </w:rPr>
        <w:t xml:space="preserve"> contre la Covid-19 en Polynésie française</w:t>
      </w:r>
      <w:r w:rsidRPr="00D077BF">
        <w:rPr>
          <w:rFonts w:eastAsia="Times New Roman"/>
          <w:lang w:eastAsia="fr-FR"/>
        </w:rPr>
        <w:t> : mesures générales</w:t>
      </w:r>
      <w:bookmarkEnd w:id="24"/>
    </w:p>
    <w:p w14:paraId="0496AF64" w14:textId="02B6268C" w:rsidR="00603222" w:rsidRPr="00D077BF" w:rsidRDefault="00603222" w:rsidP="00603222">
      <w:pPr>
        <w:spacing w:before="100" w:beforeAutospacing="1" w:after="100" w:afterAutospacing="1"/>
        <w:jc w:val="both"/>
        <w:rPr>
          <w:rFonts w:ascii="Cambria" w:hAnsi="Cambria"/>
          <w:lang w:eastAsia="fr-FR"/>
        </w:rPr>
      </w:pPr>
      <w:r w:rsidRPr="00D077BF">
        <w:rPr>
          <w:rFonts w:ascii="Cambria" w:hAnsi="Cambria"/>
          <w:lang w:eastAsia="fr-FR"/>
        </w:rPr>
        <w:t>Le Conseil des ministres a validé deux arrêtés dans le cadre de la lutte contre la covid-19. L’un concerne l’intégration d’une dose de rappel au passe sanitaire et le deuxième concerne le renforcement des mesures à l’entrée sur le territoire.</w:t>
      </w:r>
    </w:p>
    <w:p w14:paraId="23D34700" w14:textId="277D38D5" w:rsidR="00603222" w:rsidRPr="00D077BF" w:rsidRDefault="00603222" w:rsidP="00603222">
      <w:pPr>
        <w:spacing w:before="100" w:beforeAutospacing="1" w:after="100" w:afterAutospacing="1"/>
        <w:jc w:val="both"/>
        <w:rPr>
          <w:rFonts w:ascii="Cambria" w:hAnsi="Cambria"/>
          <w:lang w:eastAsia="fr-FR"/>
        </w:rPr>
      </w:pPr>
      <w:r w:rsidRPr="00D077BF">
        <w:rPr>
          <w:rFonts w:ascii="Cambria" w:hAnsi="Cambria"/>
          <w:lang w:eastAsia="fr-FR"/>
        </w:rPr>
        <w:t>Depuis le 1er décembre 2021, le pass sanitaire est mis en œuvre sur le territoire permettant de limiter les risques de diffusion épidémique, de minimiser la probabilité de contamination dans des situations à risque, et donc la pression sur le système de soin</w:t>
      </w:r>
      <w:r w:rsidR="00ED5751" w:rsidRPr="00D077BF">
        <w:rPr>
          <w:rFonts w:ascii="Cambria" w:hAnsi="Cambria"/>
          <w:lang w:eastAsia="fr-FR"/>
        </w:rPr>
        <w:t>s</w:t>
      </w:r>
      <w:r w:rsidRPr="00D077BF">
        <w:rPr>
          <w:rFonts w:ascii="Cambria" w:hAnsi="Cambria"/>
          <w:lang w:eastAsia="fr-FR"/>
        </w:rPr>
        <w:t xml:space="preserve">, tout en permettant de maintenir ouvertes certaines activités ou lieux en complément des protocoles sanitaires propres à chaque secteur. Cet outil, déployé au niveau national, implique que la Polynésie française s’aligne sur les dispositions mises en œuvre en France, notamment sur la définition du schéma vaccinal complet. </w:t>
      </w:r>
    </w:p>
    <w:p w14:paraId="6C1F407E" w14:textId="661DA7DB" w:rsidR="00603222" w:rsidRPr="00D077BF" w:rsidRDefault="00603222" w:rsidP="00603222">
      <w:pPr>
        <w:spacing w:before="100" w:beforeAutospacing="1" w:after="100" w:afterAutospacing="1"/>
        <w:jc w:val="both"/>
        <w:rPr>
          <w:rFonts w:ascii="Cambria" w:hAnsi="Cambria"/>
          <w:lang w:eastAsia="fr-FR"/>
        </w:rPr>
      </w:pPr>
      <w:r w:rsidRPr="00D077BF">
        <w:rPr>
          <w:rFonts w:ascii="Cambria" w:hAnsi="Cambria"/>
          <w:lang w:eastAsia="fr-FR"/>
        </w:rPr>
        <w:t>Face à une reprise de l’épidémie sur le territoire nationale, la campagne de vaccination contre la Covid-19 en France connait une accélération et les règles relatives au passe sanitaire ont évolué. Un rappel vaccinal est rendu obligatoire pour certaines personnes.</w:t>
      </w:r>
      <w:r w:rsidR="00ED5751" w:rsidRPr="00D077BF">
        <w:rPr>
          <w:rFonts w:ascii="Cambria" w:hAnsi="Cambria"/>
          <w:lang w:eastAsia="fr-FR"/>
        </w:rPr>
        <w:t xml:space="preserve"> </w:t>
      </w:r>
      <w:r w:rsidRPr="00D077BF">
        <w:rPr>
          <w:rFonts w:ascii="Cambria" w:hAnsi="Cambria"/>
          <w:lang w:eastAsia="fr-FR"/>
        </w:rPr>
        <w:t>Ainsi, à partir du 15 décembre 2021, le pas</w:t>
      </w:r>
      <w:r w:rsidR="00ED5751" w:rsidRPr="00D077BF">
        <w:rPr>
          <w:rFonts w:ascii="Cambria" w:hAnsi="Cambria"/>
          <w:lang w:eastAsia="fr-FR"/>
        </w:rPr>
        <w:t>s</w:t>
      </w:r>
      <w:r w:rsidRPr="00D077BF">
        <w:rPr>
          <w:rFonts w:ascii="Cambria" w:hAnsi="Cambria"/>
          <w:lang w:eastAsia="fr-FR"/>
        </w:rPr>
        <w:t xml:space="preserve"> sanitaire prendra en compte la réalisation de ce rappel vaccinal pour les personnes âgées de plus de 65 ans et les personnes ayant été vaccinées avec le vaccin Janssen. Pour les personnes de 18 à 64 ans, la réalisation du rappel</w:t>
      </w:r>
      <w:r w:rsidR="00AF7E65" w:rsidRPr="00D077BF">
        <w:rPr>
          <w:rFonts w:ascii="Cambria" w:hAnsi="Cambria"/>
          <w:lang w:eastAsia="fr-FR"/>
        </w:rPr>
        <w:t xml:space="preserve"> ne</w:t>
      </w:r>
      <w:r w:rsidRPr="00D077BF">
        <w:rPr>
          <w:rFonts w:ascii="Cambria" w:hAnsi="Cambria"/>
          <w:lang w:eastAsia="fr-FR"/>
        </w:rPr>
        <w:t xml:space="preserve"> sera </w:t>
      </w:r>
      <w:r w:rsidR="00ED5751" w:rsidRPr="00D077BF">
        <w:rPr>
          <w:rFonts w:ascii="Cambria" w:hAnsi="Cambria"/>
          <w:lang w:eastAsia="fr-FR"/>
        </w:rPr>
        <w:t>prise</w:t>
      </w:r>
      <w:r w:rsidRPr="00D077BF">
        <w:rPr>
          <w:rFonts w:ascii="Cambria" w:hAnsi="Cambria"/>
          <w:lang w:eastAsia="fr-FR"/>
        </w:rPr>
        <w:t xml:space="preserve"> en compte qu’à partir du 15 janvier 2022.</w:t>
      </w:r>
    </w:p>
    <w:p w14:paraId="05FA050F" w14:textId="77777777" w:rsidR="00603222" w:rsidRPr="00D077BF" w:rsidRDefault="00603222" w:rsidP="00603222">
      <w:pPr>
        <w:spacing w:before="100" w:beforeAutospacing="1" w:after="100" w:afterAutospacing="1"/>
        <w:jc w:val="both"/>
        <w:rPr>
          <w:rFonts w:ascii="Cambria" w:hAnsi="Cambria"/>
          <w:lang w:eastAsia="fr-FR"/>
        </w:rPr>
      </w:pPr>
      <w:r w:rsidRPr="00D077BF">
        <w:rPr>
          <w:rFonts w:ascii="Cambria" w:hAnsi="Cambria"/>
          <w:lang w:eastAsia="fr-FR"/>
        </w:rPr>
        <w:t>Ces catégories de personnes devront avoir fait leur rappel, à partir du moment où elles y sont éligibles, et au terme d’un délai de 4 semaines supplémentaires maximum. Au-delà de ce délai, leur QR code intégré au certificat de vaccination sera désactivé automatiquement.</w:t>
      </w:r>
    </w:p>
    <w:p w14:paraId="683A5E60" w14:textId="77777777" w:rsidR="00ED5751" w:rsidRPr="00D077BF" w:rsidRDefault="00603222" w:rsidP="00ED5751">
      <w:pPr>
        <w:spacing w:before="100" w:beforeAutospacing="1" w:after="100" w:afterAutospacing="1"/>
        <w:jc w:val="both"/>
        <w:rPr>
          <w:rFonts w:ascii="Cambria" w:hAnsi="Cambria"/>
          <w:lang w:eastAsia="fr-FR"/>
        </w:rPr>
      </w:pPr>
      <w:r w:rsidRPr="00D077BF">
        <w:rPr>
          <w:rFonts w:ascii="Cambria" w:hAnsi="Cambria"/>
          <w:lang w:eastAsia="fr-FR"/>
        </w:rPr>
        <w:lastRenderedPageBreak/>
        <w:t>La dose de rappel correspond à l’administration d’une dose de vaccin supplémentaire, c’est-à-dire, dans les cas les plus courants :</w:t>
      </w:r>
    </w:p>
    <w:p w14:paraId="3BBD8AA2" w14:textId="77777777" w:rsidR="00ED5751" w:rsidRPr="00D077BF" w:rsidRDefault="00603222" w:rsidP="00ED5751">
      <w:pPr>
        <w:pStyle w:val="Paragraphedeliste"/>
        <w:numPr>
          <w:ilvl w:val="0"/>
          <w:numId w:val="25"/>
        </w:numPr>
        <w:spacing w:before="100" w:beforeAutospacing="1" w:after="100" w:afterAutospacing="1"/>
        <w:jc w:val="both"/>
        <w:rPr>
          <w:rFonts w:ascii="Cambria" w:hAnsi="Cambria"/>
          <w:lang w:eastAsia="fr-FR"/>
        </w:rPr>
      </w:pPr>
      <w:r w:rsidRPr="00D077BF">
        <w:rPr>
          <w:rFonts w:ascii="Cambria" w:hAnsi="Cambria"/>
          <w:b/>
          <w:bCs/>
          <w:lang w:eastAsia="fr-FR"/>
        </w:rPr>
        <w:t>Une seconde dose</w:t>
      </w:r>
      <w:r w:rsidRPr="00D077BF">
        <w:rPr>
          <w:rFonts w:ascii="Cambria" w:hAnsi="Cambria"/>
          <w:lang w:eastAsia="fr-FR"/>
        </w:rPr>
        <w:t xml:space="preserve"> pour les personnes ayant déjà contracté la Covid-19 et ayant donc reçu qu’une seule injection (Pfizer-BioNTech, Moderna, AstraZeneca), ainsi que pour les personnes ayant été vaccinées avec une dose du vaccin Janssen ;</w:t>
      </w:r>
    </w:p>
    <w:p w14:paraId="0CDEB11C" w14:textId="11CB3504" w:rsidR="00603222" w:rsidRPr="00D077BF" w:rsidRDefault="00603222" w:rsidP="00ED5751">
      <w:pPr>
        <w:pStyle w:val="Paragraphedeliste"/>
        <w:numPr>
          <w:ilvl w:val="0"/>
          <w:numId w:val="25"/>
        </w:numPr>
        <w:spacing w:before="100" w:beforeAutospacing="1" w:after="100" w:afterAutospacing="1"/>
        <w:jc w:val="both"/>
        <w:rPr>
          <w:rFonts w:ascii="Cambria" w:hAnsi="Cambria"/>
          <w:lang w:eastAsia="fr-FR"/>
        </w:rPr>
      </w:pPr>
      <w:r w:rsidRPr="00D077BF">
        <w:rPr>
          <w:rFonts w:ascii="Cambria" w:hAnsi="Cambria"/>
          <w:b/>
          <w:bCs/>
          <w:lang w:eastAsia="fr-FR"/>
        </w:rPr>
        <w:t>Une troisième dose</w:t>
      </w:r>
      <w:r w:rsidRPr="00D077BF">
        <w:rPr>
          <w:rFonts w:ascii="Cambria" w:hAnsi="Cambria"/>
          <w:lang w:eastAsia="fr-FR"/>
        </w:rPr>
        <w:t xml:space="preserve"> pour les personnes ayant reçu deux doses de vaccins (</w:t>
      </w:r>
      <w:proofErr w:type="spellStart"/>
      <w:r w:rsidRPr="00D077BF">
        <w:rPr>
          <w:rFonts w:ascii="Cambria" w:hAnsi="Cambria"/>
          <w:lang w:eastAsia="fr-FR"/>
        </w:rPr>
        <w:t>PfizerBioNTech</w:t>
      </w:r>
      <w:proofErr w:type="spellEnd"/>
      <w:r w:rsidRPr="00D077BF">
        <w:rPr>
          <w:rFonts w:ascii="Cambria" w:hAnsi="Cambria"/>
          <w:lang w:eastAsia="fr-FR"/>
        </w:rPr>
        <w:t>, Moderna, AstraZeneca) dans le cadre de leur schéma vaccinal initial.</w:t>
      </w:r>
    </w:p>
    <w:p w14:paraId="0EDA00F3" w14:textId="46CA62DD" w:rsidR="00603222" w:rsidRPr="00D077BF" w:rsidRDefault="00603222" w:rsidP="00603222">
      <w:pPr>
        <w:spacing w:before="100" w:beforeAutospacing="1" w:after="100" w:afterAutospacing="1"/>
        <w:jc w:val="both"/>
        <w:rPr>
          <w:rFonts w:ascii="Cambria" w:hAnsi="Cambria"/>
          <w:lang w:eastAsia="fr-FR"/>
        </w:rPr>
      </w:pPr>
      <w:r w:rsidRPr="00D077BF">
        <w:rPr>
          <w:rFonts w:ascii="Cambria" w:hAnsi="Cambria"/>
          <w:lang w:eastAsia="fr-FR"/>
        </w:rPr>
        <w:t xml:space="preserve">Le premier arrêté validé par le </w:t>
      </w:r>
      <w:r w:rsidR="00ED5751" w:rsidRPr="00D077BF">
        <w:rPr>
          <w:rFonts w:ascii="Cambria" w:hAnsi="Cambria"/>
          <w:lang w:eastAsia="fr-FR"/>
        </w:rPr>
        <w:t>C</w:t>
      </w:r>
      <w:r w:rsidRPr="00D077BF">
        <w:rPr>
          <w:rFonts w:ascii="Cambria" w:hAnsi="Cambria"/>
          <w:lang w:eastAsia="fr-FR"/>
        </w:rPr>
        <w:t>onseil des ministres ajoute la dose de rappel dans le schéma vaccinal complet dans les conditions indiquées ci-dessus.</w:t>
      </w:r>
      <w:r w:rsidR="00ED5751" w:rsidRPr="00D077BF">
        <w:rPr>
          <w:rFonts w:ascii="Cambria" w:hAnsi="Cambria"/>
          <w:lang w:eastAsia="fr-FR"/>
        </w:rPr>
        <w:t xml:space="preserve"> </w:t>
      </w:r>
      <w:r w:rsidRPr="00D077BF">
        <w:rPr>
          <w:rFonts w:ascii="Cambria" w:hAnsi="Cambria"/>
          <w:lang w:eastAsia="fr-FR"/>
        </w:rPr>
        <w:t xml:space="preserve">L’ensemble des informations sur les différents schémas de rappel et le </w:t>
      </w:r>
      <w:r w:rsidR="00ED5751" w:rsidRPr="00D077BF">
        <w:rPr>
          <w:rFonts w:ascii="Cambria" w:hAnsi="Cambria"/>
          <w:lang w:eastAsia="fr-FR"/>
        </w:rPr>
        <w:t>p</w:t>
      </w:r>
      <w:r w:rsidRPr="00D077BF">
        <w:rPr>
          <w:rFonts w:ascii="Cambria" w:hAnsi="Cambria"/>
          <w:lang w:eastAsia="fr-FR"/>
        </w:rPr>
        <w:t xml:space="preserve">ass sanitaire, sont disponibles sur le site de la Direction de la santé : </w:t>
      </w:r>
      <w:hyperlink r:id="rId11" w:history="1">
        <w:r w:rsidR="00ED5751" w:rsidRPr="00D077BF">
          <w:rPr>
            <w:rStyle w:val="Lienhypertexte"/>
            <w:rFonts w:ascii="Cambria" w:hAnsi="Cambria"/>
            <w:lang w:eastAsia="fr-FR"/>
          </w:rPr>
          <w:t>https://www.service-public.pf/dsp/covid-19/pass-sanitaire/</w:t>
        </w:r>
      </w:hyperlink>
    </w:p>
    <w:p w14:paraId="43EB015B" w14:textId="77777777" w:rsidR="00ED5751" w:rsidRPr="00D077BF" w:rsidRDefault="00603222" w:rsidP="00603222">
      <w:pPr>
        <w:spacing w:before="100" w:beforeAutospacing="1" w:after="100" w:afterAutospacing="1"/>
        <w:jc w:val="both"/>
        <w:rPr>
          <w:rFonts w:ascii="Cambria" w:hAnsi="Cambria"/>
          <w:lang w:eastAsia="fr-FR"/>
        </w:rPr>
      </w:pPr>
      <w:r w:rsidRPr="00D077BF">
        <w:rPr>
          <w:rFonts w:ascii="Cambria" w:hAnsi="Cambria"/>
          <w:lang w:eastAsia="fr-FR"/>
        </w:rPr>
        <w:t xml:space="preserve">Par ailleurs, dans le contexte d’un développement extrêmement rapide d’un nouveau variant du SARS-CoV-2, dénommé Omicron, le deuxième arrêté pris par le </w:t>
      </w:r>
      <w:r w:rsidR="00ED5751" w:rsidRPr="00D077BF">
        <w:rPr>
          <w:rFonts w:ascii="Cambria" w:hAnsi="Cambria"/>
          <w:lang w:eastAsia="fr-FR"/>
        </w:rPr>
        <w:t>C</w:t>
      </w:r>
      <w:r w:rsidRPr="00D077BF">
        <w:rPr>
          <w:rFonts w:ascii="Cambria" w:hAnsi="Cambria"/>
          <w:lang w:eastAsia="fr-FR"/>
        </w:rPr>
        <w:t xml:space="preserve">onseil des ministres vient en complément des mesures déjà existantes telles que le test négatif préalable à l’embarquement et les tests à l’arrivée sur le territoire. </w:t>
      </w:r>
    </w:p>
    <w:p w14:paraId="4A335732" w14:textId="33FCFDC0" w:rsidR="00887AD1" w:rsidRDefault="00603222" w:rsidP="00F40C35">
      <w:pPr>
        <w:spacing w:before="100" w:beforeAutospacing="1" w:after="100" w:afterAutospacing="1"/>
        <w:jc w:val="both"/>
        <w:rPr>
          <w:rFonts w:ascii="Cambria" w:hAnsi="Cambria"/>
          <w:lang w:eastAsia="fr-FR"/>
        </w:rPr>
      </w:pPr>
      <w:r w:rsidRPr="00D077BF">
        <w:rPr>
          <w:rFonts w:ascii="Cambria" w:hAnsi="Cambria"/>
          <w:lang w:eastAsia="fr-FR"/>
        </w:rPr>
        <w:t xml:space="preserve">Cet arrêté prévoit ainsi l’introduction d’un schéma vaccinal complet pour toute personne souhaitant se déplacer vers la Polynésie française afin de limiter le plus possible le risque d’introduction de nouveau variant. De plus, pour les voyageurs arrivants de zone particulièrement à risque en raison de la circulation du variant Omicron, l’arrêté fixe l’obligation de réalisation des tests de surveillance au 4ème et 8ème jours suivant l’arrivée uniquement sur l’île de Tahiti </w:t>
      </w:r>
      <w:bookmarkEnd w:id="23"/>
    </w:p>
    <w:p w14:paraId="0B9F7ACE" w14:textId="77777777" w:rsidR="00D00BE9" w:rsidRPr="00D077BF" w:rsidRDefault="00D00BE9" w:rsidP="00F40C35">
      <w:pPr>
        <w:spacing w:before="100" w:beforeAutospacing="1" w:after="100" w:afterAutospacing="1"/>
        <w:jc w:val="both"/>
        <w:rPr>
          <w:rFonts w:ascii="Cambria" w:hAnsi="Cambria"/>
          <w:lang w:eastAsia="fr-FR"/>
        </w:rPr>
      </w:pPr>
    </w:p>
    <w:p w14:paraId="28347824" w14:textId="04E435DD" w:rsidR="00E5302D" w:rsidRPr="00D077BF" w:rsidRDefault="00E5302D" w:rsidP="00E5302D">
      <w:pPr>
        <w:pStyle w:val="Titre1"/>
      </w:pPr>
      <w:bookmarkStart w:id="25" w:name="_Toc89873582"/>
      <w:r w:rsidRPr="00D077BF">
        <w:t>- MEA-</w:t>
      </w:r>
      <w:bookmarkEnd w:id="25"/>
    </w:p>
    <w:p w14:paraId="41F3220C" w14:textId="51F2C95F" w:rsidR="00E5302D" w:rsidRPr="00D077BF" w:rsidRDefault="00E5302D" w:rsidP="00E5302D">
      <w:pPr>
        <w:rPr>
          <w:rFonts w:ascii="Cambria" w:hAnsi="Cambria"/>
        </w:rPr>
      </w:pPr>
    </w:p>
    <w:p w14:paraId="6A24271D" w14:textId="77777777" w:rsidR="00CC4CA2" w:rsidRPr="00D077BF" w:rsidRDefault="00CC4CA2" w:rsidP="00E5302D">
      <w:pPr>
        <w:rPr>
          <w:rFonts w:ascii="Cambria" w:hAnsi="Cambria"/>
        </w:rPr>
      </w:pPr>
    </w:p>
    <w:p w14:paraId="56C81D9B" w14:textId="2F22D2B7" w:rsidR="00FA019E" w:rsidRPr="00D077BF" w:rsidRDefault="00FA019E" w:rsidP="00FA019E">
      <w:pPr>
        <w:pStyle w:val="Titre2"/>
        <w:rPr>
          <w:rFonts w:eastAsia="Times New Roman"/>
          <w:lang w:eastAsia="fr-FR"/>
        </w:rPr>
      </w:pPr>
      <w:bookmarkStart w:id="26" w:name="_Hlk89770824"/>
      <w:bookmarkStart w:id="27" w:name="_Toc89873583"/>
      <w:r w:rsidRPr="00D077BF">
        <w:rPr>
          <w:rFonts w:eastAsia="Times New Roman"/>
          <w:lang w:eastAsia="fr-FR"/>
        </w:rPr>
        <w:t>Subventions aux établissements scolaires</w:t>
      </w:r>
      <w:bookmarkEnd w:id="27"/>
    </w:p>
    <w:p w14:paraId="65FA7831" w14:textId="77777777" w:rsidR="00A54203" w:rsidRPr="00D077BF" w:rsidRDefault="00A54203" w:rsidP="00A54203">
      <w:pPr>
        <w:rPr>
          <w:rFonts w:ascii="Cambria" w:hAnsi="Cambria"/>
          <w:lang w:eastAsia="fr-FR"/>
        </w:rPr>
      </w:pPr>
    </w:p>
    <w:p w14:paraId="307E2D55" w14:textId="3F69A211" w:rsidR="00FA019E" w:rsidRPr="00D077BF" w:rsidRDefault="00A54203" w:rsidP="00A54203">
      <w:pPr>
        <w:jc w:val="both"/>
        <w:rPr>
          <w:rFonts w:ascii="Cambria" w:hAnsi="Cambria"/>
          <w:lang w:eastAsia="fr-FR"/>
        </w:rPr>
      </w:pPr>
      <w:r w:rsidRPr="00D077BF">
        <w:rPr>
          <w:rFonts w:ascii="Cambria" w:hAnsi="Cambria"/>
          <w:lang w:eastAsia="fr-FR"/>
        </w:rPr>
        <w:t>Sur proposition de la ministre de l’Éducation, le Conseil des ministres a adopté l’octroi de subventions pour un montant total de 29 180 920 Fcfp en faveur de 11 établissements publics d’enseignement de la Polynésie française. Il a ainsi été décidé d’octroyer les subventions comme suit :</w:t>
      </w:r>
    </w:p>
    <w:p w14:paraId="527B324D" w14:textId="77777777" w:rsidR="00E74BF7" w:rsidRPr="00D077BF" w:rsidRDefault="00E74BF7" w:rsidP="00A54203">
      <w:pPr>
        <w:jc w:val="both"/>
        <w:rPr>
          <w:rFonts w:ascii="Cambria" w:hAnsi="Cambria"/>
          <w:lang w:eastAsia="fr-FR"/>
        </w:rPr>
      </w:pPr>
    </w:p>
    <w:tbl>
      <w:tblPr>
        <w:tblStyle w:val="Grilledutableau"/>
        <w:tblW w:w="0" w:type="auto"/>
        <w:tblLook w:val="04A0" w:firstRow="1" w:lastRow="0" w:firstColumn="1" w:lastColumn="0" w:noHBand="0" w:noVBand="1"/>
      </w:tblPr>
      <w:tblGrid>
        <w:gridCol w:w="4531"/>
        <w:gridCol w:w="4531"/>
      </w:tblGrid>
      <w:tr w:rsidR="00E74BF7" w:rsidRPr="00D077BF" w14:paraId="4D9B11FF" w14:textId="77777777" w:rsidTr="00E74BF7">
        <w:tc>
          <w:tcPr>
            <w:tcW w:w="4531" w:type="dxa"/>
          </w:tcPr>
          <w:p w14:paraId="2295CB7C" w14:textId="17AC80F6" w:rsidR="00E74BF7" w:rsidRPr="00D077BF" w:rsidRDefault="00E74BF7" w:rsidP="00AA2C64">
            <w:pPr>
              <w:rPr>
                <w:rFonts w:ascii="Cambria" w:hAnsi="Cambria"/>
                <w:b/>
                <w:bCs/>
                <w:sz w:val="28"/>
                <w:szCs w:val="28"/>
                <w:lang w:eastAsia="fr-FR"/>
              </w:rPr>
            </w:pPr>
            <w:r w:rsidRPr="00D077BF">
              <w:rPr>
                <w:rFonts w:ascii="Cambria" w:hAnsi="Cambria"/>
                <w:b/>
                <w:bCs/>
                <w:sz w:val="28"/>
                <w:szCs w:val="28"/>
                <w:lang w:eastAsia="fr-FR"/>
              </w:rPr>
              <w:t>Etablissements scolaires</w:t>
            </w:r>
          </w:p>
        </w:tc>
        <w:tc>
          <w:tcPr>
            <w:tcW w:w="4531" w:type="dxa"/>
          </w:tcPr>
          <w:p w14:paraId="67AC0725" w14:textId="64DAE38B" w:rsidR="00E74BF7" w:rsidRPr="00D077BF" w:rsidRDefault="00E74BF7" w:rsidP="00E74BF7">
            <w:pPr>
              <w:jc w:val="center"/>
              <w:rPr>
                <w:rFonts w:ascii="Cambria" w:hAnsi="Cambria"/>
                <w:b/>
                <w:bCs/>
                <w:sz w:val="28"/>
                <w:szCs w:val="28"/>
                <w:lang w:eastAsia="fr-FR"/>
              </w:rPr>
            </w:pPr>
            <w:r w:rsidRPr="00D077BF">
              <w:rPr>
                <w:rFonts w:ascii="Cambria" w:hAnsi="Cambria"/>
                <w:b/>
                <w:bCs/>
                <w:sz w:val="28"/>
                <w:szCs w:val="28"/>
                <w:lang w:eastAsia="fr-FR"/>
              </w:rPr>
              <w:t>Subventions</w:t>
            </w:r>
          </w:p>
        </w:tc>
      </w:tr>
      <w:tr w:rsidR="00E74BF7" w:rsidRPr="00D077BF" w14:paraId="1D692841" w14:textId="77777777" w:rsidTr="00E74BF7">
        <w:tc>
          <w:tcPr>
            <w:tcW w:w="4531" w:type="dxa"/>
          </w:tcPr>
          <w:p w14:paraId="510E51A1" w14:textId="2562C459" w:rsidR="00E74BF7" w:rsidRPr="00D077BF" w:rsidRDefault="00E74BF7" w:rsidP="00AA2C64">
            <w:pPr>
              <w:rPr>
                <w:rFonts w:ascii="Cambria" w:hAnsi="Cambria"/>
                <w:lang w:eastAsia="fr-FR"/>
              </w:rPr>
            </w:pPr>
            <w:r w:rsidRPr="00D077BF">
              <w:rPr>
                <w:rFonts w:ascii="Cambria" w:hAnsi="Cambria"/>
                <w:lang w:eastAsia="fr-FR"/>
              </w:rPr>
              <w:t>LP de Mahina</w:t>
            </w:r>
          </w:p>
        </w:tc>
        <w:tc>
          <w:tcPr>
            <w:tcW w:w="4531" w:type="dxa"/>
          </w:tcPr>
          <w:p w14:paraId="2D5E8034" w14:textId="54952662" w:rsidR="00E74BF7" w:rsidRPr="00D077BF" w:rsidRDefault="00E74BF7" w:rsidP="00AA2C64">
            <w:pPr>
              <w:jc w:val="center"/>
              <w:rPr>
                <w:rFonts w:ascii="Cambria" w:hAnsi="Cambria"/>
                <w:lang w:eastAsia="fr-FR"/>
              </w:rPr>
            </w:pPr>
            <w:r w:rsidRPr="00D077BF">
              <w:rPr>
                <w:rFonts w:ascii="Cambria" w:hAnsi="Cambria"/>
                <w:lang w:eastAsia="fr-FR"/>
              </w:rPr>
              <w:t>4 935 615 Fcfp</w:t>
            </w:r>
          </w:p>
        </w:tc>
      </w:tr>
      <w:tr w:rsidR="00E74BF7" w:rsidRPr="00D077BF" w14:paraId="3310C4C9" w14:textId="77777777" w:rsidTr="00E74BF7">
        <w:tc>
          <w:tcPr>
            <w:tcW w:w="4531" w:type="dxa"/>
          </w:tcPr>
          <w:p w14:paraId="663A0586" w14:textId="18740FBE" w:rsidR="00E74BF7" w:rsidRPr="00D077BF" w:rsidRDefault="00E74BF7" w:rsidP="00AA2C64">
            <w:pPr>
              <w:rPr>
                <w:rFonts w:ascii="Cambria" w:hAnsi="Cambria"/>
                <w:lang w:eastAsia="fr-FR"/>
              </w:rPr>
            </w:pPr>
            <w:r w:rsidRPr="00D077BF">
              <w:rPr>
                <w:rFonts w:ascii="Cambria" w:hAnsi="Cambria"/>
                <w:lang w:eastAsia="fr-FR"/>
              </w:rPr>
              <w:t>Collège Punaauia</w:t>
            </w:r>
          </w:p>
        </w:tc>
        <w:tc>
          <w:tcPr>
            <w:tcW w:w="4531" w:type="dxa"/>
          </w:tcPr>
          <w:p w14:paraId="5AF2E38F" w14:textId="0B9561CC" w:rsidR="00E74BF7" w:rsidRPr="00D077BF" w:rsidRDefault="00E74BF7" w:rsidP="00AA2C64">
            <w:pPr>
              <w:jc w:val="center"/>
              <w:rPr>
                <w:rFonts w:ascii="Cambria" w:hAnsi="Cambria"/>
                <w:lang w:eastAsia="fr-FR"/>
              </w:rPr>
            </w:pPr>
            <w:r w:rsidRPr="00D077BF">
              <w:rPr>
                <w:rFonts w:ascii="Cambria" w:hAnsi="Cambria"/>
                <w:lang w:eastAsia="fr-FR"/>
              </w:rPr>
              <w:t>772 376 Fcfp</w:t>
            </w:r>
          </w:p>
        </w:tc>
      </w:tr>
      <w:tr w:rsidR="00E74BF7" w:rsidRPr="00D077BF" w14:paraId="17BBAE93" w14:textId="77777777" w:rsidTr="00E74BF7">
        <w:tc>
          <w:tcPr>
            <w:tcW w:w="4531" w:type="dxa"/>
          </w:tcPr>
          <w:p w14:paraId="446FB4EA" w14:textId="157808F8" w:rsidR="00E74BF7" w:rsidRPr="00D077BF" w:rsidRDefault="00E74BF7" w:rsidP="00AA2C64">
            <w:pPr>
              <w:rPr>
                <w:rFonts w:ascii="Cambria" w:hAnsi="Cambria"/>
                <w:lang w:eastAsia="fr-FR"/>
              </w:rPr>
            </w:pPr>
            <w:r w:rsidRPr="00D077BF">
              <w:rPr>
                <w:rFonts w:ascii="Cambria" w:hAnsi="Cambria"/>
                <w:lang w:eastAsia="fr-FR"/>
              </w:rPr>
              <w:t>Collège Punaauia Ulis</w:t>
            </w:r>
          </w:p>
        </w:tc>
        <w:tc>
          <w:tcPr>
            <w:tcW w:w="4531" w:type="dxa"/>
          </w:tcPr>
          <w:p w14:paraId="0C7C4DA7" w14:textId="22DADE30" w:rsidR="00E74BF7" w:rsidRPr="00D077BF" w:rsidRDefault="00AA2C64" w:rsidP="00AA2C64">
            <w:pPr>
              <w:jc w:val="center"/>
              <w:rPr>
                <w:rFonts w:ascii="Cambria" w:hAnsi="Cambria"/>
                <w:lang w:eastAsia="fr-FR"/>
              </w:rPr>
            </w:pPr>
            <w:r w:rsidRPr="00D077BF">
              <w:rPr>
                <w:rFonts w:ascii="Cambria" w:hAnsi="Cambria"/>
                <w:lang w:eastAsia="fr-FR"/>
              </w:rPr>
              <w:t>450 219 Fcfp</w:t>
            </w:r>
          </w:p>
        </w:tc>
      </w:tr>
      <w:tr w:rsidR="00E74BF7" w:rsidRPr="00D077BF" w14:paraId="2AE5D5C5" w14:textId="77777777" w:rsidTr="00E74BF7">
        <w:tc>
          <w:tcPr>
            <w:tcW w:w="4531" w:type="dxa"/>
          </w:tcPr>
          <w:p w14:paraId="255A12B6" w14:textId="58B87853" w:rsidR="00E74BF7" w:rsidRPr="00D077BF" w:rsidRDefault="00E74BF7" w:rsidP="00AA2C64">
            <w:pPr>
              <w:rPr>
                <w:rFonts w:ascii="Cambria" w:hAnsi="Cambria"/>
                <w:lang w:eastAsia="fr-FR"/>
              </w:rPr>
            </w:pPr>
            <w:r w:rsidRPr="00D077BF">
              <w:rPr>
                <w:rFonts w:ascii="Cambria" w:hAnsi="Cambria"/>
                <w:lang w:eastAsia="fr-FR"/>
              </w:rPr>
              <w:t>Lycée Paul Gauguin</w:t>
            </w:r>
          </w:p>
        </w:tc>
        <w:tc>
          <w:tcPr>
            <w:tcW w:w="4531" w:type="dxa"/>
          </w:tcPr>
          <w:p w14:paraId="0B8C92BB" w14:textId="08CC712D" w:rsidR="00E74BF7" w:rsidRPr="00D077BF" w:rsidRDefault="00AA2C64" w:rsidP="00AA2C64">
            <w:pPr>
              <w:jc w:val="center"/>
              <w:rPr>
                <w:rFonts w:ascii="Cambria" w:hAnsi="Cambria"/>
                <w:lang w:eastAsia="fr-FR"/>
              </w:rPr>
            </w:pPr>
            <w:r w:rsidRPr="00D077BF">
              <w:rPr>
                <w:rFonts w:ascii="Cambria" w:hAnsi="Cambria"/>
                <w:lang w:eastAsia="fr-FR"/>
              </w:rPr>
              <w:t>346 471 Fcfp</w:t>
            </w:r>
          </w:p>
        </w:tc>
      </w:tr>
      <w:tr w:rsidR="00E74BF7" w:rsidRPr="00D077BF" w14:paraId="50E7D654" w14:textId="77777777" w:rsidTr="00E74BF7">
        <w:tc>
          <w:tcPr>
            <w:tcW w:w="4531" w:type="dxa"/>
          </w:tcPr>
          <w:p w14:paraId="4E46A522" w14:textId="6787F1AA" w:rsidR="00E74BF7" w:rsidRPr="00D077BF" w:rsidRDefault="00E74BF7" w:rsidP="00AA2C64">
            <w:pPr>
              <w:rPr>
                <w:rFonts w:ascii="Cambria" w:hAnsi="Cambria"/>
                <w:lang w:eastAsia="fr-FR"/>
              </w:rPr>
            </w:pPr>
            <w:r w:rsidRPr="00D077BF">
              <w:rPr>
                <w:rFonts w:ascii="Cambria" w:hAnsi="Cambria"/>
                <w:lang w:eastAsia="fr-FR"/>
              </w:rPr>
              <w:t>Lycée Paul Gauguin</w:t>
            </w:r>
          </w:p>
        </w:tc>
        <w:tc>
          <w:tcPr>
            <w:tcW w:w="4531" w:type="dxa"/>
          </w:tcPr>
          <w:p w14:paraId="0739D688" w14:textId="1A787622" w:rsidR="00E74BF7" w:rsidRPr="00D077BF" w:rsidRDefault="00AA2C64" w:rsidP="00AA2C64">
            <w:pPr>
              <w:jc w:val="center"/>
              <w:rPr>
                <w:rFonts w:ascii="Cambria" w:hAnsi="Cambria"/>
                <w:lang w:eastAsia="fr-FR"/>
              </w:rPr>
            </w:pPr>
            <w:r w:rsidRPr="00D077BF">
              <w:rPr>
                <w:rFonts w:ascii="Cambria" w:hAnsi="Cambria"/>
                <w:lang w:eastAsia="fr-FR"/>
              </w:rPr>
              <w:t>821 434 Fcfp</w:t>
            </w:r>
          </w:p>
        </w:tc>
      </w:tr>
      <w:tr w:rsidR="00E74BF7" w:rsidRPr="00D077BF" w14:paraId="3F456810" w14:textId="77777777" w:rsidTr="00E74BF7">
        <w:tc>
          <w:tcPr>
            <w:tcW w:w="4531" w:type="dxa"/>
          </w:tcPr>
          <w:p w14:paraId="69553B64" w14:textId="6B7C6292" w:rsidR="00E74BF7" w:rsidRPr="00D077BF" w:rsidRDefault="00E74BF7" w:rsidP="00AA2C64">
            <w:pPr>
              <w:rPr>
                <w:rFonts w:ascii="Cambria" w:hAnsi="Cambria"/>
                <w:lang w:eastAsia="fr-FR"/>
              </w:rPr>
            </w:pPr>
            <w:r w:rsidRPr="00D077BF">
              <w:rPr>
                <w:rFonts w:ascii="Cambria" w:hAnsi="Cambria"/>
                <w:lang w:eastAsia="fr-FR"/>
              </w:rPr>
              <w:t>Lycée Paul Gauguin</w:t>
            </w:r>
          </w:p>
        </w:tc>
        <w:tc>
          <w:tcPr>
            <w:tcW w:w="4531" w:type="dxa"/>
          </w:tcPr>
          <w:p w14:paraId="05D45ECC" w14:textId="276A7D6B" w:rsidR="00E74BF7" w:rsidRPr="00D077BF" w:rsidRDefault="00AA2C64" w:rsidP="00AA2C64">
            <w:pPr>
              <w:tabs>
                <w:tab w:val="left" w:pos="705"/>
              </w:tabs>
              <w:jc w:val="center"/>
              <w:rPr>
                <w:rFonts w:ascii="Cambria" w:hAnsi="Cambria"/>
                <w:lang w:eastAsia="fr-FR"/>
              </w:rPr>
            </w:pPr>
            <w:r w:rsidRPr="00D077BF">
              <w:rPr>
                <w:rFonts w:ascii="Cambria" w:hAnsi="Cambria"/>
                <w:lang w:eastAsia="fr-FR"/>
              </w:rPr>
              <w:t>7 000 000 Fcfp</w:t>
            </w:r>
          </w:p>
        </w:tc>
      </w:tr>
      <w:tr w:rsidR="00E74BF7" w:rsidRPr="00D077BF" w14:paraId="2A22C3F5" w14:textId="77777777" w:rsidTr="00E74BF7">
        <w:tc>
          <w:tcPr>
            <w:tcW w:w="4531" w:type="dxa"/>
          </w:tcPr>
          <w:p w14:paraId="4DB64F0C" w14:textId="42A936E0" w:rsidR="00E74BF7" w:rsidRPr="00D077BF" w:rsidRDefault="00E74BF7" w:rsidP="00AA2C64">
            <w:pPr>
              <w:rPr>
                <w:rFonts w:ascii="Cambria" w:hAnsi="Cambria"/>
                <w:lang w:eastAsia="fr-FR"/>
              </w:rPr>
            </w:pPr>
            <w:r w:rsidRPr="00D077BF">
              <w:rPr>
                <w:rFonts w:ascii="Cambria" w:hAnsi="Cambria"/>
                <w:lang w:eastAsia="fr-FR"/>
              </w:rPr>
              <w:t>Lycée Paul Gauguin</w:t>
            </w:r>
          </w:p>
        </w:tc>
        <w:tc>
          <w:tcPr>
            <w:tcW w:w="4531" w:type="dxa"/>
          </w:tcPr>
          <w:p w14:paraId="66035D64" w14:textId="1AF25456" w:rsidR="00E74BF7" w:rsidRPr="00D077BF" w:rsidRDefault="00AA2C64" w:rsidP="00AA2C64">
            <w:pPr>
              <w:jc w:val="center"/>
              <w:rPr>
                <w:rFonts w:ascii="Cambria" w:hAnsi="Cambria"/>
                <w:lang w:eastAsia="fr-FR"/>
              </w:rPr>
            </w:pPr>
            <w:r w:rsidRPr="00D077BF">
              <w:rPr>
                <w:rFonts w:ascii="Cambria" w:hAnsi="Cambria"/>
                <w:lang w:eastAsia="fr-FR"/>
              </w:rPr>
              <w:t>4 080 000 Fcfp</w:t>
            </w:r>
          </w:p>
        </w:tc>
      </w:tr>
      <w:tr w:rsidR="00E74BF7" w:rsidRPr="00D077BF" w14:paraId="07715358" w14:textId="77777777" w:rsidTr="00E74BF7">
        <w:tc>
          <w:tcPr>
            <w:tcW w:w="4531" w:type="dxa"/>
          </w:tcPr>
          <w:p w14:paraId="691633D2" w14:textId="5C78CB7F" w:rsidR="00E74BF7" w:rsidRPr="00D077BF" w:rsidRDefault="00E74BF7" w:rsidP="00AA2C64">
            <w:pPr>
              <w:rPr>
                <w:rFonts w:ascii="Cambria" w:hAnsi="Cambria"/>
                <w:lang w:eastAsia="fr-FR"/>
              </w:rPr>
            </w:pPr>
            <w:r w:rsidRPr="00D077BF">
              <w:rPr>
                <w:rFonts w:ascii="Cambria" w:hAnsi="Cambria"/>
                <w:lang w:eastAsia="fr-FR"/>
              </w:rPr>
              <w:lastRenderedPageBreak/>
              <w:t>Collège Rangiroa</w:t>
            </w:r>
          </w:p>
        </w:tc>
        <w:tc>
          <w:tcPr>
            <w:tcW w:w="4531" w:type="dxa"/>
          </w:tcPr>
          <w:p w14:paraId="13CF014B" w14:textId="38ED08F9" w:rsidR="00E74BF7" w:rsidRPr="00D077BF" w:rsidRDefault="00AA2C64" w:rsidP="00AA2C64">
            <w:pPr>
              <w:jc w:val="center"/>
              <w:rPr>
                <w:rFonts w:ascii="Cambria" w:hAnsi="Cambria"/>
                <w:lang w:eastAsia="fr-FR"/>
              </w:rPr>
            </w:pPr>
            <w:r w:rsidRPr="00D077BF">
              <w:rPr>
                <w:rFonts w:ascii="Cambria" w:hAnsi="Cambria"/>
                <w:lang w:eastAsia="fr-FR"/>
              </w:rPr>
              <w:t>661 050 Fcfp</w:t>
            </w:r>
          </w:p>
        </w:tc>
      </w:tr>
      <w:tr w:rsidR="00E74BF7" w:rsidRPr="00D077BF" w14:paraId="1A913214" w14:textId="77777777" w:rsidTr="00E74BF7">
        <w:tc>
          <w:tcPr>
            <w:tcW w:w="4531" w:type="dxa"/>
          </w:tcPr>
          <w:p w14:paraId="7ACD4BD6" w14:textId="39E35A38" w:rsidR="00E74BF7" w:rsidRPr="00D077BF" w:rsidRDefault="00E74BF7" w:rsidP="00AA2C64">
            <w:pPr>
              <w:rPr>
                <w:rFonts w:ascii="Cambria" w:hAnsi="Cambria"/>
                <w:lang w:eastAsia="fr-FR"/>
              </w:rPr>
            </w:pPr>
            <w:r w:rsidRPr="00D077BF">
              <w:rPr>
                <w:rFonts w:ascii="Cambria" w:hAnsi="Cambria"/>
                <w:lang w:eastAsia="fr-FR"/>
              </w:rPr>
              <w:t>Collège Makemo</w:t>
            </w:r>
          </w:p>
        </w:tc>
        <w:tc>
          <w:tcPr>
            <w:tcW w:w="4531" w:type="dxa"/>
          </w:tcPr>
          <w:p w14:paraId="30E349C1" w14:textId="78BAA7EA" w:rsidR="00E74BF7" w:rsidRPr="00D077BF" w:rsidRDefault="00AA2C64" w:rsidP="00AA2C64">
            <w:pPr>
              <w:jc w:val="center"/>
              <w:rPr>
                <w:rFonts w:ascii="Cambria" w:hAnsi="Cambria"/>
                <w:lang w:eastAsia="fr-FR"/>
              </w:rPr>
            </w:pPr>
            <w:r w:rsidRPr="00D077BF">
              <w:rPr>
                <w:rFonts w:ascii="Cambria" w:hAnsi="Cambria"/>
                <w:lang w:eastAsia="fr-FR"/>
              </w:rPr>
              <w:t>1 212 100 Fcfp</w:t>
            </w:r>
          </w:p>
        </w:tc>
      </w:tr>
      <w:tr w:rsidR="00E74BF7" w:rsidRPr="00D077BF" w14:paraId="32F2C76C" w14:textId="77777777" w:rsidTr="00E74BF7">
        <w:tc>
          <w:tcPr>
            <w:tcW w:w="4531" w:type="dxa"/>
          </w:tcPr>
          <w:p w14:paraId="21971A2E" w14:textId="496CEAFB" w:rsidR="00E74BF7" w:rsidRPr="00D077BF" w:rsidRDefault="00E74BF7" w:rsidP="00AA2C64">
            <w:pPr>
              <w:rPr>
                <w:rFonts w:ascii="Cambria" w:hAnsi="Cambria"/>
                <w:lang w:eastAsia="fr-FR"/>
              </w:rPr>
            </w:pPr>
            <w:r w:rsidRPr="00D077BF">
              <w:rPr>
                <w:rFonts w:ascii="Cambria" w:hAnsi="Cambria"/>
                <w:lang w:eastAsia="fr-FR"/>
              </w:rPr>
              <w:t>Collège Hao</w:t>
            </w:r>
          </w:p>
        </w:tc>
        <w:tc>
          <w:tcPr>
            <w:tcW w:w="4531" w:type="dxa"/>
          </w:tcPr>
          <w:p w14:paraId="3CD42DEE" w14:textId="004F77B8" w:rsidR="00E74BF7" w:rsidRPr="00D077BF" w:rsidRDefault="00AA2C64" w:rsidP="00AA2C64">
            <w:pPr>
              <w:jc w:val="center"/>
              <w:rPr>
                <w:rFonts w:ascii="Cambria" w:hAnsi="Cambria"/>
                <w:lang w:eastAsia="fr-FR"/>
              </w:rPr>
            </w:pPr>
            <w:r w:rsidRPr="00D077BF">
              <w:rPr>
                <w:rFonts w:ascii="Cambria" w:hAnsi="Cambria"/>
                <w:lang w:eastAsia="fr-FR"/>
              </w:rPr>
              <w:t>1 128 400 Fcfp</w:t>
            </w:r>
          </w:p>
        </w:tc>
      </w:tr>
      <w:tr w:rsidR="00E74BF7" w:rsidRPr="00D077BF" w14:paraId="513B3AE5" w14:textId="77777777" w:rsidTr="00E74BF7">
        <w:tc>
          <w:tcPr>
            <w:tcW w:w="4531" w:type="dxa"/>
          </w:tcPr>
          <w:p w14:paraId="26D94A69" w14:textId="1C22CCFB" w:rsidR="00E74BF7" w:rsidRPr="00D077BF" w:rsidRDefault="00E74BF7" w:rsidP="00AA2C64">
            <w:pPr>
              <w:rPr>
                <w:rFonts w:ascii="Cambria" w:hAnsi="Cambria"/>
                <w:lang w:eastAsia="fr-FR"/>
              </w:rPr>
            </w:pPr>
            <w:r w:rsidRPr="00D077BF">
              <w:rPr>
                <w:rFonts w:ascii="Cambria" w:hAnsi="Cambria"/>
                <w:lang w:eastAsia="fr-FR"/>
              </w:rPr>
              <w:t xml:space="preserve">Collège </w:t>
            </w:r>
            <w:proofErr w:type="spellStart"/>
            <w:r w:rsidRPr="00D077BF">
              <w:rPr>
                <w:rFonts w:ascii="Cambria" w:hAnsi="Cambria"/>
                <w:lang w:eastAsia="fr-FR"/>
              </w:rPr>
              <w:t>Maco</w:t>
            </w:r>
            <w:proofErr w:type="spellEnd"/>
            <w:r w:rsidRPr="00D077BF">
              <w:rPr>
                <w:rFonts w:ascii="Cambria" w:hAnsi="Cambria"/>
                <w:lang w:eastAsia="fr-FR"/>
              </w:rPr>
              <w:t xml:space="preserve"> </w:t>
            </w:r>
            <w:proofErr w:type="spellStart"/>
            <w:r w:rsidRPr="00D077BF">
              <w:rPr>
                <w:rFonts w:ascii="Cambria" w:hAnsi="Cambria"/>
                <w:lang w:eastAsia="fr-FR"/>
              </w:rPr>
              <w:t>Tevane</w:t>
            </w:r>
            <w:proofErr w:type="spellEnd"/>
          </w:p>
        </w:tc>
        <w:tc>
          <w:tcPr>
            <w:tcW w:w="4531" w:type="dxa"/>
          </w:tcPr>
          <w:p w14:paraId="79085F41" w14:textId="6E6C3DB5" w:rsidR="00E74BF7" w:rsidRPr="00D077BF" w:rsidRDefault="00AA2C64" w:rsidP="00AA2C64">
            <w:pPr>
              <w:jc w:val="center"/>
              <w:rPr>
                <w:rFonts w:ascii="Cambria" w:hAnsi="Cambria"/>
                <w:lang w:eastAsia="fr-FR"/>
              </w:rPr>
            </w:pPr>
            <w:r w:rsidRPr="00D077BF">
              <w:rPr>
                <w:rFonts w:ascii="Cambria" w:hAnsi="Cambria"/>
                <w:lang w:eastAsia="fr-FR"/>
              </w:rPr>
              <w:t>7 773 255 Fcfp</w:t>
            </w:r>
          </w:p>
        </w:tc>
      </w:tr>
      <w:tr w:rsidR="00AA2C64" w:rsidRPr="00D077BF" w14:paraId="54A72B9C" w14:textId="77777777" w:rsidTr="00E74BF7">
        <w:tc>
          <w:tcPr>
            <w:tcW w:w="4531" w:type="dxa"/>
          </w:tcPr>
          <w:p w14:paraId="3640B904" w14:textId="63E495EC" w:rsidR="00AA2C64" w:rsidRPr="00D077BF" w:rsidRDefault="00AA2C64" w:rsidP="00AA2C64">
            <w:pPr>
              <w:jc w:val="center"/>
              <w:rPr>
                <w:rFonts w:ascii="Cambria" w:hAnsi="Cambria"/>
                <w:b/>
                <w:bCs/>
                <w:sz w:val="28"/>
                <w:szCs w:val="28"/>
                <w:lang w:eastAsia="fr-FR"/>
              </w:rPr>
            </w:pPr>
            <w:r w:rsidRPr="00D077BF">
              <w:rPr>
                <w:rFonts w:ascii="Cambria" w:hAnsi="Cambria"/>
                <w:b/>
                <w:bCs/>
                <w:sz w:val="28"/>
                <w:szCs w:val="28"/>
                <w:lang w:eastAsia="fr-FR"/>
              </w:rPr>
              <w:t>TOTAL</w:t>
            </w:r>
          </w:p>
        </w:tc>
        <w:tc>
          <w:tcPr>
            <w:tcW w:w="4531" w:type="dxa"/>
          </w:tcPr>
          <w:p w14:paraId="6C069C4D" w14:textId="6F066885" w:rsidR="00AA2C64" w:rsidRPr="00D077BF" w:rsidRDefault="00AA2C64" w:rsidP="00AA2C64">
            <w:pPr>
              <w:jc w:val="center"/>
              <w:rPr>
                <w:rFonts w:ascii="Cambria" w:hAnsi="Cambria"/>
                <w:b/>
                <w:bCs/>
                <w:sz w:val="28"/>
                <w:szCs w:val="28"/>
                <w:lang w:eastAsia="fr-FR"/>
              </w:rPr>
            </w:pPr>
            <w:r w:rsidRPr="00D077BF">
              <w:rPr>
                <w:rFonts w:ascii="Cambria" w:hAnsi="Cambria"/>
                <w:b/>
                <w:bCs/>
                <w:sz w:val="28"/>
                <w:szCs w:val="28"/>
                <w:lang w:eastAsia="fr-FR"/>
              </w:rPr>
              <w:t>29 180 920 Fcfp</w:t>
            </w:r>
          </w:p>
        </w:tc>
      </w:tr>
      <w:bookmarkEnd w:id="26"/>
    </w:tbl>
    <w:p w14:paraId="2F1CA4EC" w14:textId="78EFB34B" w:rsidR="00A54203" w:rsidRPr="00D077BF" w:rsidRDefault="00A54203" w:rsidP="00A54203">
      <w:pPr>
        <w:jc w:val="both"/>
        <w:rPr>
          <w:rFonts w:ascii="Cambria" w:hAnsi="Cambria"/>
          <w:lang w:eastAsia="fr-FR"/>
        </w:rPr>
      </w:pPr>
    </w:p>
    <w:p w14:paraId="1EBE41FA" w14:textId="77777777" w:rsidR="00A54203" w:rsidRPr="00D077BF" w:rsidRDefault="00A54203" w:rsidP="00A54203">
      <w:pPr>
        <w:jc w:val="both"/>
        <w:rPr>
          <w:rFonts w:ascii="Cambria" w:hAnsi="Cambria"/>
          <w:lang w:eastAsia="fr-FR"/>
        </w:rPr>
      </w:pPr>
    </w:p>
    <w:p w14:paraId="17D28153" w14:textId="35089CF2" w:rsidR="00FA019E" w:rsidRPr="00D077BF" w:rsidRDefault="00FA019E" w:rsidP="00FA019E">
      <w:pPr>
        <w:pStyle w:val="Titre2"/>
        <w:rPr>
          <w:rFonts w:eastAsia="Times New Roman"/>
          <w:lang w:eastAsia="fr-FR"/>
        </w:rPr>
      </w:pPr>
      <w:bookmarkStart w:id="28" w:name="_Toc89873584"/>
      <w:r w:rsidRPr="00D077BF">
        <w:rPr>
          <w:rFonts w:eastAsia="Times New Roman"/>
          <w:lang w:eastAsia="fr-FR"/>
        </w:rPr>
        <w:t>Subvention au CFPA de Taravao</w:t>
      </w:r>
      <w:bookmarkEnd w:id="28"/>
    </w:p>
    <w:p w14:paraId="2679B2AD" w14:textId="77777777" w:rsidR="003106A8" w:rsidRPr="00D077BF" w:rsidRDefault="003106A8" w:rsidP="003106A8">
      <w:pPr>
        <w:rPr>
          <w:rFonts w:ascii="Cambria" w:hAnsi="Cambria"/>
          <w:lang w:eastAsia="fr-FR"/>
        </w:rPr>
      </w:pPr>
    </w:p>
    <w:p w14:paraId="495092CC" w14:textId="77777777" w:rsidR="003106A8" w:rsidRPr="00D077BF" w:rsidRDefault="003106A8" w:rsidP="003106A8">
      <w:pPr>
        <w:jc w:val="both"/>
        <w:rPr>
          <w:rFonts w:ascii="Cambria" w:hAnsi="Cambria"/>
          <w:lang w:eastAsia="fr-FR"/>
        </w:rPr>
      </w:pPr>
      <w:r w:rsidRPr="00D077BF">
        <w:rPr>
          <w:rFonts w:ascii="Cambria" w:hAnsi="Cambria"/>
          <w:lang w:eastAsia="fr-FR"/>
        </w:rPr>
        <w:t>Dans le cadre du projet de maintenance des infrastructures du Centre de formation professionnelle pour adulte (CFPA), il convient de procéder à la reconstruction des toitures de l’unité de formation de Taravao, et plus particulièrement les toitures de la cuisine pédagogique et de la direction qui sont dans un état alarmant et dangereux. En effet, les infiltrations régulières ont fragilisé les plafonds qui menacent de s’effondrer.</w:t>
      </w:r>
    </w:p>
    <w:p w14:paraId="331C6C0F" w14:textId="77777777" w:rsidR="003106A8" w:rsidRPr="00D077BF" w:rsidRDefault="003106A8" w:rsidP="003106A8">
      <w:pPr>
        <w:jc w:val="both"/>
        <w:rPr>
          <w:rFonts w:ascii="Cambria" w:hAnsi="Cambria"/>
          <w:lang w:eastAsia="fr-FR"/>
        </w:rPr>
      </w:pPr>
    </w:p>
    <w:p w14:paraId="5D3FF619" w14:textId="5A6B0114" w:rsidR="003106A8" w:rsidRPr="00D077BF" w:rsidRDefault="003106A8" w:rsidP="003106A8">
      <w:pPr>
        <w:jc w:val="both"/>
        <w:rPr>
          <w:rFonts w:ascii="Cambria" w:hAnsi="Cambria"/>
          <w:lang w:eastAsia="fr-FR"/>
        </w:rPr>
      </w:pPr>
      <w:r w:rsidRPr="00D077BF">
        <w:rPr>
          <w:rFonts w:ascii="Cambria" w:hAnsi="Cambria"/>
          <w:lang w:eastAsia="fr-FR"/>
        </w:rPr>
        <w:t>Le Pays a apporté son soutien financier en octroyant une subvention à hauteur de 15 325 659 Fcfp au CFPA. Le budget prévisionnel des travaux est estimé à 16 797 459 Fcfp soit une participation du Pays de 91,2 %.</w:t>
      </w:r>
    </w:p>
    <w:p w14:paraId="56154DEE" w14:textId="77777777" w:rsidR="005857BB" w:rsidRPr="00D077BF" w:rsidRDefault="005857BB" w:rsidP="003106A8">
      <w:pPr>
        <w:jc w:val="both"/>
        <w:rPr>
          <w:rFonts w:ascii="Cambria" w:hAnsi="Cambria"/>
          <w:lang w:eastAsia="fr-FR"/>
        </w:rPr>
      </w:pPr>
    </w:p>
    <w:p w14:paraId="3CB4B337" w14:textId="7B4C13E0" w:rsidR="00FA019E" w:rsidRPr="00D077BF" w:rsidRDefault="00FA019E" w:rsidP="00FA019E">
      <w:pPr>
        <w:rPr>
          <w:rFonts w:ascii="Cambria" w:hAnsi="Cambria"/>
          <w:lang w:eastAsia="fr-FR"/>
        </w:rPr>
      </w:pPr>
    </w:p>
    <w:p w14:paraId="0BDF65B9" w14:textId="565C83A1" w:rsidR="00FA019E" w:rsidRPr="00D077BF" w:rsidRDefault="00FA019E" w:rsidP="00FA019E">
      <w:pPr>
        <w:pStyle w:val="Titre2"/>
        <w:rPr>
          <w:rFonts w:eastAsia="Times New Roman"/>
          <w:lang w:eastAsia="fr-FR"/>
        </w:rPr>
      </w:pPr>
      <w:bookmarkStart w:id="29" w:name="_Hlk89788532"/>
      <w:bookmarkStart w:id="30" w:name="_Toc89873585"/>
      <w:r w:rsidRPr="00D077BF">
        <w:rPr>
          <w:rFonts w:eastAsia="Times New Roman"/>
          <w:lang w:eastAsia="fr-FR"/>
        </w:rPr>
        <w:t xml:space="preserve">Subvention </w:t>
      </w:r>
      <w:r w:rsidR="009B4328" w:rsidRPr="00D077BF">
        <w:rPr>
          <w:rFonts w:eastAsia="Times New Roman"/>
          <w:lang w:eastAsia="fr-FR"/>
        </w:rPr>
        <w:t>au Festival du film documentaire océanien (</w:t>
      </w:r>
      <w:r w:rsidRPr="00D077BF">
        <w:rPr>
          <w:rFonts w:eastAsia="Times New Roman"/>
          <w:lang w:eastAsia="fr-FR"/>
        </w:rPr>
        <w:t>AFIFO</w:t>
      </w:r>
      <w:r w:rsidR="009B4328" w:rsidRPr="00D077BF">
        <w:rPr>
          <w:rFonts w:eastAsia="Times New Roman"/>
          <w:lang w:eastAsia="fr-FR"/>
        </w:rPr>
        <w:t>)</w:t>
      </w:r>
      <w:bookmarkEnd w:id="30"/>
    </w:p>
    <w:p w14:paraId="1FF40183" w14:textId="77777777" w:rsidR="001D3A8C" w:rsidRPr="00D077BF" w:rsidRDefault="001D3A8C" w:rsidP="001D3A8C">
      <w:pPr>
        <w:rPr>
          <w:rFonts w:ascii="Cambria" w:hAnsi="Cambria"/>
          <w:lang w:eastAsia="fr-FR"/>
        </w:rPr>
      </w:pPr>
    </w:p>
    <w:p w14:paraId="4675A293" w14:textId="77777777" w:rsidR="001D3A8C" w:rsidRPr="00D077BF" w:rsidRDefault="001D3A8C" w:rsidP="001D3A8C">
      <w:pPr>
        <w:jc w:val="both"/>
        <w:rPr>
          <w:rFonts w:ascii="Cambria" w:hAnsi="Cambria"/>
          <w:lang w:eastAsia="fr-FR"/>
        </w:rPr>
      </w:pPr>
      <w:r w:rsidRPr="00D077BF">
        <w:rPr>
          <w:rFonts w:ascii="Cambria" w:hAnsi="Cambria"/>
          <w:bCs/>
          <w:lang w:eastAsia="fr-FR"/>
        </w:rPr>
        <w:t xml:space="preserve">Le 8 octobre dernier, </w:t>
      </w:r>
      <w:proofErr w:type="spellStart"/>
      <w:r w:rsidRPr="00D077BF">
        <w:rPr>
          <w:rFonts w:ascii="Cambria" w:hAnsi="Cambria"/>
          <w:bCs/>
          <w:lang w:eastAsia="fr-FR"/>
        </w:rPr>
        <w:t>Miriama</w:t>
      </w:r>
      <w:proofErr w:type="spellEnd"/>
      <w:r w:rsidRPr="00D077BF">
        <w:rPr>
          <w:rFonts w:ascii="Cambria" w:hAnsi="Cambria"/>
          <w:bCs/>
          <w:lang w:eastAsia="fr-FR"/>
        </w:rPr>
        <w:t xml:space="preserve"> Bono, Présidente de l’</w:t>
      </w:r>
      <w:r w:rsidRPr="00D077BF">
        <w:rPr>
          <w:rFonts w:ascii="Cambria" w:hAnsi="Cambria"/>
          <w:lang w:eastAsia="fr-FR"/>
        </w:rPr>
        <w:t xml:space="preserve">Association du Festival International du Film Documentaire Océanien (AFIFO), a sollicité une subvention de fonctionnement d’un montant de 10 millions Fcfp </w:t>
      </w:r>
      <w:r w:rsidRPr="00D077BF">
        <w:rPr>
          <w:rFonts w:ascii="Cambria" w:hAnsi="Cambria"/>
          <w:bCs/>
          <w:lang w:eastAsia="fr-FR"/>
        </w:rPr>
        <w:t xml:space="preserve">afin d’organiser la </w:t>
      </w:r>
      <w:r w:rsidRPr="00D077BF">
        <w:rPr>
          <w:rFonts w:ascii="Cambria" w:hAnsi="Cambria"/>
          <w:lang w:eastAsia="fr-FR"/>
        </w:rPr>
        <w:t>19</w:t>
      </w:r>
      <w:r w:rsidRPr="00D077BF">
        <w:rPr>
          <w:rFonts w:ascii="Cambria" w:hAnsi="Cambria"/>
          <w:vertAlign w:val="superscript"/>
          <w:lang w:eastAsia="fr-FR"/>
        </w:rPr>
        <w:t>ème</w:t>
      </w:r>
      <w:r w:rsidRPr="00D077BF">
        <w:rPr>
          <w:rFonts w:ascii="Cambria" w:hAnsi="Cambria"/>
          <w:lang w:eastAsia="fr-FR"/>
        </w:rPr>
        <w:t xml:space="preserve"> édition du Festival du film documentaire océanien (FIFO), qui se déroulera du 5 au 13 février 2022.</w:t>
      </w:r>
    </w:p>
    <w:p w14:paraId="2BEA7909" w14:textId="77777777" w:rsidR="001D3A8C" w:rsidRPr="00D077BF" w:rsidRDefault="001D3A8C" w:rsidP="001D3A8C">
      <w:pPr>
        <w:jc w:val="both"/>
        <w:rPr>
          <w:rFonts w:ascii="Cambria" w:hAnsi="Cambria"/>
          <w:lang w:eastAsia="fr-FR"/>
        </w:rPr>
      </w:pPr>
    </w:p>
    <w:p w14:paraId="020E6BD2" w14:textId="5D321440" w:rsidR="001D3A8C" w:rsidRPr="00D077BF" w:rsidRDefault="001D3A8C" w:rsidP="001D3A8C">
      <w:pPr>
        <w:jc w:val="both"/>
        <w:rPr>
          <w:rFonts w:ascii="Cambria" w:hAnsi="Cambria"/>
          <w:lang w:eastAsia="fr-FR"/>
        </w:rPr>
      </w:pPr>
      <w:r w:rsidRPr="00D077BF">
        <w:rPr>
          <w:rFonts w:ascii="Cambria" w:hAnsi="Cambria"/>
          <w:lang w:eastAsia="fr-FR"/>
        </w:rPr>
        <w:t xml:space="preserve">Le FIFO a pour objectif de promouvoir la culture océanienne, de stimuler l'industrie audiovisuelle de la région, notamment en Polynésie française, et d’encourager la création artistique dans ce domaine. L'ensemble des actions mises en œuvre depuis sa création en 2004, vise à créer une dynamique régionale en permettant aux Océaniens de se rencontrer et de partager autour de l'univers de l'audiovisuel. </w:t>
      </w:r>
    </w:p>
    <w:p w14:paraId="5BD319D5" w14:textId="77777777" w:rsidR="001D3A8C" w:rsidRPr="00D077BF" w:rsidRDefault="001D3A8C" w:rsidP="001D3A8C">
      <w:pPr>
        <w:jc w:val="both"/>
        <w:rPr>
          <w:rFonts w:ascii="Cambria" w:hAnsi="Cambria"/>
          <w:lang w:eastAsia="fr-FR"/>
        </w:rPr>
      </w:pPr>
    </w:p>
    <w:p w14:paraId="7E4B0631" w14:textId="653FCE1D" w:rsidR="001D3A8C" w:rsidRPr="00D077BF" w:rsidRDefault="001D3A8C" w:rsidP="001D3A8C">
      <w:pPr>
        <w:jc w:val="both"/>
        <w:rPr>
          <w:rFonts w:ascii="Cambria" w:hAnsi="Cambria"/>
          <w:lang w:eastAsia="fr-FR"/>
        </w:rPr>
      </w:pPr>
      <w:r w:rsidRPr="00D077BF">
        <w:rPr>
          <w:rFonts w:ascii="Cambria" w:hAnsi="Cambria"/>
          <w:lang w:eastAsia="fr-FR"/>
        </w:rPr>
        <w:t>Au rayonnement culturel du documentaire océanien s’ajoute des enjeux économiques. Le FIFO joue un rôle primordial dans le développement du marché de l’audiovisuel océanien. Il est l’un des principaux événements du Pacifique Sud à rassembler autant de professionnels : réalisateurs, producteurs, techniciens, directeurs de chaines et représentants de festivals étrangers. Le Festival multiplie ainsi les opportunités autour de rencontres, d’ateliers et de débats autour de l’audiovisuel qui permettent à la créativité de germer et aux projets de se concrétiser.</w:t>
      </w:r>
    </w:p>
    <w:p w14:paraId="6178294A" w14:textId="77777777" w:rsidR="0046036C" w:rsidRPr="00D077BF" w:rsidRDefault="0046036C" w:rsidP="001D3A8C">
      <w:pPr>
        <w:jc w:val="both"/>
        <w:rPr>
          <w:rFonts w:ascii="Cambria" w:hAnsi="Cambria"/>
          <w:lang w:eastAsia="fr-FR"/>
        </w:rPr>
      </w:pPr>
    </w:p>
    <w:p w14:paraId="1F397AC5" w14:textId="57795076" w:rsidR="001D3A8C" w:rsidRPr="00D077BF" w:rsidRDefault="001D3A8C" w:rsidP="001D3A8C">
      <w:pPr>
        <w:jc w:val="both"/>
        <w:rPr>
          <w:rFonts w:ascii="Cambria" w:hAnsi="Cambria"/>
          <w:lang w:eastAsia="fr-FR"/>
        </w:rPr>
      </w:pPr>
      <w:r w:rsidRPr="00D077BF">
        <w:rPr>
          <w:rFonts w:ascii="Cambria" w:hAnsi="Cambria"/>
          <w:lang w:eastAsia="fr-FR"/>
        </w:rPr>
        <w:t>Face au succès du FIFO 2021 100% numérique et l’impossibilité de voyager dans le Pacifique pour le moment, les organisateurs ont choisi d’organiser une version « hybride</w:t>
      </w:r>
      <w:r w:rsidR="0046036C" w:rsidRPr="00D077BF">
        <w:rPr>
          <w:rFonts w:ascii="Cambria" w:hAnsi="Cambria"/>
          <w:lang w:eastAsia="fr-FR"/>
        </w:rPr>
        <w:t xml:space="preserve"> </w:t>
      </w:r>
      <w:r w:rsidRPr="00D077BF">
        <w:rPr>
          <w:rFonts w:ascii="Cambria" w:hAnsi="Cambria"/>
          <w:lang w:eastAsia="fr-FR"/>
        </w:rPr>
        <w:t>» du FIFO en 2022 avec un accueil du public et des festivaliers en présentiel ainsi qu’un programme de rencontres en ligne diffusées en direct ou pré-enregistrées et mise en ligne pour le festival.</w:t>
      </w:r>
    </w:p>
    <w:p w14:paraId="7B27906F" w14:textId="77777777" w:rsidR="001D3A8C" w:rsidRPr="00D077BF" w:rsidRDefault="001D3A8C" w:rsidP="001D3A8C">
      <w:pPr>
        <w:jc w:val="both"/>
        <w:rPr>
          <w:rFonts w:ascii="Cambria" w:hAnsi="Cambria"/>
          <w:lang w:eastAsia="fr-FR"/>
        </w:rPr>
      </w:pPr>
      <w:r w:rsidRPr="00D077BF">
        <w:rPr>
          <w:rFonts w:ascii="Cambria" w:hAnsi="Cambria"/>
          <w:lang w:eastAsia="fr-FR"/>
        </w:rPr>
        <w:t xml:space="preserve">L’essentiel du programme de rencontres, débats et conférences sera proposé gratuitement en présentiel à la Maison de la Culture de Papeete ainsi qu’en visioconférence et accessible par tous, de partout. Les films de la sélection seront diffusés </w:t>
      </w:r>
      <w:r w:rsidRPr="00D077BF">
        <w:rPr>
          <w:rFonts w:ascii="Cambria" w:hAnsi="Cambria"/>
          <w:lang w:eastAsia="fr-FR"/>
        </w:rPr>
        <w:lastRenderedPageBreak/>
        <w:t>durant la semaine de festival dans les salles de la Maison de la Culture et seront aussi disponibles sur Internet sur la plateforme de vidéos.</w:t>
      </w:r>
    </w:p>
    <w:p w14:paraId="6CFB5B33" w14:textId="77777777" w:rsidR="0046036C" w:rsidRPr="00D077BF" w:rsidRDefault="0046036C" w:rsidP="001D3A8C">
      <w:pPr>
        <w:jc w:val="both"/>
        <w:rPr>
          <w:rFonts w:ascii="Cambria" w:hAnsi="Cambria"/>
          <w:lang w:eastAsia="fr-FR"/>
        </w:rPr>
      </w:pPr>
    </w:p>
    <w:p w14:paraId="72AE050B" w14:textId="63E3FCA8" w:rsidR="0046036C" w:rsidRPr="00D077BF" w:rsidRDefault="001D3A8C" w:rsidP="001D3A8C">
      <w:pPr>
        <w:jc w:val="both"/>
        <w:rPr>
          <w:rFonts w:ascii="Cambria" w:hAnsi="Cambria"/>
          <w:lang w:eastAsia="fr-FR"/>
        </w:rPr>
      </w:pPr>
      <w:r w:rsidRPr="00D077BF">
        <w:rPr>
          <w:rFonts w:ascii="Cambria" w:hAnsi="Cambria"/>
          <w:lang w:eastAsia="fr-FR"/>
        </w:rPr>
        <w:t xml:space="preserve">Le budget global du FIFO 2022 est estimé à 40 500 000 </w:t>
      </w:r>
      <w:r w:rsidR="0046036C" w:rsidRPr="00D077BF">
        <w:rPr>
          <w:rFonts w:ascii="Cambria" w:hAnsi="Cambria"/>
          <w:lang w:eastAsia="fr-FR"/>
        </w:rPr>
        <w:t>Fcfp</w:t>
      </w:r>
      <w:r w:rsidRPr="00D077BF">
        <w:rPr>
          <w:rFonts w:ascii="Cambria" w:hAnsi="Cambria"/>
          <w:lang w:eastAsia="fr-FR"/>
        </w:rPr>
        <w:t xml:space="preserve">, hors avantages en nature qui se chiffrent à 20 608 391 </w:t>
      </w:r>
      <w:r w:rsidR="0046036C" w:rsidRPr="00D077BF">
        <w:rPr>
          <w:rFonts w:ascii="Cambria" w:hAnsi="Cambria"/>
          <w:lang w:eastAsia="fr-FR"/>
        </w:rPr>
        <w:t>Fcfp</w:t>
      </w:r>
      <w:r w:rsidRPr="00D077BF">
        <w:rPr>
          <w:rFonts w:ascii="Cambria" w:hAnsi="Cambria"/>
          <w:lang w:eastAsia="fr-FR"/>
        </w:rPr>
        <w:t xml:space="preserve">. </w:t>
      </w:r>
      <w:r w:rsidR="0046036C" w:rsidRPr="00D077BF">
        <w:rPr>
          <w:rFonts w:ascii="Cambria" w:hAnsi="Cambria"/>
          <w:lang w:eastAsia="fr-FR"/>
        </w:rPr>
        <w:t xml:space="preserve"> </w:t>
      </w:r>
    </w:p>
    <w:p w14:paraId="3C60AA40" w14:textId="77777777" w:rsidR="007222AE" w:rsidRPr="00D077BF" w:rsidRDefault="007222AE" w:rsidP="001D3A8C">
      <w:pPr>
        <w:jc w:val="both"/>
        <w:rPr>
          <w:rFonts w:ascii="Cambria" w:hAnsi="Cambria"/>
          <w:lang w:eastAsia="fr-FR"/>
        </w:rPr>
      </w:pPr>
    </w:p>
    <w:p w14:paraId="076D01B7" w14:textId="7BE77D67" w:rsidR="00FA019E" w:rsidRPr="00D077BF" w:rsidRDefault="00FA019E" w:rsidP="00FA019E">
      <w:pPr>
        <w:rPr>
          <w:rFonts w:ascii="Cambria" w:hAnsi="Cambria"/>
          <w:lang w:eastAsia="fr-FR"/>
        </w:rPr>
      </w:pPr>
    </w:p>
    <w:p w14:paraId="1F480595" w14:textId="056347F4" w:rsidR="00FA019E" w:rsidRPr="00D077BF" w:rsidRDefault="00FA019E" w:rsidP="00FA019E">
      <w:pPr>
        <w:pStyle w:val="Titre2"/>
        <w:rPr>
          <w:rFonts w:eastAsia="Times New Roman"/>
          <w:lang w:eastAsia="fr-FR"/>
        </w:rPr>
      </w:pPr>
      <w:bookmarkStart w:id="31" w:name="_Toc89873586"/>
      <w:r w:rsidRPr="00D077BF">
        <w:rPr>
          <w:rFonts w:eastAsia="Times New Roman"/>
          <w:lang w:eastAsia="fr-FR"/>
        </w:rPr>
        <w:t xml:space="preserve">Subvention </w:t>
      </w:r>
      <w:r w:rsidR="009B4328" w:rsidRPr="00D077BF">
        <w:rPr>
          <w:rFonts w:eastAsia="Times New Roman"/>
          <w:lang w:eastAsia="fr-FR"/>
        </w:rPr>
        <w:t xml:space="preserve">au </w:t>
      </w:r>
      <w:r w:rsidRPr="00D077BF">
        <w:rPr>
          <w:rFonts w:eastAsia="Times New Roman"/>
          <w:lang w:eastAsia="fr-FR"/>
        </w:rPr>
        <w:t xml:space="preserve">CNAM </w:t>
      </w:r>
      <w:r w:rsidR="009B4328" w:rsidRPr="00D077BF">
        <w:rPr>
          <w:rFonts w:eastAsia="Times New Roman"/>
          <w:lang w:eastAsia="fr-FR"/>
        </w:rPr>
        <w:t xml:space="preserve">pour le projet </w:t>
      </w:r>
      <w:r w:rsidRPr="00D077BF">
        <w:rPr>
          <w:rFonts w:eastAsia="Times New Roman"/>
          <w:lang w:eastAsia="fr-FR"/>
        </w:rPr>
        <w:t>« ISL</w:t>
      </w:r>
      <w:r w:rsidR="005857BB" w:rsidRPr="00D077BF">
        <w:rPr>
          <w:rFonts w:eastAsia="Times New Roman"/>
          <w:lang w:eastAsia="fr-FR"/>
        </w:rPr>
        <w:t>V</w:t>
      </w:r>
      <w:r w:rsidRPr="00D077BF">
        <w:rPr>
          <w:rFonts w:eastAsia="Times New Roman"/>
          <w:lang w:eastAsia="fr-FR"/>
        </w:rPr>
        <w:t xml:space="preserve"> Code camp »</w:t>
      </w:r>
      <w:bookmarkEnd w:id="31"/>
    </w:p>
    <w:p w14:paraId="56377AAC" w14:textId="17F5EF11" w:rsidR="00071734" w:rsidRPr="00D077BF" w:rsidRDefault="00071734" w:rsidP="00071734">
      <w:pPr>
        <w:spacing w:before="100" w:beforeAutospacing="1" w:after="100" w:afterAutospacing="1"/>
        <w:jc w:val="both"/>
        <w:rPr>
          <w:rFonts w:ascii="Cambria" w:hAnsi="Cambria"/>
          <w:lang w:eastAsia="fr-FR"/>
        </w:rPr>
      </w:pPr>
      <w:r w:rsidRPr="00D077BF">
        <w:rPr>
          <w:rFonts w:ascii="Cambria" w:hAnsi="Cambria"/>
          <w:lang w:eastAsia="fr-FR"/>
        </w:rPr>
        <w:t>Dans le cadre de la convention pluriannuelle d’objectifs entre la Polynésie française et le Conservatoire national des arts et métiers 2019-2021 (CNAM) du 5 novembre 2018, il est convenu que le CNAM accompagne le Pays dans la mise en œuvre de sa stratégie en matière de formation tout au long de la vie.</w:t>
      </w:r>
    </w:p>
    <w:p w14:paraId="494DEBB1" w14:textId="037BFACB" w:rsidR="005A2EA6" w:rsidRPr="00D077BF" w:rsidRDefault="005A2EA6" w:rsidP="005A2EA6">
      <w:pPr>
        <w:spacing w:before="100" w:beforeAutospacing="1" w:after="100" w:afterAutospacing="1"/>
        <w:jc w:val="both"/>
        <w:rPr>
          <w:rFonts w:ascii="Cambria" w:hAnsi="Cambria"/>
          <w:lang w:eastAsia="fr-FR"/>
        </w:rPr>
      </w:pPr>
      <w:r w:rsidRPr="00D077BF">
        <w:rPr>
          <w:rFonts w:ascii="Cambria" w:hAnsi="Cambria"/>
          <w:lang w:eastAsia="fr-FR"/>
        </w:rPr>
        <w:t>La mise en œuvre de l’action « développer des programmes de formation aux métiers du numérique » du plan Smart Polynesia, le besoin de codeurs pour assurer le développement des applications numériques et notamment les conclusions positives des précédentes sessions, dont le taux moyen de réussite est de 93% et dont 78% des campeurs sont à ce jour intégrés dans le tissu économique (placement en entreprises, création de startups) ou ont repris des études supérieures (programmeur informatique BAC+2), sont autant d’éléments qui concourent à poursuivre l’action de formation proposée par le CNAM.</w:t>
      </w:r>
    </w:p>
    <w:p w14:paraId="631AB0C6" w14:textId="77777777" w:rsidR="005A2EA6" w:rsidRPr="00D077BF" w:rsidRDefault="00071734" w:rsidP="00071734">
      <w:pPr>
        <w:spacing w:before="100" w:beforeAutospacing="1" w:after="100" w:afterAutospacing="1"/>
        <w:jc w:val="both"/>
        <w:rPr>
          <w:rFonts w:ascii="Cambria" w:hAnsi="Cambria"/>
          <w:lang w:eastAsia="fr-FR"/>
        </w:rPr>
      </w:pPr>
      <w:r w:rsidRPr="00D077BF">
        <w:rPr>
          <w:rFonts w:ascii="Cambria" w:hAnsi="Cambria"/>
          <w:lang w:eastAsia="fr-FR"/>
        </w:rPr>
        <w:t xml:space="preserve">Ainsi, est-il proposé d’apporter un soutien financier à la formation intitulée « ISLV Code Camp » intervenant dans le secteur du Web et du codage informatique. D’une durée de 10 semaines, cette formation est dédiée à une quinzaine de jeunes polynésiens de moins de 30 ans, en situation sociale précaire (décrochage scolaire, recherche d’emploi).  Enfin, il y a lieu de préciser que la formation en question est désormais labellisée Grande Ecole du Numérique. </w:t>
      </w:r>
    </w:p>
    <w:p w14:paraId="188CB4AC" w14:textId="68FBF76F" w:rsidR="005A2EA6" w:rsidRPr="00D077BF" w:rsidRDefault="00071734" w:rsidP="00071734">
      <w:pPr>
        <w:spacing w:before="100" w:beforeAutospacing="1" w:after="100" w:afterAutospacing="1"/>
        <w:jc w:val="both"/>
        <w:rPr>
          <w:rFonts w:ascii="Cambria" w:hAnsi="Cambria"/>
          <w:lang w:eastAsia="fr-FR"/>
        </w:rPr>
      </w:pPr>
      <w:r w:rsidRPr="00D077BF">
        <w:rPr>
          <w:rFonts w:ascii="Cambria" w:hAnsi="Cambria"/>
          <w:lang w:eastAsia="fr-FR"/>
        </w:rPr>
        <w:t>Ce projet, porté conjointement par nos ministères, vise à </w:t>
      </w:r>
      <w:r w:rsidR="005A2EA6" w:rsidRPr="00D077BF">
        <w:rPr>
          <w:rFonts w:ascii="Cambria" w:hAnsi="Cambria"/>
          <w:lang w:eastAsia="fr-FR"/>
        </w:rPr>
        <w:t>c</w:t>
      </w:r>
      <w:r w:rsidRPr="00D077BF">
        <w:rPr>
          <w:rFonts w:ascii="Cambria" w:hAnsi="Cambria"/>
          <w:lang w:eastAsia="fr-FR"/>
        </w:rPr>
        <w:t xml:space="preserve">onstituer un vivier de compétences pour les métiers du numérique, plus précisément dans le domaine du codage informatique </w:t>
      </w:r>
      <w:r w:rsidR="005A2EA6" w:rsidRPr="00D077BF">
        <w:rPr>
          <w:rFonts w:ascii="Cambria" w:hAnsi="Cambria"/>
          <w:lang w:eastAsia="fr-FR"/>
        </w:rPr>
        <w:t xml:space="preserve">et </w:t>
      </w:r>
      <w:r w:rsidRPr="00D077BF">
        <w:rPr>
          <w:rFonts w:ascii="Cambria" w:hAnsi="Cambria"/>
          <w:lang w:eastAsia="fr-FR"/>
        </w:rPr>
        <w:t xml:space="preserve">à offrir une formation adaptée, innovante et spécialisée dans la programmation informatique en accord avec les plus hauts standards internationaux. </w:t>
      </w:r>
    </w:p>
    <w:p w14:paraId="24BF82C8" w14:textId="0BD5E7FE" w:rsidR="00CC4CA2" w:rsidRPr="00D077BF" w:rsidRDefault="00071734" w:rsidP="00F40C35">
      <w:pPr>
        <w:spacing w:before="100" w:beforeAutospacing="1" w:after="100" w:afterAutospacing="1"/>
        <w:jc w:val="both"/>
        <w:rPr>
          <w:rFonts w:ascii="Cambria" w:hAnsi="Cambria"/>
          <w:lang w:eastAsia="fr-FR"/>
        </w:rPr>
      </w:pPr>
      <w:r w:rsidRPr="00D077BF">
        <w:rPr>
          <w:rFonts w:ascii="Cambria" w:hAnsi="Cambria"/>
          <w:lang w:eastAsia="fr-FR"/>
        </w:rPr>
        <w:t>Le budget prévisionnel de l’action est estimé à 7 millions de Fc</w:t>
      </w:r>
      <w:r w:rsidR="005A2EA6" w:rsidRPr="00D077BF">
        <w:rPr>
          <w:rFonts w:ascii="Cambria" w:hAnsi="Cambria"/>
          <w:lang w:eastAsia="fr-FR"/>
        </w:rPr>
        <w:t>fp</w:t>
      </w:r>
      <w:r w:rsidRPr="00D077BF">
        <w:rPr>
          <w:rFonts w:ascii="Cambria" w:hAnsi="Cambria"/>
          <w:lang w:eastAsia="fr-FR"/>
        </w:rPr>
        <w:t>, soit une participation du Pays de 71 %.</w:t>
      </w:r>
      <w:r w:rsidR="005A2EA6" w:rsidRPr="00D077BF">
        <w:rPr>
          <w:rFonts w:ascii="Cambria" w:hAnsi="Cambria"/>
          <w:lang w:eastAsia="fr-FR"/>
        </w:rPr>
        <w:t xml:space="preserve"> </w:t>
      </w:r>
      <w:r w:rsidRPr="00D077BF">
        <w:rPr>
          <w:rFonts w:ascii="Cambria" w:hAnsi="Cambria"/>
          <w:lang w:eastAsia="fr-FR"/>
        </w:rPr>
        <w:t xml:space="preserve">Le </w:t>
      </w:r>
      <w:r w:rsidR="005A2EA6" w:rsidRPr="00D077BF">
        <w:rPr>
          <w:rFonts w:ascii="Cambria" w:hAnsi="Cambria"/>
          <w:lang w:eastAsia="fr-FR"/>
        </w:rPr>
        <w:t>m</w:t>
      </w:r>
      <w:r w:rsidRPr="00D077BF">
        <w:rPr>
          <w:rFonts w:ascii="Cambria" w:hAnsi="Cambria"/>
          <w:lang w:eastAsia="fr-FR"/>
        </w:rPr>
        <w:t>inistère de l’</w:t>
      </w:r>
      <w:r w:rsidR="005A2EA6" w:rsidRPr="00D077BF">
        <w:rPr>
          <w:rFonts w:ascii="Cambria" w:hAnsi="Cambria"/>
          <w:lang w:eastAsia="fr-FR"/>
        </w:rPr>
        <w:t>E</w:t>
      </w:r>
      <w:r w:rsidRPr="00D077BF">
        <w:rPr>
          <w:rFonts w:ascii="Cambria" w:hAnsi="Cambria"/>
          <w:lang w:eastAsia="fr-FR"/>
        </w:rPr>
        <w:t>ducation, du travail, de la modernisation de l’</w:t>
      </w:r>
      <w:r w:rsidR="005A2EA6" w:rsidRPr="00D077BF">
        <w:rPr>
          <w:rFonts w:ascii="Cambria" w:hAnsi="Cambria"/>
          <w:lang w:eastAsia="fr-FR"/>
        </w:rPr>
        <w:t>a</w:t>
      </w:r>
      <w:r w:rsidRPr="00D077BF">
        <w:rPr>
          <w:rFonts w:ascii="Cambria" w:hAnsi="Cambria"/>
          <w:lang w:eastAsia="fr-FR"/>
        </w:rPr>
        <w:t>dministration, en charge du numérique</w:t>
      </w:r>
      <w:r w:rsidR="005A2EA6" w:rsidRPr="00D077BF">
        <w:rPr>
          <w:rFonts w:ascii="Cambria" w:hAnsi="Cambria"/>
          <w:lang w:eastAsia="fr-FR"/>
        </w:rPr>
        <w:t xml:space="preserve"> (MEA) </w:t>
      </w:r>
      <w:r w:rsidRPr="00D077BF">
        <w:rPr>
          <w:rFonts w:ascii="Cambria" w:hAnsi="Cambria"/>
          <w:lang w:eastAsia="fr-FR"/>
        </w:rPr>
        <w:t>participe à la présente opération à hauteur de</w:t>
      </w:r>
      <w:r w:rsidR="005A2EA6" w:rsidRPr="00D077BF">
        <w:rPr>
          <w:rFonts w:ascii="Cambria" w:hAnsi="Cambria"/>
          <w:lang w:eastAsia="fr-FR"/>
        </w:rPr>
        <w:t xml:space="preserve"> </w:t>
      </w:r>
      <w:r w:rsidRPr="00D077BF">
        <w:rPr>
          <w:rFonts w:ascii="Cambria" w:hAnsi="Cambria"/>
          <w:lang w:eastAsia="fr-FR"/>
        </w:rPr>
        <w:t>4 000 000 F</w:t>
      </w:r>
      <w:r w:rsidR="005A2EA6" w:rsidRPr="00D077BF">
        <w:rPr>
          <w:rFonts w:ascii="Cambria" w:hAnsi="Cambria"/>
          <w:lang w:eastAsia="fr-FR"/>
        </w:rPr>
        <w:t xml:space="preserve">cfp et </w:t>
      </w:r>
      <w:r w:rsidRPr="00D077BF">
        <w:rPr>
          <w:rFonts w:ascii="Cambria" w:hAnsi="Cambria"/>
          <w:lang w:eastAsia="fr-FR"/>
        </w:rPr>
        <w:t xml:space="preserve">le </w:t>
      </w:r>
      <w:r w:rsidR="005A2EA6" w:rsidRPr="00D077BF">
        <w:rPr>
          <w:rFonts w:ascii="Cambria" w:hAnsi="Cambria"/>
          <w:lang w:eastAsia="fr-FR"/>
        </w:rPr>
        <w:t>m</w:t>
      </w:r>
      <w:r w:rsidRPr="00D077BF">
        <w:rPr>
          <w:rFonts w:ascii="Cambria" w:hAnsi="Cambria"/>
          <w:lang w:eastAsia="fr-FR"/>
        </w:rPr>
        <w:t xml:space="preserve">inistère de la </w:t>
      </w:r>
      <w:r w:rsidR="005A2EA6" w:rsidRPr="00D077BF">
        <w:rPr>
          <w:rFonts w:ascii="Cambria" w:hAnsi="Cambria"/>
          <w:lang w:eastAsia="fr-FR"/>
        </w:rPr>
        <w:t>F</w:t>
      </w:r>
      <w:r w:rsidRPr="00D077BF">
        <w:rPr>
          <w:rFonts w:ascii="Cambria" w:hAnsi="Cambria"/>
          <w:lang w:eastAsia="fr-FR"/>
        </w:rPr>
        <w:t>amille, des affaires sociales, de la condition féminine, en charge de la lutte contre l’exclusion (M</w:t>
      </w:r>
      <w:r w:rsidR="005A2EA6" w:rsidRPr="00D077BF">
        <w:rPr>
          <w:rFonts w:ascii="Cambria" w:hAnsi="Cambria"/>
          <w:lang w:eastAsia="fr-FR"/>
        </w:rPr>
        <w:t xml:space="preserve">FA) </w:t>
      </w:r>
      <w:r w:rsidRPr="00D077BF">
        <w:rPr>
          <w:rFonts w:ascii="Cambria" w:hAnsi="Cambria"/>
          <w:lang w:eastAsia="fr-FR"/>
        </w:rPr>
        <w:t>participe à la présente opération à hauteur de 1 000 000 F</w:t>
      </w:r>
      <w:r w:rsidR="005A2EA6" w:rsidRPr="00D077BF">
        <w:rPr>
          <w:rFonts w:ascii="Cambria" w:hAnsi="Cambria"/>
          <w:lang w:eastAsia="fr-FR"/>
        </w:rPr>
        <w:t>cfp</w:t>
      </w:r>
      <w:r w:rsidRPr="00D077BF">
        <w:rPr>
          <w:rFonts w:ascii="Cambria" w:hAnsi="Cambria"/>
          <w:lang w:eastAsia="fr-FR"/>
        </w:rPr>
        <w:t>. Le M</w:t>
      </w:r>
      <w:r w:rsidR="005A2EA6" w:rsidRPr="00D077BF">
        <w:rPr>
          <w:rFonts w:ascii="Cambria" w:hAnsi="Cambria"/>
          <w:lang w:eastAsia="fr-FR"/>
        </w:rPr>
        <w:t>EA</w:t>
      </w:r>
      <w:r w:rsidRPr="00D077BF">
        <w:rPr>
          <w:rFonts w:ascii="Cambria" w:hAnsi="Cambria"/>
          <w:lang w:eastAsia="fr-FR"/>
        </w:rPr>
        <w:t xml:space="preserve"> se chargera du versement de la subvention et de la vérification des pièces afférentes.</w:t>
      </w:r>
      <w:bookmarkEnd w:id="29"/>
    </w:p>
    <w:p w14:paraId="2831A203" w14:textId="521CCCCB" w:rsidR="00CC4CA2" w:rsidRDefault="00CC4CA2" w:rsidP="00F40C35">
      <w:pPr>
        <w:spacing w:before="100" w:beforeAutospacing="1" w:after="100" w:afterAutospacing="1"/>
        <w:jc w:val="both"/>
        <w:rPr>
          <w:rFonts w:ascii="Cambria" w:hAnsi="Cambria"/>
          <w:lang w:eastAsia="fr-FR"/>
        </w:rPr>
      </w:pPr>
    </w:p>
    <w:p w14:paraId="35E955F9" w14:textId="2F66C41A" w:rsidR="00F35081" w:rsidRDefault="00F35081" w:rsidP="00F40C35">
      <w:pPr>
        <w:spacing w:before="100" w:beforeAutospacing="1" w:after="100" w:afterAutospacing="1"/>
        <w:jc w:val="both"/>
        <w:rPr>
          <w:rFonts w:ascii="Cambria" w:hAnsi="Cambria"/>
          <w:lang w:eastAsia="fr-FR"/>
        </w:rPr>
      </w:pPr>
    </w:p>
    <w:p w14:paraId="147DEE0B" w14:textId="77777777" w:rsidR="00F35081" w:rsidRPr="00D077BF" w:rsidRDefault="00F35081" w:rsidP="00F40C35">
      <w:pPr>
        <w:spacing w:before="100" w:beforeAutospacing="1" w:after="100" w:afterAutospacing="1"/>
        <w:jc w:val="both"/>
        <w:rPr>
          <w:rFonts w:ascii="Cambria" w:hAnsi="Cambria"/>
          <w:lang w:eastAsia="fr-FR"/>
        </w:rPr>
      </w:pPr>
    </w:p>
    <w:p w14:paraId="5D8BBCF9" w14:textId="1C3C57C1" w:rsidR="00EC305D" w:rsidRPr="00D077BF" w:rsidRDefault="00EC305D" w:rsidP="00EC305D">
      <w:pPr>
        <w:pStyle w:val="Titre1"/>
      </w:pPr>
      <w:bookmarkStart w:id="32" w:name="_Toc89873587"/>
      <w:r w:rsidRPr="00D077BF">
        <w:lastRenderedPageBreak/>
        <w:t>- MFA-</w:t>
      </w:r>
      <w:bookmarkEnd w:id="32"/>
    </w:p>
    <w:p w14:paraId="51FF49B9" w14:textId="673B4431" w:rsidR="00EC305D" w:rsidRPr="00D077BF" w:rsidRDefault="00EC305D" w:rsidP="00EC305D">
      <w:pPr>
        <w:rPr>
          <w:rFonts w:ascii="Cambria" w:hAnsi="Cambria"/>
        </w:rPr>
      </w:pPr>
    </w:p>
    <w:p w14:paraId="67B3EE1B" w14:textId="77777777" w:rsidR="00CC4CA2" w:rsidRPr="00D077BF" w:rsidRDefault="00CC4CA2" w:rsidP="00EC305D">
      <w:pPr>
        <w:rPr>
          <w:rFonts w:ascii="Cambria" w:hAnsi="Cambria"/>
        </w:rPr>
      </w:pPr>
    </w:p>
    <w:p w14:paraId="0EE25750" w14:textId="6B458B65" w:rsidR="00EC305D" w:rsidRPr="00D077BF" w:rsidRDefault="009B4328" w:rsidP="00EC305D">
      <w:pPr>
        <w:pStyle w:val="Titre2"/>
        <w:rPr>
          <w:rFonts w:eastAsia="Times New Roman"/>
          <w:lang w:eastAsia="fr-FR"/>
        </w:rPr>
      </w:pPr>
      <w:bookmarkStart w:id="33" w:name="_Toc89873588"/>
      <w:r w:rsidRPr="00D077BF">
        <w:rPr>
          <w:rFonts w:eastAsia="Times New Roman"/>
          <w:lang w:eastAsia="fr-FR"/>
        </w:rPr>
        <w:t>Organisation de la c</w:t>
      </w:r>
      <w:r w:rsidR="00124E3A" w:rsidRPr="00D077BF">
        <w:rPr>
          <w:rFonts w:eastAsia="Times New Roman"/>
          <w:lang w:eastAsia="fr-FR"/>
        </w:rPr>
        <w:t xml:space="preserve">ourse solidaire </w:t>
      </w:r>
      <w:proofErr w:type="spellStart"/>
      <w:r w:rsidR="00124E3A" w:rsidRPr="00D077BF">
        <w:rPr>
          <w:rFonts w:eastAsia="Times New Roman"/>
          <w:lang w:eastAsia="fr-FR"/>
        </w:rPr>
        <w:t>Hine</w:t>
      </w:r>
      <w:proofErr w:type="spellEnd"/>
      <w:r w:rsidR="00124E3A" w:rsidRPr="00D077BF">
        <w:rPr>
          <w:rFonts w:eastAsia="Times New Roman"/>
          <w:lang w:eastAsia="fr-FR"/>
        </w:rPr>
        <w:t xml:space="preserve"> </w:t>
      </w:r>
      <w:proofErr w:type="spellStart"/>
      <w:r w:rsidR="00124E3A" w:rsidRPr="00D077BF">
        <w:rPr>
          <w:rFonts w:eastAsia="Times New Roman"/>
          <w:lang w:eastAsia="fr-FR"/>
        </w:rPr>
        <w:t>Hia’ai</w:t>
      </w:r>
      <w:proofErr w:type="spellEnd"/>
      <w:r w:rsidR="00124E3A" w:rsidRPr="00D077BF">
        <w:rPr>
          <w:rFonts w:eastAsia="Times New Roman"/>
          <w:lang w:eastAsia="fr-FR"/>
        </w:rPr>
        <w:t xml:space="preserve"> Run</w:t>
      </w:r>
      <w:bookmarkEnd w:id="33"/>
      <w:r w:rsidR="00124E3A" w:rsidRPr="00D077BF">
        <w:rPr>
          <w:rFonts w:eastAsia="Times New Roman"/>
          <w:lang w:eastAsia="fr-FR"/>
        </w:rPr>
        <w:t xml:space="preserve"> </w:t>
      </w:r>
    </w:p>
    <w:p w14:paraId="26C0EA14" w14:textId="1511659E" w:rsidR="00124E3A" w:rsidRPr="00D077BF" w:rsidRDefault="00124E3A" w:rsidP="00A75BE7">
      <w:pPr>
        <w:spacing w:before="100" w:beforeAutospacing="1" w:after="100" w:afterAutospacing="1"/>
        <w:jc w:val="both"/>
        <w:rPr>
          <w:rFonts w:ascii="Cambria" w:hAnsi="Cambria"/>
          <w:lang w:eastAsia="fr-FR"/>
        </w:rPr>
      </w:pPr>
      <w:r w:rsidRPr="00D077BF">
        <w:rPr>
          <w:rFonts w:ascii="Cambria" w:hAnsi="Cambria"/>
          <w:lang w:eastAsia="fr-FR"/>
        </w:rPr>
        <w:t xml:space="preserve">Dans le cadre de la Journée internationale pour l’élimination de la violence à l’égard des femmes qui se tient chaque année le 25 novembre, le ministère de la Famille, des affaires sociales, de la condition féminine, en charge de la lutte contre l’exclusion, et la Direction des solidarités, de la famille et de l’égalité (DSFE) organisent la course solidaire </w:t>
      </w:r>
      <w:proofErr w:type="spellStart"/>
      <w:r w:rsidRPr="00D077BF">
        <w:rPr>
          <w:rFonts w:ascii="Cambria" w:hAnsi="Cambria"/>
          <w:lang w:eastAsia="fr-FR"/>
        </w:rPr>
        <w:t>Hine</w:t>
      </w:r>
      <w:proofErr w:type="spellEnd"/>
      <w:r w:rsidRPr="00D077BF">
        <w:rPr>
          <w:rFonts w:ascii="Cambria" w:hAnsi="Cambria"/>
          <w:lang w:eastAsia="fr-FR"/>
        </w:rPr>
        <w:t xml:space="preserve"> </w:t>
      </w:r>
      <w:proofErr w:type="spellStart"/>
      <w:r w:rsidRPr="00D077BF">
        <w:rPr>
          <w:rFonts w:ascii="Cambria" w:hAnsi="Cambria"/>
          <w:lang w:eastAsia="fr-FR"/>
        </w:rPr>
        <w:t>Hia’ai</w:t>
      </w:r>
      <w:proofErr w:type="spellEnd"/>
      <w:r w:rsidRPr="00D077BF">
        <w:rPr>
          <w:rFonts w:ascii="Cambria" w:hAnsi="Cambria"/>
          <w:lang w:eastAsia="fr-FR"/>
        </w:rPr>
        <w:t xml:space="preserve"> Run. </w:t>
      </w:r>
    </w:p>
    <w:p w14:paraId="51E0BF3B" w14:textId="4B7B9399" w:rsidR="00124E3A" w:rsidRPr="00D077BF" w:rsidRDefault="00124E3A" w:rsidP="00A75BE7">
      <w:pPr>
        <w:spacing w:before="100" w:beforeAutospacing="1" w:after="100" w:afterAutospacing="1"/>
        <w:jc w:val="both"/>
        <w:rPr>
          <w:rFonts w:ascii="Cambria" w:hAnsi="Cambria"/>
          <w:lang w:eastAsia="fr-FR"/>
        </w:rPr>
      </w:pPr>
      <w:r w:rsidRPr="00D077BF">
        <w:rPr>
          <w:rFonts w:ascii="Cambria" w:hAnsi="Cambria"/>
          <w:lang w:eastAsia="fr-FR"/>
        </w:rPr>
        <w:t xml:space="preserve">Cette course solidaire, en soutien aux femmes victimes de violences, aura lieu le 11 décembre 2021 au Parc Paofai à Papeete. Pour cette première édition, deux formats de course en relais sont proposés : le relais des familles et le relais des copines. </w:t>
      </w:r>
    </w:p>
    <w:p w14:paraId="62F6A4BF" w14:textId="427C0CFE" w:rsidR="00124E3A" w:rsidRPr="00D077BF" w:rsidRDefault="00124E3A" w:rsidP="00A75BE7">
      <w:pPr>
        <w:spacing w:before="100" w:beforeAutospacing="1" w:after="100" w:afterAutospacing="1"/>
        <w:jc w:val="both"/>
        <w:rPr>
          <w:rFonts w:ascii="Cambria" w:hAnsi="Cambria"/>
          <w:lang w:eastAsia="fr-FR"/>
        </w:rPr>
      </w:pPr>
      <w:r w:rsidRPr="00D077BF">
        <w:rPr>
          <w:rFonts w:ascii="Cambria" w:hAnsi="Cambria"/>
          <w:lang w:eastAsia="fr-FR"/>
        </w:rPr>
        <w:t xml:space="preserve">Le </w:t>
      </w:r>
      <w:r w:rsidR="00F145AE" w:rsidRPr="00D077BF">
        <w:rPr>
          <w:rFonts w:ascii="Cambria" w:hAnsi="Cambria"/>
          <w:lang w:eastAsia="fr-FR"/>
        </w:rPr>
        <w:t>r</w:t>
      </w:r>
      <w:r w:rsidRPr="00D077BF">
        <w:rPr>
          <w:rFonts w:ascii="Cambria" w:hAnsi="Cambria"/>
          <w:lang w:eastAsia="fr-FR"/>
        </w:rPr>
        <w:t>elais des familles, d’une distance de 5 kilomètres propose à un enfant (de plus de 7 ans) et un membre de sa famille, un parcours comportant différents ateliers pédagogiques pour partager les valeurs de solidarité, de soutien, de dépassement de soi et d'apprentissage. Le parcours adulte sera d’environ 4 km et le parcours enfant d’environ 1 km.</w:t>
      </w:r>
      <w:r w:rsidR="00F145AE" w:rsidRPr="00D077BF">
        <w:rPr>
          <w:rFonts w:ascii="Cambria" w:hAnsi="Cambria"/>
          <w:lang w:eastAsia="fr-FR"/>
        </w:rPr>
        <w:t xml:space="preserve"> </w:t>
      </w:r>
      <w:r w:rsidRPr="00D077BF">
        <w:rPr>
          <w:rFonts w:ascii="Cambria" w:hAnsi="Cambria"/>
          <w:lang w:eastAsia="fr-FR"/>
        </w:rPr>
        <w:t xml:space="preserve">Le </w:t>
      </w:r>
      <w:r w:rsidR="00F145AE" w:rsidRPr="00D077BF">
        <w:rPr>
          <w:rFonts w:ascii="Cambria" w:hAnsi="Cambria"/>
          <w:lang w:eastAsia="fr-FR"/>
        </w:rPr>
        <w:t>r</w:t>
      </w:r>
      <w:r w:rsidRPr="00D077BF">
        <w:rPr>
          <w:rFonts w:ascii="Cambria" w:hAnsi="Cambria"/>
          <w:lang w:eastAsia="fr-FR"/>
        </w:rPr>
        <w:t>elais des copines d’environ 6 kilomètres propose à 3 femmes de passer un moment convivial 100% féminin avec 3 étapes respectivement de 1</w:t>
      </w:r>
      <w:r w:rsidR="00F145AE" w:rsidRPr="00D077BF">
        <w:rPr>
          <w:rFonts w:ascii="Cambria" w:hAnsi="Cambria"/>
          <w:lang w:eastAsia="fr-FR"/>
        </w:rPr>
        <w:t>.</w:t>
      </w:r>
      <w:r w:rsidRPr="00D077BF">
        <w:rPr>
          <w:rFonts w:ascii="Cambria" w:hAnsi="Cambria"/>
          <w:lang w:eastAsia="fr-FR"/>
        </w:rPr>
        <w:t>5, 3 et 1</w:t>
      </w:r>
      <w:r w:rsidR="00F145AE" w:rsidRPr="00D077BF">
        <w:rPr>
          <w:rFonts w:ascii="Cambria" w:hAnsi="Cambria"/>
          <w:lang w:eastAsia="fr-FR"/>
        </w:rPr>
        <w:t>.</w:t>
      </w:r>
      <w:r w:rsidRPr="00D077BF">
        <w:rPr>
          <w:rFonts w:ascii="Cambria" w:hAnsi="Cambria"/>
          <w:lang w:eastAsia="fr-FR"/>
        </w:rPr>
        <w:t xml:space="preserve">5 kilomètres. </w:t>
      </w:r>
    </w:p>
    <w:p w14:paraId="5C787D51" w14:textId="1C6AB993" w:rsidR="00F145AE" w:rsidRPr="00D077BF" w:rsidRDefault="00124E3A" w:rsidP="00A75BE7">
      <w:pPr>
        <w:spacing w:before="100" w:beforeAutospacing="1" w:after="100" w:afterAutospacing="1"/>
        <w:jc w:val="both"/>
        <w:rPr>
          <w:rFonts w:ascii="Cambria" w:hAnsi="Cambria"/>
          <w:lang w:eastAsia="fr-FR"/>
        </w:rPr>
      </w:pPr>
      <w:r w:rsidRPr="00D077BF">
        <w:rPr>
          <w:rFonts w:ascii="Cambria" w:hAnsi="Cambria"/>
          <w:lang w:eastAsia="fr-FR"/>
        </w:rPr>
        <w:t xml:space="preserve">La course et ses animations seront placées sous le signe de la bienveillance, du respect et de l’union pour soutenir ces femmes. </w:t>
      </w:r>
      <w:r w:rsidR="00F145AE" w:rsidRPr="00D077BF">
        <w:rPr>
          <w:rFonts w:ascii="Cambria" w:hAnsi="Cambria"/>
          <w:lang w:eastAsia="fr-FR"/>
        </w:rPr>
        <w:t>Des ateliers thématiques pour sensibiliser à la violence faites aux femmes seront proposés.</w:t>
      </w:r>
    </w:p>
    <w:p w14:paraId="1BA4DABE" w14:textId="3814ECAF" w:rsidR="00F145AE" w:rsidRPr="00D077BF" w:rsidRDefault="00F145AE" w:rsidP="00A75BE7">
      <w:pPr>
        <w:spacing w:before="100" w:beforeAutospacing="1" w:after="100" w:afterAutospacing="1"/>
        <w:jc w:val="both"/>
        <w:rPr>
          <w:rFonts w:ascii="Cambria" w:hAnsi="Cambria"/>
          <w:lang w:eastAsia="fr-FR"/>
        </w:rPr>
      </w:pPr>
      <w:r w:rsidRPr="00D077BF">
        <w:rPr>
          <w:rFonts w:ascii="Cambria" w:hAnsi="Cambria"/>
          <w:lang w:eastAsia="fr-FR"/>
        </w:rPr>
        <w:t xml:space="preserve">Les fonds de la course solidaire </w:t>
      </w:r>
      <w:proofErr w:type="spellStart"/>
      <w:r w:rsidRPr="00D077BF">
        <w:rPr>
          <w:rFonts w:ascii="Cambria" w:hAnsi="Cambria"/>
          <w:lang w:eastAsia="fr-FR"/>
        </w:rPr>
        <w:t>Hine</w:t>
      </w:r>
      <w:proofErr w:type="spellEnd"/>
      <w:r w:rsidRPr="00D077BF">
        <w:rPr>
          <w:rFonts w:ascii="Cambria" w:hAnsi="Cambria"/>
          <w:lang w:eastAsia="fr-FR"/>
        </w:rPr>
        <w:t xml:space="preserve"> </w:t>
      </w:r>
      <w:proofErr w:type="spellStart"/>
      <w:r w:rsidRPr="00D077BF">
        <w:rPr>
          <w:rFonts w:ascii="Cambria" w:hAnsi="Cambria"/>
          <w:lang w:eastAsia="fr-FR"/>
        </w:rPr>
        <w:t>Hia’ai</w:t>
      </w:r>
      <w:proofErr w:type="spellEnd"/>
      <w:r w:rsidRPr="00D077BF">
        <w:rPr>
          <w:rFonts w:ascii="Cambria" w:hAnsi="Cambria"/>
          <w:lang w:eastAsia="fr-FR"/>
        </w:rPr>
        <w:t xml:space="preserve"> Run seront reversés en totalité à l’association </w:t>
      </w:r>
      <w:proofErr w:type="spellStart"/>
      <w:r w:rsidRPr="00D077BF">
        <w:rPr>
          <w:rFonts w:ascii="Cambria" w:hAnsi="Cambria"/>
          <w:lang w:eastAsia="fr-FR"/>
        </w:rPr>
        <w:t>Tiai</w:t>
      </w:r>
      <w:proofErr w:type="spellEnd"/>
      <w:r w:rsidRPr="00D077BF">
        <w:rPr>
          <w:rFonts w:ascii="Cambria" w:hAnsi="Cambria"/>
          <w:lang w:eastAsia="fr-FR"/>
        </w:rPr>
        <w:t xml:space="preserve"> Nui </w:t>
      </w:r>
      <w:proofErr w:type="spellStart"/>
      <w:r w:rsidRPr="00D077BF">
        <w:rPr>
          <w:rFonts w:ascii="Cambria" w:hAnsi="Cambria"/>
          <w:lang w:eastAsia="fr-FR"/>
        </w:rPr>
        <w:t>Here</w:t>
      </w:r>
      <w:proofErr w:type="spellEnd"/>
      <w:r w:rsidRPr="00D077BF">
        <w:rPr>
          <w:rFonts w:ascii="Cambria" w:hAnsi="Cambria"/>
          <w:lang w:eastAsia="fr-FR"/>
        </w:rPr>
        <w:t xml:space="preserve">. Cette association, créée en 1993, permet d'accueillir dans un foyer treize adolescentes de 13 à 18 ans (voire 21 ans, si mesure de protection de jeune majeure) sous protection judiciaire (mesure d’assistance éducative judiciaire et protection de jeunes majeures) ou administrative. </w:t>
      </w:r>
    </w:p>
    <w:p w14:paraId="455E078E" w14:textId="2596DB20" w:rsidR="00F145AE" w:rsidRPr="00D077BF" w:rsidRDefault="00F145AE" w:rsidP="00A75BE7">
      <w:pPr>
        <w:spacing w:before="100" w:beforeAutospacing="1" w:after="100" w:afterAutospacing="1"/>
        <w:jc w:val="both"/>
        <w:rPr>
          <w:rFonts w:ascii="Cambria" w:hAnsi="Cambria"/>
          <w:lang w:eastAsia="fr-FR"/>
        </w:rPr>
      </w:pPr>
      <w:r w:rsidRPr="00D077BF">
        <w:rPr>
          <w:rFonts w:ascii="Cambria" w:hAnsi="Cambria"/>
          <w:lang w:eastAsia="fr-FR"/>
        </w:rPr>
        <w:t>Le relais des familles est à 1 000 Fcfp par équipe et le relais des copines à 3 000 Fcfp par équipe.</w:t>
      </w:r>
      <w:r w:rsidR="00D43883" w:rsidRPr="00D077BF">
        <w:rPr>
          <w:rFonts w:ascii="Cambria" w:eastAsiaTheme="minorHAnsi" w:hAnsi="Cambria"/>
          <w:color w:val="000000"/>
          <w:sz w:val="23"/>
          <w:szCs w:val="23"/>
          <w:lang w:eastAsia="en-US"/>
        </w:rPr>
        <w:t xml:space="preserve"> </w:t>
      </w:r>
      <w:r w:rsidR="00D43883" w:rsidRPr="00D077BF">
        <w:rPr>
          <w:rFonts w:ascii="Cambria" w:hAnsi="Cambria"/>
          <w:lang w:eastAsia="fr-FR"/>
        </w:rPr>
        <w:t xml:space="preserve">Des formulaires sont disponibles en ligne sur le site : https://bit.ly/coursesolidaire et directement au magasin partenaire Intersport. Le dossier d’inscription doit être déposé au magasin Intersport situé au rond-point de la base marine à Papeete. </w:t>
      </w:r>
      <w:r w:rsidR="00A75BE7" w:rsidRPr="00D077BF">
        <w:rPr>
          <w:rFonts w:ascii="Cambria" w:hAnsi="Cambria"/>
          <w:lang w:eastAsia="fr-FR"/>
        </w:rPr>
        <w:t xml:space="preserve">Toutes les informations relatives à la course sont disponibles sur la page Facebook de la DSFE ou sur la page Facebook de l’évènement </w:t>
      </w:r>
      <w:proofErr w:type="spellStart"/>
      <w:r w:rsidR="00A75BE7" w:rsidRPr="00D077BF">
        <w:rPr>
          <w:rFonts w:ascii="Cambria" w:hAnsi="Cambria"/>
          <w:lang w:eastAsia="fr-FR"/>
        </w:rPr>
        <w:t>Hine</w:t>
      </w:r>
      <w:proofErr w:type="spellEnd"/>
      <w:r w:rsidR="00A75BE7" w:rsidRPr="00D077BF">
        <w:rPr>
          <w:rFonts w:ascii="Cambria" w:hAnsi="Cambria"/>
          <w:lang w:eastAsia="fr-FR"/>
        </w:rPr>
        <w:t xml:space="preserve"> </w:t>
      </w:r>
      <w:proofErr w:type="spellStart"/>
      <w:r w:rsidR="00A75BE7" w:rsidRPr="00D077BF">
        <w:rPr>
          <w:rFonts w:ascii="Cambria" w:hAnsi="Cambria"/>
          <w:lang w:eastAsia="fr-FR"/>
        </w:rPr>
        <w:t>Hia’ai</w:t>
      </w:r>
      <w:proofErr w:type="spellEnd"/>
      <w:r w:rsidR="00A75BE7" w:rsidRPr="00D077BF">
        <w:rPr>
          <w:rFonts w:ascii="Cambria" w:hAnsi="Cambria"/>
          <w:lang w:eastAsia="fr-FR"/>
        </w:rPr>
        <w:t xml:space="preserve"> Run.</w:t>
      </w:r>
    </w:p>
    <w:p w14:paraId="7DF789B4" w14:textId="77777777" w:rsidR="00F145AE" w:rsidRPr="00D077BF" w:rsidRDefault="00F145AE" w:rsidP="00F145AE">
      <w:pPr>
        <w:spacing w:before="100" w:beforeAutospacing="1" w:after="100" w:afterAutospacing="1"/>
        <w:jc w:val="both"/>
        <w:rPr>
          <w:rFonts w:ascii="Cambria" w:hAnsi="Cambria"/>
          <w:lang w:eastAsia="fr-FR"/>
        </w:rPr>
      </w:pPr>
    </w:p>
    <w:p w14:paraId="6BAA1A6E" w14:textId="156C7CAC" w:rsidR="004E0E1A" w:rsidRPr="00D077BF" w:rsidRDefault="004E0E1A" w:rsidP="00F145AE">
      <w:pPr>
        <w:spacing w:before="100" w:beforeAutospacing="1" w:after="100" w:afterAutospacing="1"/>
        <w:jc w:val="center"/>
        <w:rPr>
          <w:rFonts w:ascii="Cambria" w:hAnsi="Cambria"/>
          <w:lang w:eastAsia="fr-FR"/>
        </w:rPr>
      </w:pPr>
      <w:r w:rsidRPr="00D077BF">
        <w:rPr>
          <w:rFonts w:ascii="Cambria" w:hAnsi="Cambria"/>
        </w:rPr>
        <w:t>-o-o-o-o-o-</w:t>
      </w:r>
    </w:p>
    <w:sectPr w:rsidR="004E0E1A" w:rsidRPr="00D077BF" w:rsidSect="00F80F49">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5A66" w14:textId="77777777" w:rsidR="00EA174C" w:rsidRDefault="00EA174C" w:rsidP="000946F2">
      <w:r>
        <w:separator/>
      </w:r>
    </w:p>
  </w:endnote>
  <w:endnote w:type="continuationSeparator" w:id="0">
    <w:p w14:paraId="436A60EA" w14:textId="77777777" w:rsidR="00EA174C" w:rsidRDefault="00EA174C"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b/>
        <w:bCs/>
        <w:sz w:val="20"/>
        <w:szCs w:val="20"/>
      </w:rPr>
      <w:id w:val="-61563272"/>
      <w:docPartObj>
        <w:docPartGallery w:val="Page Numbers (Bottom of Page)"/>
        <w:docPartUnique/>
      </w:docPartObj>
    </w:sdtPr>
    <w:sdtEndPr/>
    <w:sdtContent>
      <w:p w14:paraId="0A6CE67B" w14:textId="4266D5F5" w:rsidR="00261AEC" w:rsidRPr="00261AEC" w:rsidRDefault="00261AEC">
        <w:pPr>
          <w:pStyle w:val="Pieddepage"/>
          <w:jc w:val="center"/>
          <w:rPr>
            <w:rFonts w:ascii="Cambria" w:hAnsi="Cambria"/>
            <w:b/>
            <w:bCs/>
            <w:sz w:val="20"/>
            <w:szCs w:val="20"/>
          </w:rPr>
        </w:pPr>
        <w:r w:rsidRPr="00261AEC">
          <w:rPr>
            <w:rFonts w:ascii="Cambria" w:hAnsi="Cambria"/>
            <w:b/>
            <w:bCs/>
            <w:sz w:val="20"/>
            <w:szCs w:val="20"/>
          </w:rPr>
          <w:fldChar w:fldCharType="begin"/>
        </w:r>
        <w:r w:rsidRPr="00261AEC">
          <w:rPr>
            <w:rFonts w:ascii="Cambria" w:hAnsi="Cambria"/>
            <w:b/>
            <w:bCs/>
            <w:sz w:val="20"/>
            <w:szCs w:val="20"/>
          </w:rPr>
          <w:instrText>PAGE   \* MERGEFORMAT</w:instrText>
        </w:r>
        <w:r w:rsidRPr="00261AEC">
          <w:rPr>
            <w:rFonts w:ascii="Cambria" w:hAnsi="Cambria"/>
            <w:b/>
            <w:bCs/>
            <w:sz w:val="20"/>
            <w:szCs w:val="20"/>
          </w:rPr>
          <w:fldChar w:fldCharType="separate"/>
        </w:r>
        <w:r w:rsidRPr="00261AEC">
          <w:rPr>
            <w:rFonts w:ascii="Cambria" w:hAnsi="Cambria"/>
            <w:b/>
            <w:bCs/>
            <w:sz w:val="20"/>
            <w:szCs w:val="20"/>
          </w:rPr>
          <w:t>2</w:t>
        </w:r>
        <w:r w:rsidRPr="00261AEC">
          <w:rPr>
            <w:rFonts w:ascii="Cambria" w:hAnsi="Cambria"/>
            <w:b/>
            <w:bCs/>
            <w:sz w:val="20"/>
            <w:szCs w:val="20"/>
          </w:rPr>
          <w:fldChar w:fldCharType="end"/>
        </w:r>
      </w:p>
    </w:sdtContent>
  </w:sdt>
  <w:p w14:paraId="681CA0A1" w14:textId="77777777" w:rsidR="00261AEC" w:rsidRDefault="00261A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7010" w14:textId="77777777" w:rsidR="00EA174C" w:rsidRDefault="00EA174C" w:rsidP="000946F2">
      <w:r>
        <w:separator/>
      </w:r>
    </w:p>
  </w:footnote>
  <w:footnote w:type="continuationSeparator" w:id="0">
    <w:p w14:paraId="358BBE2C" w14:textId="77777777" w:rsidR="00EA174C" w:rsidRDefault="00EA174C" w:rsidP="00094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3C"/>
    <w:multiLevelType w:val="hybridMultilevel"/>
    <w:tmpl w:val="A4BC2C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186E00"/>
    <w:multiLevelType w:val="hybridMultilevel"/>
    <w:tmpl w:val="7EBED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A91545"/>
    <w:multiLevelType w:val="hybridMultilevel"/>
    <w:tmpl w:val="EB827A3E"/>
    <w:lvl w:ilvl="0" w:tplc="E4729670">
      <w:numFmt w:val="bullet"/>
      <w:lvlText w:val="-"/>
      <w:lvlJc w:val="left"/>
      <w:pPr>
        <w:ind w:left="720" w:hanging="360"/>
      </w:pPr>
      <w:rPr>
        <w:rFonts w:ascii="Cambria" w:eastAsia="Times New Roman"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16A14"/>
    <w:multiLevelType w:val="hybridMultilevel"/>
    <w:tmpl w:val="CF74096C"/>
    <w:lvl w:ilvl="0" w:tplc="6C7A01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0232FB"/>
    <w:multiLevelType w:val="hybridMultilevel"/>
    <w:tmpl w:val="8FD8F4D6"/>
    <w:lvl w:ilvl="0" w:tplc="3FBEC834">
      <w:start w:val="1"/>
      <w:numFmt w:val="bullet"/>
      <w:pStyle w:val="TM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6B20"/>
    <w:multiLevelType w:val="hybridMultilevel"/>
    <w:tmpl w:val="15CC7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370B9D"/>
    <w:multiLevelType w:val="hybridMultilevel"/>
    <w:tmpl w:val="32EAAE0C"/>
    <w:lvl w:ilvl="0" w:tplc="040C0001">
      <w:start w:val="1"/>
      <w:numFmt w:val="bullet"/>
      <w:lvlText w:val=""/>
      <w:lvlJc w:val="left"/>
      <w:pPr>
        <w:ind w:left="1211"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8" w15:restartNumberingAfterBreak="0">
    <w:nsid w:val="224311E9"/>
    <w:multiLevelType w:val="hybridMultilevel"/>
    <w:tmpl w:val="72F0B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0E60AA"/>
    <w:multiLevelType w:val="hybridMultilevel"/>
    <w:tmpl w:val="A5AC323C"/>
    <w:lvl w:ilvl="0" w:tplc="7916D584">
      <w:numFmt w:val="bullet"/>
      <w:lvlText w:val="-"/>
      <w:lvlJc w:val="left"/>
      <w:pPr>
        <w:ind w:left="1080" w:hanging="360"/>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D195FDA"/>
    <w:multiLevelType w:val="multilevel"/>
    <w:tmpl w:val="CF5C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D5381"/>
    <w:multiLevelType w:val="hybridMultilevel"/>
    <w:tmpl w:val="81DAE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3" w15:restartNumberingAfterBreak="0">
    <w:nsid w:val="387766B1"/>
    <w:multiLevelType w:val="hybridMultilevel"/>
    <w:tmpl w:val="0290A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C528DD"/>
    <w:multiLevelType w:val="hybridMultilevel"/>
    <w:tmpl w:val="E5EAF3C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3A145854"/>
    <w:multiLevelType w:val="hybridMultilevel"/>
    <w:tmpl w:val="CEC29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4A6242"/>
    <w:multiLevelType w:val="hybridMultilevel"/>
    <w:tmpl w:val="A10E1FBE"/>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7" w15:restartNumberingAfterBreak="0">
    <w:nsid w:val="3E21462F"/>
    <w:multiLevelType w:val="hybridMultilevel"/>
    <w:tmpl w:val="95DCB3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4D0418"/>
    <w:multiLevelType w:val="hybridMultilevel"/>
    <w:tmpl w:val="7AF6C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E238A1"/>
    <w:multiLevelType w:val="hybridMultilevel"/>
    <w:tmpl w:val="4C3863C8"/>
    <w:lvl w:ilvl="0" w:tplc="ECF40FEC">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0" w15:restartNumberingAfterBreak="0">
    <w:nsid w:val="44C90D04"/>
    <w:multiLevelType w:val="multilevel"/>
    <w:tmpl w:val="1E365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32BFF"/>
    <w:multiLevelType w:val="hybridMultilevel"/>
    <w:tmpl w:val="85D6CA34"/>
    <w:lvl w:ilvl="0" w:tplc="E72C10D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3C506A"/>
    <w:multiLevelType w:val="hybridMultilevel"/>
    <w:tmpl w:val="7CD44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67311E"/>
    <w:multiLevelType w:val="hybridMultilevel"/>
    <w:tmpl w:val="34EE17B8"/>
    <w:lvl w:ilvl="0" w:tplc="6C7A012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C33380"/>
    <w:multiLevelType w:val="hybridMultilevel"/>
    <w:tmpl w:val="93B05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340424"/>
    <w:multiLevelType w:val="hybridMultilevel"/>
    <w:tmpl w:val="0E227FA8"/>
    <w:lvl w:ilvl="0" w:tplc="30906E8A">
      <w:start w:val="1"/>
      <w:numFmt w:val="decimal"/>
      <w:lvlText w:val="%1)"/>
      <w:lvlJc w:val="left"/>
      <w:pPr>
        <w:ind w:left="1211" w:hanging="360"/>
      </w:p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26" w15:restartNumberingAfterBreak="0">
    <w:nsid w:val="5D787ED2"/>
    <w:multiLevelType w:val="hybridMultilevel"/>
    <w:tmpl w:val="3A9245FE"/>
    <w:lvl w:ilvl="0" w:tplc="18F849F8">
      <w:start w:val="1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7" w15:restartNumberingAfterBreak="0">
    <w:nsid w:val="5FEA6D60"/>
    <w:multiLevelType w:val="hybridMultilevel"/>
    <w:tmpl w:val="F8580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4014EA"/>
    <w:multiLevelType w:val="hybridMultilevel"/>
    <w:tmpl w:val="FDAA2E60"/>
    <w:lvl w:ilvl="0" w:tplc="E79841E8">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9" w15:restartNumberingAfterBreak="0">
    <w:nsid w:val="6A4E6E4B"/>
    <w:multiLevelType w:val="hybridMultilevel"/>
    <w:tmpl w:val="6BAE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3335DF"/>
    <w:multiLevelType w:val="hybridMultilevel"/>
    <w:tmpl w:val="33105C94"/>
    <w:lvl w:ilvl="0" w:tplc="44F6FC22">
      <w:start w:val="1"/>
      <w:numFmt w:val="bullet"/>
      <w:lvlText w:val="-"/>
      <w:lvlJc w:val="left"/>
      <w:pPr>
        <w:ind w:left="1080" w:hanging="360"/>
      </w:pPr>
      <w:rPr>
        <w:rFonts w:ascii="Cambria" w:eastAsia="Times New Roman" w:hAnsi="Cambri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num>
  <w:num w:numId="2">
    <w:abstractNumId w:val="4"/>
  </w:num>
  <w:num w:numId="3">
    <w:abstractNumId w:val="24"/>
  </w:num>
  <w:num w:numId="4">
    <w:abstractNumId w:val="30"/>
  </w:num>
  <w:num w:numId="5">
    <w:abstractNumId w:val="27"/>
  </w:num>
  <w:num w:numId="6">
    <w:abstractNumId w:val="17"/>
  </w:num>
  <w:num w:numId="7">
    <w:abstractNumId w:val="3"/>
  </w:num>
  <w:num w:numId="8">
    <w:abstractNumId w:val="23"/>
  </w:num>
  <w:num w:numId="9">
    <w:abstractNumId w:val="0"/>
  </w:num>
  <w:num w:numId="10">
    <w:abstractNumId w:val="29"/>
  </w:num>
  <w:num w:numId="11">
    <w:abstractNumId w:val="16"/>
  </w:num>
  <w:num w:numId="12">
    <w:abstractNumId w:val="16"/>
  </w:num>
  <w:num w:numId="13">
    <w:abstractNumId w:val="13"/>
  </w:num>
  <w:num w:numId="14">
    <w:abstractNumId w:val="20"/>
  </w:num>
  <w:num w:numId="15">
    <w:abstractNumId w:val="15"/>
  </w:num>
  <w:num w:numId="16">
    <w:abstractNumId w:val="11"/>
  </w:num>
  <w:num w:numId="17">
    <w:abstractNumId w:val="22"/>
  </w:num>
  <w:num w:numId="18">
    <w:abstractNumId w:val="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26"/>
  </w:num>
  <w:num w:numId="23">
    <w:abstractNumId w:val="5"/>
  </w:num>
  <w:num w:numId="24">
    <w:abstractNumId w:val="19"/>
  </w:num>
  <w:num w:numId="25">
    <w:abstractNumId w:val="8"/>
  </w:num>
  <w:num w:numId="26">
    <w:abstractNumId w:val="28"/>
  </w:num>
  <w:num w:numId="27">
    <w:abstractNumId w:val="18"/>
  </w:num>
  <w:num w:numId="28">
    <w:abstractNumId w:val="21"/>
  </w:num>
  <w:num w:numId="29">
    <w:abstractNumId w:val="14"/>
  </w:num>
  <w:num w:numId="30">
    <w:abstractNumId w:val="1"/>
  </w:num>
  <w:num w:numId="31">
    <w:abstractNumId w:val="9"/>
  </w:num>
  <w:num w:numId="3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046C9"/>
    <w:rsid w:val="0000644B"/>
    <w:rsid w:val="00033BA7"/>
    <w:rsid w:val="000360F8"/>
    <w:rsid w:val="00041F07"/>
    <w:rsid w:val="0004791C"/>
    <w:rsid w:val="00057D09"/>
    <w:rsid w:val="0006201F"/>
    <w:rsid w:val="00062B2E"/>
    <w:rsid w:val="00067B39"/>
    <w:rsid w:val="00071734"/>
    <w:rsid w:val="00073530"/>
    <w:rsid w:val="000818AF"/>
    <w:rsid w:val="000946F2"/>
    <w:rsid w:val="00094C9A"/>
    <w:rsid w:val="000962B2"/>
    <w:rsid w:val="000979C6"/>
    <w:rsid w:val="00097EB2"/>
    <w:rsid w:val="000A1085"/>
    <w:rsid w:val="000A73B9"/>
    <w:rsid w:val="000B007B"/>
    <w:rsid w:val="000B0CD2"/>
    <w:rsid w:val="000B1686"/>
    <w:rsid w:val="000B406E"/>
    <w:rsid w:val="000B611A"/>
    <w:rsid w:val="000C153E"/>
    <w:rsid w:val="000C64AB"/>
    <w:rsid w:val="000C6F38"/>
    <w:rsid w:val="000C796A"/>
    <w:rsid w:val="001019EF"/>
    <w:rsid w:val="0010365C"/>
    <w:rsid w:val="00113B9D"/>
    <w:rsid w:val="001148FC"/>
    <w:rsid w:val="00124E3A"/>
    <w:rsid w:val="00132DC3"/>
    <w:rsid w:val="001369DE"/>
    <w:rsid w:val="00147531"/>
    <w:rsid w:val="001514F8"/>
    <w:rsid w:val="001560E0"/>
    <w:rsid w:val="0015732A"/>
    <w:rsid w:val="00157387"/>
    <w:rsid w:val="001657A7"/>
    <w:rsid w:val="001665CC"/>
    <w:rsid w:val="0016681B"/>
    <w:rsid w:val="00176E9A"/>
    <w:rsid w:val="001778CF"/>
    <w:rsid w:val="00184AD7"/>
    <w:rsid w:val="00193BE7"/>
    <w:rsid w:val="00197F24"/>
    <w:rsid w:val="001B0339"/>
    <w:rsid w:val="001B4ED0"/>
    <w:rsid w:val="001B6B39"/>
    <w:rsid w:val="001B7690"/>
    <w:rsid w:val="001C4C61"/>
    <w:rsid w:val="001D3A8C"/>
    <w:rsid w:val="001E0FD2"/>
    <w:rsid w:val="001E591D"/>
    <w:rsid w:val="00201254"/>
    <w:rsid w:val="00203E06"/>
    <w:rsid w:val="00210E8E"/>
    <w:rsid w:val="00211E34"/>
    <w:rsid w:val="0021263D"/>
    <w:rsid w:val="00222F7A"/>
    <w:rsid w:val="00226F02"/>
    <w:rsid w:val="00230129"/>
    <w:rsid w:val="00241E36"/>
    <w:rsid w:val="00250361"/>
    <w:rsid w:val="00250B73"/>
    <w:rsid w:val="002555A6"/>
    <w:rsid w:val="002558FB"/>
    <w:rsid w:val="00255C6C"/>
    <w:rsid w:val="00261AEC"/>
    <w:rsid w:val="00276DCA"/>
    <w:rsid w:val="002864E3"/>
    <w:rsid w:val="00291700"/>
    <w:rsid w:val="002943B2"/>
    <w:rsid w:val="002B1EDC"/>
    <w:rsid w:val="002B714B"/>
    <w:rsid w:val="002C02AC"/>
    <w:rsid w:val="002D6D5D"/>
    <w:rsid w:val="002E696E"/>
    <w:rsid w:val="003019E6"/>
    <w:rsid w:val="00303636"/>
    <w:rsid w:val="00303F47"/>
    <w:rsid w:val="003059B1"/>
    <w:rsid w:val="00307E1D"/>
    <w:rsid w:val="003106A8"/>
    <w:rsid w:val="00314196"/>
    <w:rsid w:val="00314BDE"/>
    <w:rsid w:val="00315E2C"/>
    <w:rsid w:val="0031620D"/>
    <w:rsid w:val="00317C66"/>
    <w:rsid w:val="003229A6"/>
    <w:rsid w:val="00324018"/>
    <w:rsid w:val="00331E05"/>
    <w:rsid w:val="00333CE8"/>
    <w:rsid w:val="0033485E"/>
    <w:rsid w:val="003358A4"/>
    <w:rsid w:val="00335BEC"/>
    <w:rsid w:val="00336845"/>
    <w:rsid w:val="00343E2F"/>
    <w:rsid w:val="0034488A"/>
    <w:rsid w:val="00344F00"/>
    <w:rsid w:val="00344F22"/>
    <w:rsid w:val="00372D2A"/>
    <w:rsid w:val="003750FA"/>
    <w:rsid w:val="00376980"/>
    <w:rsid w:val="00380DE7"/>
    <w:rsid w:val="003921C7"/>
    <w:rsid w:val="00395A63"/>
    <w:rsid w:val="003A5001"/>
    <w:rsid w:val="003B316A"/>
    <w:rsid w:val="003C260A"/>
    <w:rsid w:val="003C5CE4"/>
    <w:rsid w:val="003D5DC5"/>
    <w:rsid w:val="003E490C"/>
    <w:rsid w:val="003E7569"/>
    <w:rsid w:val="003F3E18"/>
    <w:rsid w:val="003F4314"/>
    <w:rsid w:val="003F7DFC"/>
    <w:rsid w:val="004072CA"/>
    <w:rsid w:val="00416564"/>
    <w:rsid w:val="004178CE"/>
    <w:rsid w:val="00426E43"/>
    <w:rsid w:val="00427CC2"/>
    <w:rsid w:val="00447A3B"/>
    <w:rsid w:val="00453068"/>
    <w:rsid w:val="00456DD6"/>
    <w:rsid w:val="0046036C"/>
    <w:rsid w:val="00461397"/>
    <w:rsid w:val="00464602"/>
    <w:rsid w:val="004648DB"/>
    <w:rsid w:val="00467546"/>
    <w:rsid w:val="00470251"/>
    <w:rsid w:val="00491A0E"/>
    <w:rsid w:val="00492417"/>
    <w:rsid w:val="0049706D"/>
    <w:rsid w:val="004A28D6"/>
    <w:rsid w:val="004A3805"/>
    <w:rsid w:val="004A5ED4"/>
    <w:rsid w:val="004B00A1"/>
    <w:rsid w:val="004C2F05"/>
    <w:rsid w:val="004C71F3"/>
    <w:rsid w:val="004D2D55"/>
    <w:rsid w:val="004E0E1A"/>
    <w:rsid w:val="004E4719"/>
    <w:rsid w:val="004E4ACE"/>
    <w:rsid w:val="004E766B"/>
    <w:rsid w:val="004F1350"/>
    <w:rsid w:val="004F1EFE"/>
    <w:rsid w:val="004F33BA"/>
    <w:rsid w:val="004F4E5C"/>
    <w:rsid w:val="004F6EBC"/>
    <w:rsid w:val="00511CE9"/>
    <w:rsid w:val="0051569C"/>
    <w:rsid w:val="00522BC6"/>
    <w:rsid w:val="00522EA0"/>
    <w:rsid w:val="00524E73"/>
    <w:rsid w:val="005268C6"/>
    <w:rsid w:val="005314A8"/>
    <w:rsid w:val="005412C9"/>
    <w:rsid w:val="00550369"/>
    <w:rsid w:val="005524F8"/>
    <w:rsid w:val="00561739"/>
    <w:rsid w:val="00561D2B"/>
    <w:rsid w:val="00561F43"/>
    <w:rsid w:val="00566602"/>
    <w:rsid w:val="00574994"/>
    <w:rsid w:val="00582562"/>
    <w:rsid w:val="00582D55"/>
    <w:rsid w:val="005857BB"/>
    <w:rsid w:val="005A0732"/>
    <w:rsid w:val="005A2EA6"/>
    <w:rsid w:val="005A5A4F"/>
    <w:rsid w:val="005B0EDB"/>
    <w:rsid w:val="005B1B14"/>
    <w:rsid w:val="005C1C62"/>
    <w:rsid w:val="005C36CE"/>
    <w:rsid w:val="005D084D"/>
    <w:rsid w:val="005D631A"/>
    <w:rsid w:val="005D76E3"/>
    <w:rsid w:val="005E489C"/>
    <w:rsid w:val="005E514F"/>
    <w:rsid w:val="005F535E"/>
    <w:rsid w:val="00603222"/>
    <w:rsid w:val="00606B7D"/>
    <w:rsid w:val="0061449D"/>
    <w:rsid w:val="0061731C"/>
    <w:rsid w:val="00617820"/>
    <w:rsid w:val="00625270"/>
    <w:rsid w:val="00647EC4"/>
    <w:rsid w:val="00655352"/>
    <w:rsid w:val="0065694E"/>
    <w:rsid w:val="006676A1"/>
    <w:rsid w:val="00667FA9"/>
    <w:rsid w:val="00670C3E"/>
    <w:rsid w:val="00674CD0"/>
    <w:rsid w:val="006846F8"/>
    <w:rsid w:val="00690ED4"/>
    <w:rsid w:val="00691BB6"/>
    <w:rsid w:val="00692133"/>
    <w:rsid w:val="006B1A88"/>
    <w:rsid w:val="006B3CFE"/>
    <w:rsid w:val="006B43E9"/>
    <w:rsid w:val="006B66F6"/>
    <w:rsid w:val="006C3CC1"/>
    <w:rsid w:val="006C75C2"/>
    <w:rsid w:val="006E0132"/>
    <w:rsid w:val="006E08F8"/>
    <w:rsid w:val="006F299C"/>
    <w:rsid w:val="006F6B6D"/>
    <w:rsid w:val="006F7FD4"/>
    <w:rsid w:val="00705480"/>
    <w:rsid w:val="0071264C"/>
    <w:rsid w:val="00720225"/>
    <w:rsid w:val="007207E2"/>
    <w:rsid w:val="007222AE"/>
    <w:rsid w:val="00723D84"/>
    <w:rsid w:val="00725E9F"/>
    <w:rsid w:val="00726CC1"/>
    <w:rsid w:val="007279F8"/>
    <w:rsid w:val="0073010E"/>
    <w:rsid w:val="00744496"/>
    <w:rsid w:val="00754311"/>
    <w:rsid w:val="00754E86"/>
    <w:rsid w:val="0078291E"/>
    <w:rsid w:val="00793B69"/>
    <w:rsid w:val="00793E0E"/>
    <w:rsid w:val="00795572"/>
    <w:rsid w:val="00797856"/>
    <w:rsid w:val="007A28D6"/>
    <w:rsid w:val="007A5E09"/>
    <w:rsid w:val="007A6A5E"/>
    <w:rsid w:val="007B23D5"/>
    <w:rsid w:val="007B6A6C"/>
    <w:rsid w:val="007C0966"/>
    <w:rsid w:val="007C1BC9"/>
    <w:rsid w:val="007C1C93"/>
    <w:rsid w:val="007C605D"/>
    <w:rsid w:val="007E133D"/>
    <w:rsid w:val="007E5D66"/>
    <w:rsid w:val="007F3848"/>
    <w:rsid w:val="007F664D"/>
    <w:rsid w:val="00805658"/>
    <w:rsid w:val="00807CE3"/>
    <w:rsid w:val="00812127"/>
    <w:rsid w:val="00814C48"/>
    <w:rsid w:val="00816A9C"/>
    <w:rsid w:val="00820476"/>
    <w:rsid w:val="00820BBC"/>
    <w:rsid w:val="00822589"/>
    <w:rsid w:val="00825D17"/>
    <w:rsid w:val="0083539D"/>
    <w:rsid w:val="008445F1"/>
    <w:rsid w:val="00851748"/>
    <w:rsid w:val="00854E57"/>
    <w:rsid w:val="008560D1"/>
    <w:rsid w:val="00861B69"/>
    <w:rsid w:val="00862A63"/>
    <w:rsid w:val="0087417F"/>
    <w:rsid w:val="00877955"/>
    <w:rsid w:val="00885EDC"/>
    <w:rsid w:val="008861E8"/>
    <w:rsid w:val="00887AD1"/>
    <w:rsid w:val="00890177"/>
    <w:rsid w:val="008B7411"/>
    <w:rsid w:val="008C6B51"/>
    <w:rsid w:val="008D469A"/>
    <w:rsid w:val="008D4C19"/>
    <w:rsid w:val="008D68E2"/>
    <w:rsid w:val="008E0300"/>
    <w:rsid w:val="008E2E81"/>
    <w:rsid w:val="008F4EDA"/>
    <w:rsid w:val="008F7988"/>
    <w:rsid w:val="00900126"/>
    <w:rsid w:val="00902AD0"/>
    <w:rsid w:val="00904570"/>
    <w:rsid w:val="0090638F"/>
    <w:rsid w:val="00906A1A"/>
    <w:rsid w:val="00906D4A"/>
    <w:rsid w:val="00916876"/>
    <w:rsid w:val="00916F0F"/>
    <w:rsid w:val="00920D6D"/>
    <w:rsid w:val="009263A2"/>
    <w:rsid w:val="00936C76"/>
    <w:rsid w:val="009371EF"/>
    <w:rsid w:val="00937DB4"/>
    <w:rsid w:val="00940E6F"/>
    <w:rsid w:val="00942EB3"/>
    <w:rsid w:val="009435C9"/>
    <w:rsid w:val="0095116C"/>
    <w:rsid w:val="0095394E"/>
    <w:rsid w:val="00963EEC"/>
    <w:rsid w:val="009723F8"/>
    <w:rsid w:val="009744ED"/>
    <w:rsid w:val="0098256C"/>
    <w:rsid w:val="009871B2"/>
    <w:rsid w:val="009A619B"/>
    <w:rsid w:val="009B4328"/>
    <w:rsid w:val="009C01C8"/>
    <w:rsid w:val="009C4DE3"/>
    <w:rsid w:val="009E2A3F"/>
    <w:rsid w:val="009E34ED"/>
    <w:rsid w:val="009F797D"/>
    <w:rsid w:val="00A00B63"/>
    <w:rsid w:val="00A0201D"/>
    <w:rsid w:val="00A05FD4"/>
    <w:rsid w:val="00A06040"/>
    <w:rsid w:val="00A12C80"/>
    <w:rsid w:val="00A1301D"/>
    <w:rsid w:val="00A17C6A"/>
    <w:rsid w:val="00A3661B"/>
    <w:rsid w:val="00A44598"/>
    <w:rsid w:val="00A451F7"/>
    <w:rsid w:val="00A54203"/>
    <w:rsid w:val="00A5773F"/>
    <w:rsid w:val="00A60491"/>
    <w:rsid w:val="00A66B6A"/>
    <w:rsid w:val="00A75BE7"/>
    <w:rsid w:val="00A83348"/>
    <w:rsid w:val="00A841FA"/>
    <w:rsid w:val="00A93EAD"/>
    <w:rsid w:val="00A94201"/>
    <w:rsid w:val="00A9585C"/>
    <w:rsid w:val="00AA1452"/>
    <w:rsid w:val="00AA1585"/>
    <w:rsid w:val="00AA2C64"/>
    <w:rsid w:val="00AA6F62"/>
    <w:rsid w:val="00AA75E2"/>
    <w:rsid w:val="00AC5919"/>
    <w:rsid w:val="00AC5B52"/>
    <w:rsid w:val="00AD364D"/>
    <w:rsid w:val="00AD4D7B"/>
    <w:rsid w:val="00AE615B"/>
    <w:rsid w:val="00AE6479"/>
    <w:rsid w:val="00AF7E65"/>
    <w:rsid w:val="00B05F97"/>
    <w:rsid w:val="00B14B11"/>
    <w:rsid w:val="00B16100"/>
    <w:rsid w:val="00B2325C"/>
    <w:rsid w:val="00B31286"/>
    <w:rsid w:val="00B34C72"/>
    <w:rsid w:val="00B34D62"/>
    <w:rsid w:val="00B35075"/>
    <w:rsid w:val="00B46373"/>
    <w:rsid w:val="00B562C6"/>
    <w:rsid w:val="00B57252"/>
    <w:rsid w:val="00B57B9F"/>
    <w:rsid w:val="00B6016F"/>
    <w:rsid w:val="00B678EB"/>
    <w:rsid w:val="00B7086F"/>
    <w:rsid w:val="00B7240B"/>
    <w:rsid w:val="00B81E7B"/>
    <w:rsid w:val="00B9574C"/>
    <w:rsid w:val="00BB580C"/>
    <w:rsid w:val="00BB77F0"/>
    <w:rsid w:val="00BC1879"/>
    <w:rsid w:val="00BD62F1"/>
    <w:rsid w:val="00BD7E3B"/>
    <w:rsid w:val="00BE6F65"/>
    <w:rsid w:val="00BF04DB"/>
    <w:rsid w:val="00BF0A26"/>
    <w:rsid w:val="00BF71E2"/>
    <w:rsid w:val="00C06286"/>
    <w:rsid w:val="00C100A7"/>
    <w:rsid w:val="00C246B5"/>
    <w:rsid w:val="00C257B4"/>
    <w:rsid w:val="00C278F2"/>
    <w:rsid w:val="00C32F66"/>
    <w:rsid w:val="00C36668"/>
    <w:rsid w:val="00C514AE"/>
    <w:rsid w:val="00C53E63"/>
    <w:rsid w:val="00C56BBF"/>
    <w:rsid w:val="00C57132"/>
    <w:rsid w:val="00C57D05"/>
    <w:rsid w:val="00C6114E"/>
    <w:rsid w:val="00C61300"/>
    <w:rsid w:val="00C72F7B"/>
    <w:rsid w:val="00C750C4"/>
    <w:rsid w:val="00C83214"/>
    <w:rsid w:val="00C83691"/>
    <w:rsid w:val="00C9090D"/>
    <w:rsid w:val="00C90CC9"/>
    <w:rsid w:val="00C9475F"/>
    <w:rsid w:val="00CA729E"/>
    <w:rsid w:val="00CA7DD9"/>
    <w:rsid w:val="00CB3969"/>
    <w:rsid w:val="00CB73CF"/>
    <w:rsid w:val="00CC4CA2"/>
    <w:rsid w:val="00CC6E73"/>
    <w:rsid w:val="00CD3117"/>
    <w:rsid w:val="00CE6642"/>
    <w:rsid w:val="00CF60AA"/>
    <w:rsid w:val="00CF6CEA"/>
    <w:rsid w:val="00D00BE9"/>
    <w:rsid w:val="00D035B6"/>
    <w:rsid w:val="00D077BF"/>
    <w:rsid w:val="00D12AEA"/>
    <w:rsid w:val="00D13D49"/>
    <w:rsid w:val="00D22A2D"/>
    <w:rsid w:val="00D231FD"/>
    <w:rsid w:val="00D410EC"/>
    <w:rsid w:val="00D415F8"/>
    <w:rsid w:val="00D43883"/>
    <w:rsid w:val="00D558AB"/>
    <w:rsid w:val="00D5697C"/>
    <w:rsid w:val="00D603D6"/>
    <w:rsid w:val="00D65DFB"/>
    <w:rsid w:val="00D722E2"/>
    <w:rsid w:val="00D74DED"/>
    <w:rsid w:val="00D76297"/>
    <w:rsid w:val="00D779A2"/>
    <w:rsid w:val="00D91BC5"/>
    <w:rsid w:val="00D94DB8"/>
    <w:rsid w:val="00D95AFF"/>
    <w:rsid w:val="00DA7916"/>
    <w:rsid w:val="00DB22DD"/>
    <w:rsid w:val="00DB32DD"/>
    <w:rsid w:val="00DC2281"/>
    <w:rsid w:val="00DC33A8"/>
    <w:rsid w:val="00DC76A1"/>
    <w:rsid w:val="00DD6357"/>
    <w:rsid w:val="00DE08C4"/>
    <w:rsid w:val="00DE5190"/>
    <w:rsid w:val="00DF078C"/>
    <w:rsid w:val="00DF268A"/>
    <w:rsid w:val="00DF6629"/>
    <w:rsid w:val="00DF6B95"/>
    <w:rsid w:val="00DF73B9"/>
    <w:rsid w:val="00E008CE"/>
    <w:rsid w:val="00E03ED5"/>
    <w:rsid w:val="00E05D9F"/>
    <w:rsid w:val="00E07421"/>
    <w:rsid w:val="00E14F1C"/>
    <w:rsid w:val="00E32EBC"/>
    <w:rsid w:val="00E41D28"/>
    <w:rsid w:val="00E5302D"/>
    <w:rsid w:val="00E625FF"/>
    <w:rsid w:val="00E62CA2"/>
    <w:rsid w:val="00E64ADC"/>
    <w:rsid w:val="00E74BF7"/>
    <w:rsid w:val="00EA174C"/>
    <w:rsid w:val="00EB1B52"/>
    <w:rsid w:val="00EB661E"/>
    <w:rsid w:val="00EC1170"/>
    <w:rsid w:val="00EC305D"/>
    <w:rsid w:val="00EC4BC9"/>
    <w:rsid w:val="00ED5751"/>
    <w:rsid w:val="00EE0217"/>
    <w:rsid w:val="00EE0BAB"/>
    <w:rsid w:val="00EF0155"/>
    <w:rsid w:val="00EF2616"/>
    <w:rsid w:val="00EF4A34"/>
    <w:rsid w:val="00EF4A3B"/>
    <w:rsid w:val="00F02EF4"/>
    <w:rsid w:val="00F0504E"/>
    <w:rsid w:val="00F10B59"/>
    <w:rsid w:val="00F145AE"/>
    <w:rsid w:val="00F2595C"/>
    <w:rsid w:val="00F35081"/>
    <w:rsid w:val="00F35395"/>
    <w:rsid w:val="00F40C35"/>
    <w:rsid w:val="00F532C7"/>
    <w:rsid w:val="00F671C3"/>
    <w:rsid w:val="00F72FCF"/>
    <w:rsid w:val="00F763BB"/>
    <w:rsid w:val="00F80F49"/>
    <w:rsid w:val="00F836CE"/>
    <w:rsid w:val="00F84E35"/>
    <w:rsid w:val="00F97177"/>
    <w:rsid w:val="00F97AB4"/>
    <w:rsid w:val="00FA00F4"/>
    <w:rsid w:val="00FA019E"/>
    <w:rsid w:val="00FA26F2"/>
    <w:rsid w:val="00FA5FD1"/>
    <w:rsid w:val="00FA6D2C"/>
    <w:rsid w:val="00FB6936"/>
    <w:rsid w:val="00FC0BA3"/>
    <w:rsid w:val="00FC1CC1"/>
    <w:rsid w:val="00FD4A5E"/>
    <w:rsid w:val="00FD7003"/>
    <w:rsid w:val="00FE0839"/>
    <w:rsid w:val="00FF04A3"/>
    <w:rsid w:val="00FF197A"/>
    <w:rsid w:val="00FF1C65"/>
    <w:rsid w:val="00FF3F25"/>
    <w:rsid w:val="00FF4DA6"/>
    <w:rsid w:val="00FF6B89"/>
    <w:rsid w:val="00FF75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1">
    <w:name w:val="heading 1"/>
    <w:aliases w:val="MINISTERE"/>
    <w:basedOn w:val="Normal"/>
    <w:next w:val="Normal"/>
    <w:link w:val="Titre1Car"/>
    <w:uiPriority w:val="9"/>
    <w:qFormat/>
    <w:rsid w:val="00816A9C"/>
    <w:pPr>
      <w:keepNext/>
      <w:keepLines/>
      <w:spacing w:before="240"/>
      <w:jc w:val="center"/>
      <w:outlineLvl w:val="0"/>
    </w:pPr>
    <w:rPr>
      <w:rFonts w:ascii="Cambria" w:eastAsiaTheme="majorEastAsia" w:hAnsi="Cambria" w:cstheme="majorBidi"/>
      <w:b/>
      <w:color w:val="000000" w:themeColor="text1"/>
      <w:sz w:val="28"/>
      <w:szCs w:val="32"/>
    </w:rPr>
  </w:style>
  <w:style w:type="paragraph" w:styleId="Titre2">
    <w:name w:val="heading 2"/>
    <w:aliases w:val="TEXTE CM"/>
    <w:basedOn w:val="Normal"/>
    <w:next w:val="Normal"/>
    <w:link w:val="Titre2Car"/>
    <w:uiPriority w:val="9"/>
    <w:unhideWhenUsed/>
    <w:qFormat/>
    <w:rsid w:val="00D74DED"/>
    <w:pPr>
      <w:keepNext/>
      <w:keepLines/>
      <w:spacing w:before="40"/>
      <w:jc w:val="both"/>
      <w:outlineLvl w:val="1"/>
    </w:pPr>
    <w:rPr>
      <w:rFonts w:ascii="Cambria" w:eastAsiaTheme="majorEastAsia" w:hAnsi="Cambria" w:cstheme="majorBidi"/>
      <w:b/>
      <w:szCs w:val="26"/>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uiPriority w:val="99"/>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paragraph">
    <w:name w:val="paragraph"/>
    <w:basedOn w:val="Normal"/>
    <w:rsid w:val="00FF4DA6"/>
    <w:pPr>
      <w:spacing w:before="100" w:beforeAutospacing="1" w:after="100" w:afterAutospacing="1"/>
    </w:pPr>
    <w:rPr>
      <w:lang w:eastAsia="fr-FR"/>
    </w:rPr>
  </w:style>
  <w:style w:type="character" w:customStyle="1" w:styleId="normaltextrun">
    <w:name w:val="normaltextrun"/>
    <w:rsid w:val="00FF4DA6"/>
  </w:style>
  <w:style w:type="character" w:customStyle="1" w:styleId="eop">
    <w:name w:val="eop"/>
    <w:rsid w:val="00FF4DA6"/>
  </w:style>
  <w:style w:type="paragraph" w:styleId="Commentaire">
    <w:name w:val="annotation text"/>
    <w:basedOn w:val="Normal"/>
    <w:link w:val="CommentaireCar"/>
    <w:uiPriority w:val="99"/>
    <w:unhideWhenUsed/>
    <w:rsid w:val="00241E36"/>
    <w:rPr>
      <w:sz w:val="20"/>
      <w:szCs w:val="20"/>
      <w:lang w:eastAsia="fr-FR"/>
    </w:rPr>
  </w:style>
  <w:style w:type="character" w:customStyle="1" w:styleId="CommentaireCar">
    <w:name w:val="Commentaire Car"/>
    <w:basedOn w:val="Policepardfaut"/>
    <w:link w:val="Commentaire"/>
    <w:uiPriority w:val="99"/>
    <w:rsid w:val="00241E36"/>
    <w:rPr>
      <w:rFonts w:ascii="Times New Roman" w:eastAsia="Times New Roman" w:hAnsi="Times New Roman" w:cs="Times New Roman"/>
      <w:sz w:val="20"/>
      <w:szCs w:val="20"/>
      <w:lang w:eastAsia="fr-FR"/>
    </w:rPr>
  </w:style>
  <w:style w:type="paragraph" w:customStyle="1" w:styleId="-DiversLigneinvisibleGEDA">
    <w:name w:val="- Divers:Ligne invisible   GEDA"/>
    <w:rsid w:val="00241E36"/>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paragraph" w:customStyle="1" w:styleId="Notedebasdepage1">
    <w:name w:val="Note de bas de page1"/>
    <w:basedOn w:val="Normal"/>
    <w:next w:val="Notedebasdepage"/>
    <w:link w:val="NotedebasdepageCar"/>
    <w:uiPriority w:val="99"/>
    <w:semiHidden/>
    <w:unhideWhenUsed/>
    <w:rsid w:val="000946F2"/>
    <w:rPr>
      <w:rFonts w:eastAsiaTheme="minorHAnsi"/>
      <w:sz w:val="20"/>
      <w:szCs w:val="20"/>
      <w:lang w:eastAsia="en-US"/>
    </w:rPr>
  </w:style>
  <w:style w:type="character" w:customStyle="1" w:styleId="NotedebasdepageCar">
    <w:name w:val="Note de bas de page Car"/>
    <w:basedOn w:val="Policepardfaut"/>
    <w:link w:val="Notedebasdepage1"/>
    <w:uiPriority w:val="99"/>
    <w:semiHidden/>
    <w:rsid w:val="000946F2"/>
    <w:rPr>
      <w:rFonts w:ascii="Times New Roman" w:hAnsi="Times New Roman" w:cs="Times New Roman"/>
      <w:sz w:val="20"/>
      <w:szCs w:val="20"/>
    </w:rPr>
  </w:style>
  <w:style w:type="character" w:styleId="Appelnotedebasdep">
    <w:name w:val="footnote reference"/>
    <w:basedOn w:val="Policepardfaut"/>
    <w:uiPriority w:val="99"/>
    <w:semiHidden/>
    <w:unhideWhenUsed/>
    <w:rsid w:val="000946F2"/>
    <w:rPr>
      <w:vertAlign w:val="superscript"/>
    </w:rPr>
  </w:style>
  <w:style w:type="table" w:styleId="Tableausimple1">
    <w:name w:val="Plain Table 1"/>
    <w:basedOn w:val="TableauNormal"/>
    <w:uiPriority w:val="41"/>
    <w:rsid w:val="000946F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tedebasdepage">
    <w:name w:val="footnote text"/>
    <w:basedOn w:val="Normal"/>
    <w:link w:val="NotedebasdepageCar1"/>
    <w:uiPriority w:val="99"/>
    <w:semiHidden/>
    <w:unhideWhenUsed/>
    <w:rsid w:val="000946F2"/>
    <w:rPr>
      <w:sz w:val="20"/>
      <w:szCs w:val="20"/>
    </w:rPr>
  </w:style>
  <w:style w:type="character" w:customStyle="1" w:styleId="NotedebasdepageCar1">
    <w:name w:val="Note de bas de page Car1"/>
    <w:basedOn w:val="Policepardfaut"/>
    <w:link w:val="Notedebasdepage"/>
    <w:uiPriority w:val="99"/>
    <w:semiHidden/>
    <w:rsid w:val="000946F2"/>
    <w:rPr>
      <w:rFonts w:ascii="Times New Roman" w:eastAsia="Times New Roman" w:hAnsi="Times New Roman" w:cs="Times New Roman"/>
      <w:sz w:val="20"/>
      <w:szCs w:val="20"/>
      <w:lang w:eastAsia="es-ES"/>
    </w:rPr>
  </w:style>
  <w:style w:type="paragraph" w:customStyle="1" w:styleId="Normal1">
    <w:name w:val="Normal1"/>
    <w:basedOn w:val="Normal"/>
    <w:rsid w:val="007F664D"/>
    <w:rPr>
      <w:rFonts w:eastAsiaTheme="minorHAnsi"/>
      <w:lang w:eastAsia="fr-FR"/>
    </w:rPr>
  </w:style>
  <w:style w:type="paragraph" w:customStyle="1" w:styleId="-LettreSuiteORefPJGEDA">
    <w:name w:val="- Lettre:Suite O/Ref/PJ GEDA"/>
    <w:basedOn w:val="Normal"/>
    <w:rsid w:val="001560E0"/>
    <w:pPr>
      <w:overflowPunct w:val="0"/>
      <w:autoSpaceDE w:val="0"/>
      <w:autoSpaceDN w:val="0"/>
      <w:ind w:left="851"/>
      <w:jc w:val="both"/>
    </w:pPr>
    <w:rPr>
      <w:rFonts w:eastAsiaTheme="minorHAnsi"/>
      <w:lang w:eastAsia="fr-FR"/>
    </w:rPr>
  </w:style>
  <w:style w:type="paragraph" w:customStyle="1" w:styleId="-LettrehDestinataireadGEDA">
    <w:name w:val="- Lettre:h_Destinataire (ad)GEDA"/>
    <w:basedOn w:val="Normal"/>
    <w:rsid w:val="001560E0"/>
    <w:pPr>
      <w:overflowPunct w:val="0"/>
      <w:autoSpaceDE w:val="0"/>
      <w:autoSpaceDN w:val="0"/>
      <w:jc w:val="center"/>
    </w:pPr>
    <w:rPr>
      <w:rFonts w:eastAsiaTheme="minorHAnsi"/>
      <w:b/>
      <w:bCs/>
      <w:lang w:eastAsia="fr-FR"/>
    </w:rPr>
  </w:style>
  <w:style w:type="character" w:customStyle="1" w:styleId="Titre2Car">
    <w:name w:val="Titre 2 Car"/>
    <w:aliases w:val="TEXTE CM Car"/>
    <w:basedOn w:val="Policepardfaut"/>
    <w:link w:val="Titre2"/>
    <w:uiPriority w:val="9"/>
    <w:rsid w:val="00D74DED"/>
    <w:rPr>
      <w:rFonts w:ascii="Cambria" w:eastAsiaTheme="majorEastAsia" w:hAnsi="Cambria" w:cstheme="majorBidi"/>
      <w:b/>
      <w:sz w:val="24"/>
      <w:szCs w:val="26"/>
      <w:lang w:eastAsia="es-ES"/>
    </w:rPr>
  </w:style>
  <w:style w:type="character" w:styleId="lev">
    <w:name w:val="Strong"/>
    <w:basedOn w:val="Policepardfaut"/>
    <w:uiPriority w:val="22"/>
    <w:qFormat/>
    <w:rsid w:val="0087417F"/>
    <w:rPr>
      <w:b/>
      <w:bCs/>
    </w:rPr>
  </w:style>
  <w:style w:type="character" w:styleId="Accentuation">
    <w:name w:val="Emphasis"/>
    <w:basedOn w:val="Policepardfaut"/>
    <w:uiPriority w:val="20"/>
    <w:qFormat/>
    <w:rsid w:val="000360F8"/>
    <w:rPr>
      <w:i/>
      <w:iCs/>
    </w:rPr>
  </w:style>
  <w:style w:type="character" w:customStyle="1" w:styleId="Titre1Car">
    <w:name w:val="Titre 1 Car"/>
    <w:aliases w:val="MINISTERE Car"/>
    <w:basedOn w:val="Policepardfaut"/>
    <w:link w:val="Titre1"/>
    <w:uiPriority w:val="9"/>
    <w:rsid w:val="00816A9C"/>
    <w:rPr>
      <w:rFonts w:ascii="Cambria" w:eastAsiaTheme="majorEastAsia" w:hAnsi="Cambria" w:cstheme="majorBidi"/>
      <w:b/>
      <w:color w:val="000000" w:themeColor="text1"/>
      <w:sz w:val="28"/>
      <w:szCs w:val="32"/>
      <w:lang w:eastAsia="es-ES"/>
    </w:rPr>
  </w:style>
  <w:style w:type="paragraph" w:styleId="En-ttedetabledesmatires">
    <w:name w:val="TOC Heading"/>
    <w:basedOn w:val="Titre1"/>
    <w:next w:val="Normal"/>
    <w:uiPriority w:val="39"/>
    <w:unhideWhenUsed/>
    <w:qFormat/>
    <w:rsid w:val="00EF2616"/>
    <w:pPr>
      <w:spacing w:line="259" w:lineRule="auto"/>
      <w:outlineLvl w:val="9"/>
    </w:pPr>
    <w:rPr>
      <w:lang w:eastAsia="fr-FR"/>
    </w:rPr>
  </w:style>
  <w:style w:type="paragraph" w:styleId="TM2">
    <w:name w:val="toc 2"/>
    <w:basedOn w:val="Normal"/>
    <w:next w:val="Normal"/>
    <w:autoRedefine/>
    <w:uiPriority w:val="39"/>
    <w:unhideWhenUsed/>
    <w:rsid w:val="001E591D"/>
    <w:pPr>
      <w:numPr>
        <w:numId w:val="2"/>
      </w:numPr>
      <w:tabs>
        <w:tab w:val="right" w:leader="dot" w:pos="9062"/>
      </w:tabs>
      <w:spacing w:after="100" w:line="259" w:lineRule="auto"/>
    </w:pPr>
    <w:rPr>
      <w:rFonts w:asciiTheme="minorHAnsi" w:eastAsiaTheme="minorEastAsia" w:hAnsiTheme="minorHAnsi"/>
      <w:sz w:val="22"/>
      <w:szCs w:val="22"/>
      <w:lang w:eastAsia="fr-FR"/>
    </w:rPr>
  </w:style>
  <w:style w:type="paragraph" w:styleId="TM1">
    <w:name w:val="toc 1"/>
    <w:basedOn w:val="Normal"/>
    <w:next w:val="Normal"/>
    <w:autoRedefine/>
    <w:uiPriority w:val="39"/>
    <w:unhideWhenUsed/>
    <w:rsid w:val="007222AE"/>
    <w:pPr>
      <w:tabs>
        <w:tab w:val="right" w:leader="dot" w:pos="9062"/>
      </w:tabs>
      <w:spacing w:after="100" w:line="259" w:lineRule="auto"/>
    </w:pPr>
    <w:rPr>
      <w:rFonts w:ascii="Cambria" w:eastAsiaTheme="minorEastAsia" w:hAnsi="Cambria"/>
      <w:b/>
      <w:bCs/>
      <w:noProof/>
      <w:sz w:val="22"/>
      <w:szCs w:val="22"/>
      <w:lang w:eastAsia="fr-FR"/>
    </w:rPr>
  </w:style>
  <w:style w:type="paragraph" w:styleId="TM3">
    <w:name w:val="toc 3"/>
    <w:basedOn w:val="Normal"/>
    <w:next w:val="Normal"/>
    <w:autoRedefine/>
    <w:uiPriority w:val="39"/>
    <w:unhideWhenUsed/>
    <w:rsid w:val="00EF2616"/>
    <w:pPr>
      <w:spacing w:after="100" w:line="259" w:lineRule="auto"/>
      <w:ind w:left="440"/>
    </w:pPr>
    <w:rPr>
      <w:rFonts w:asciiTheme="minorHAnsi" w:eastAsiaTheme="minorEastAsia" w:hAnsiTheme="minorHAnsi"/>
      <w:sz w:val="22"/>
      <w:szCs w:val="22"/>
      <w:lang w:eastAsia="fr-FR"/>
    </w:rPr>
  </w:style>
  <w:style w:type="paragraph" w:styleId="En-tte">
    <w:name w:val="header"/>
    <w:basedOn w:val="Normal"/>
    <w:link w:val="En-tteCar"/>
    <w:uiPriority w:val="99"/>
    <w:unhideWhenUsed/>
    <w:rsid w:val="00261AEC"/>
    <w:pPr>
      <w:tabs>
        <w:tab w:val="center" w:pos="4536"/>
        <w:tab w:val="right" w:pos="9072"/>
      </w:tabs>
    </w:pPr>
  </w:style>
  <w:style w:type="character" w:customStyle="1" w:styleId="En-tteCar">
    <w:name w:val="En-tête Car"/>
    <w:basedOn w:val="Policepardfaut"/>
    <w:link w:val="En-tte"/>
    <w:uiPriority w:val="99"/>
    <w:rsid w:val="00261AEC"/>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261AEC"/>
    <w:pPr>
      <w:tabs>
        <w:tab w:val="center" w:pos="4536"/>
        <w:tab w:val="right" w:pos="9072"/>
      </w:tabs>
    </w:pPr>
  </w:style>
  <w:style w:type="character" w:customStyle="1" w:styleId="PieddepageCar">
    <w:name w:val="Pied de page Car"/>
    <w:basedOn w:val="Policepardfaut"/>
    <w:link w:val="Pieddepage"/>
    <w:uiPriority w:val="99"/>
    <w:rsid w:val="00261AEC"/>
    <w:rPr>
      <w:rFonts w:ascii="Times New Roman" w:eastAsia="Times New Roman" w:hAnsi="Times New Roman" w:cs="Times New Roman"/>
      <w:sz w:val="24"/>
      <w:szCs w:val="24"/>
      <w:lang w:eastAsia="es-ES"/>
    </w:rPr>
  </w:style>
  <w:style w:type="character" w:styleId="Mentionnonrsolue">
    <w:name w:val="Unresolved Mention"/>
    <w:basedOn w:val="Policepardfaut"/>
    <w:uiPriority w:val="99"/>
    <w:semiHidden/>
    <w:unhideWhenUsed/>
    <w:rsid w:val="00BB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069">
      <w:bodyDiv w:val="1"/>
      <w:marLeft w:val="0"/>
      <w:marRight w:val="0"/>
      <w:marTop w:val="0"/>
      <w:marBottom w:val="0"/>
      <w:divBdr>
        <w:top w:val="none" w:sz="0" w:space="0" w:color="auto"/>
        <w:left w:val="none" w:sz="0" w:space="0" w:color="auto"/>
        <w:bottom w:val="none" w:sz="0" w:space="0" w:color="auto"/>
        <w:right w:val="none" w:sz="0" w:space="0" w:color="auto"/>
      </w:divBdr>
    </w:div>
    <w:div w:id="33122345">
      <w:bodyDiv w:val="1"/>
      <w:marLeft w:val="0"/>
      <w:marRight w:val="0"/>
      <w:marTop w:val="0"/>
      <w:marBottom w:val="0"/>
      <w:divBdr>
        <w:top w:val="none" w:sz="0" w:space="0" w:color="auto"/>
        <w:left w:val="none" w:sz="0" w:space="0" w:color="auto"/>
        <w:bottom w:val="none" w:sz="0" w:space="0" w:color="auto"/>
        <w:right w:val="none" w:sz="0" w:space="0" w:color="auto"/>
      </w:divBdr>
    </w:div>
    <w:div w:id="52244379">
      <w:bodyDiv w:val="1"/>
      <w:marLeft w:val="0"/>
      <w:marRight w:val="0"/>
      <w:marTop w:val="0"/>
      <w:marBottom w:val="0"/>
      <w:divBdr>
        <w:top w:val="none" w:sz="0" w:space="0" w:color="auto"/>
        <w:left w:val="none" w:sz="0" w:space="0" w:color="auto"/>
        <w:bottom w:val="none" w:sz="0" w:space="0" w:color="auto"/>
        <w:right w:val="none" w:sz="0" w:space="0" w:color="auto"/>
      </w:divBdr>
    </w:div>
    <w:div w:id="55862106">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87119346">
      <w:bodyDiv w:val="1"/>
      <w:marLeft w:val="0"/>
      <w:marRight w:val="0"/>
      <w:marTop w:val="0"/>
      <w:marBottom w:val="0"/>
      <w:divBdr>
        <w:top w:val="none" w:sz="0" w:space="0" w:color="auto"/>
        <w:left w:val="none" w:sz="0" w:space="0" w:color="auto"/>
        <w:bottom w:val="none" w:sz="0" w:space="0" w:color="auto"/>
        <w:right w:val="none" w:sz="0" w:space="0" w:color="auto"/>
      </w:divBdr>
    </w:div>
    <w:div w:id="95103606">
      <w:bodyDiv w:val="1"/>
      <w:marLeft w:val="0"/>
      <w:marRight w:val="0"/>
      <w:marTop w:val="0"/>
      <w:marBottom w:val="0"/>
      <w:divBdr>
        <w:top w:val="none" w:sz="0" w:space="0" w:color="auto"/>
        <w:left w:val="none" w:sz="0" w:space="0" w:color="auto"/>
        <w:bottom w:val="none" w:sz="0" w:space="0" w:color="auto"/>
        <w:right w:val="none" w:sz="0" w:space="0" w:color="auto"/>
      </w:divBdr>
    </w:div>
    <w:div w:id="107624682">
      <w:bodyDiv w:val="1"/>
      <w:marLeft w:val="0"/>
      <w:marRight w:val="0"/>
      <w:marTop w:val="0"/>
      <w:marBottom w:val="0"/>
      <w:divBdr>
        <w:top w:val="none" w:sz="0" w:space="0" w:color="auto"/>
        <w:left w:val="none" w:sz="0" w:space="0" w:color="auto"/>
        <w:bottom w:val="none" w:sz="0" w:space="0" w:color="auto"/>
        <w:right w:val="none" w:sz="0" w:space="0" w:color="auto"/>
      </w:divBdr>
    </w:div>
    <w:div w:id="113719833">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7620744">
      <w:bodyDiv w:val="1"/>
      <w:marLeft w:val="0"/>
      <w:marRight w:val="0"/>
      <w:marTop w:val="0"/>
      <w:marBottom w:val="0"/>
      <w:divBdr>
        <w:top w:val="none" w:sz="0" w:space="0" w:color="auto"/>
        <w:left w:val="none" w:sz="0" w:space="0" w:color="auto"/>
        <w:bottom w:val="none" w:sz="0" w:space="0" w:color="auto"/>
        <w:right w:val="none" w:sz="0" w:space="0" w:color="auto"/>
      </w:divBdr>
    </w:div>
    <w:div w:id="172956446">
      <w:bodyDiv w:val="1"/>
      <w:marLeft w:val="0"/>
      <w:marRight w:val="0"/>
      <w:marTop w:val="0"/>
      <w:marBottom w:val="0"/>
      <w:divBdr>
        <w:top w:val="none" w:sz="0" w:space="0" w:color="auto"/>
        <w:left w:val="none" w:sz="0" w:space="0" w:color="auto"/>
        <w:bottom w:val="none" w:sz="0" w:space="0" w:color="auto"/>
        <w:right w:val="none" w:sz="0" w:space="0" w:color="auto"/>
      </w:divBdr>
    </w:div>
    <w:div w:id="220363396">
      <w:bodyDiv w:val="1"/>
      <w:marLeft w:val="0"/>
      <w:marRight w:val="0"/>
      <w:marTop w:val="0"/>
      <w:marBottom w:val="0"/>
      <w:divBdr>
        <w:top w:val="none" w:sz="0" w:space="0" w:color="auto"/>
        <w:left w:val="none" w:sz="0" w:space="0" w:color="auto"/>
        <w:bottom w:val="none" w:sz="0" w:space="0" w:color="auto"/>
        <w:right w:val="none" w:sz="0" w:space="0" w:color="auto"/>
      </w:divBdr>
    </w:div>
    <w:div w:id="229124835">
      <w:bodyDiv w:val="1"/>
      <w:marLeft w:val="0"/>
      <w:marRight w:val="0"/>
      <w:marTop w:val="0"/>
      <w:marBottom w:val="0"/>
      <w:divBdr>
        <w:top w:val="none" w:sz="0" w:space="0" w:color="auto"/>
        <w:left w:val="none" w:sz="0" w:space="0" w:color="auto"/>
        <w:bottom w:val="none" w:sz="0" w:space="0" w:color="auto"/>
        <w:right w:val="none" w:sz="0" w:space="0" w:color="auto"/>
      </w:divBdr>
    </w:div>
    <w:div w:id="233777986">
      <w:bodyDiv w:val="1"/>
      <w:marLeft w:val="0"/>
      <w:marRight w:val="0"/>
      <w:marTop w:val="0"/>
      <w:marBottom w:val="0"/>
      <w:divBdr>
        <w:top w:val="none" w:sz="0" w:space="0" w:color="auto"/>
        <w:left w:val="none" w:sz="0" w:space="0" w:color="auto"/>
        <w:bottom w:val="none" w:sz="0" w:space="0" w:color="auto"/>
        <w:right w:val="none" w:sz="0" w:space="0" w:color="auto"/>
      </w:divBdr>
    </w:div>
    <w:div w:id="270475821">
      <w:bodyDiv w:val="1"/>
      <w:marLeft w:val="0"/>
      <w:marRight w:val="0"/>
      <w:marTop w:val="0"/>
      <w:marBottom w:val="0"/>
      <w:divBdr>
        <w:top w:val="none" w:sz="0" w:space="0" w:color="auto"/>
        <w:left w:val="none" w:sz="0" w:space="0" w:color="auto"/>
        <w:bottom w:val="none" w:sz="0" w:space="0" w:color="auto"/>
        <w:right w:val="none" w:sz="0" w:space="0" w:color="auto"/>
      </w:divBdr>
    </w:div>
    <w:div w:id="276716710">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11368035">
      <w:bodyDiv w:val="1"/>
      <w:marLeft w:val="0"/>
      <w:marRight w:val="0"/>
      <w:marTop w:val="0"/>
      <w:marBottom w:val="0"/>
      <w:divBdr>
        <w:top w:val="none" w:sz="0" w:space="0" w:color="auto"/>
        <w:left w:val="none" w:sz="0" w:space="0" w:color="auto"/>
        <w:bottom w:val="none" w:sz="0" w:space="0" w:color="auto"/>
        <w:right w:val="none" w:sz="0" w:space="0" w:color="auto"/>
      </w:divBdr>
    </w:div>
    <w:div w:id="331185038">
      <w:bodyDiv w:val="1"/>
      <w:marLeft w:val="0"/>
      <w:marRight w:val="0"/>
      <w:marTop w:val="0"/>
      <w:marBottom w:val="0"/>
      <w:divBdr>
        <w:top w:val="none" w:sz="0" w:space="0" w:color="auto"/>
        <w:left w:val="none" w:sz="0" w:space="0" w:color="auto"/>
        <w:bottom w:val="none" w:sz="0" w:space="0" w:color="auto"/>
        <w:right w:val="none" w:sz="0" w:space="0" w:color="auto"/>
      </w:divBdr>
    </w:div>
    <w:div w:id="348719378">
      <w:bodyDiv w:val="1"/>
      <w:marLeft w:val="0"/>
      <w:marRight w:val="0"/>
      <w:marTop w:val="0"/>
      <w:marBottom w:val="0"/>
      <w:divBdr>
        <w:top w:val="none" w:sz="0" w:space="0" w:color="auto"/>
        <w:left w:val="none" w:sz="0" w:space="0" w:color="auto"/>
        <w:bottom w:val="none" w:sz="0" w:space="0" w:color="auto"/>
        <w:right w:val="none" w:sz="0" w:space="0" w:color="auto"/>
      </w:divBdr>
    </w:div>
    <w:div w:id="424304665">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82494115">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43848716">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03792119">
      <w:bodyDiv w:val="1"/>
      <w:marLeft w:val="0"/>
      <w:marRight w:val="0"/>
      <w:marTop w:val="0"/>
      <w:marBottom w:val="0"/>
      <w:divBdr>
        <w:top w:val="none" w:sz="0" w:space="0" w:color="auto"/>
        <w:left w:val="none" w:sz="0" w:space="0" w:color="auto"/>
        <w:bottom w:val="none" w:sz="0" w:space="0" w:color="auto"/>
        <w:right w:val="none" w:sz="0" w:space="0" w:color="auto"/>
      </w:divBdr>
    </w:div>
    <w:div w:id="761336105">
      <w:bodyDiv w:val="1"/>
      <w:marLeft w:val="0"/>
      <w:marRight w:val="0"/>
      <w:marTop w:val="0"/>
      <w:marBottom w:val="0"/>
      <w:divBdr>
        <w:top w:val="none" w:sz="0" w:space="0" w:color="auto"/>
        <w:left w:val="none" w:sz="0" w:space="0" w:color="auto"/>
        <w:bottom w:val="none" w:sz="0" w:space="0" w:color="auto"/>
        <w:right w:val="none" w:sz="0" w:space="0" w:color="auto"/>
      </w:divBdr>
    </w:div>
    <w:div w:id="834688425">
      <w:bodyDiv w:val="1"/>
      <w:marLeft w:val="0"/>
      <w:marRight w:val="0"/>
      <w:marTop w:val="0"/>
      <w:marBottom w:val="0"/>
      <w:divBdr>
        <w:top w:val="none" w:sz="0" w:space="0" w:color="auto"/>
        <w:left w:val="none" w:sz="0" w:space="0" w:color="auto"/>
        <w:bottom w:val="none" w:sz="0" w:space="0" w:color="auto"/>
        <w:right w:val="none" w:sz="0" w:space="0" w:color="auto"/>
      </w:divBdr>
    </w:div>
    <w:div w:id="871265556">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6400418">
      <w:bodyDiv w:val="1"/>
      <w:marLeft w:val="0"/>
      <w:marRight w:val="0"/>
      <w:marTop w:val="0"/>
      <w:marBottom w:val="0"/>
      <w:divBdr>
        <w:top w:val="none" w:sz="0" w:space="0" w:color="auto"/>
        <w:left w:val="none" w:sz="0" w:space="0" w:color="auto"/>
        <w:bottom w:val="none" w:sz="0" w:space="0" w:color="auto"/>
        <w:right w:val="none" w:sz="0" w:space="0" w:color="auto"/>
      </w:divBdr>
    </w:div>
    <w:div w:id="937635657">
      <w:bodyDiv w:val="1"/>
      <w:marLeft w:val="0"/>
      <w:marRight w:val="0"/>
      <w:marTop w:val="0"/>
      <w:marBottom w:val="0"/>
      <w:divBdr>
        <w:top w:val="none" w:sz="0" w:space="0" w:color="auto"/>
        <w:left w:val="none" w:sz="0" w:space="0" w:color="auto"/>
        <w:bottom w:val="none" w:sz="0" w:space="0" w:color="auto"/>
        <w:right w:val="none" w:sz="0" w:space="0" w:color="auto"/>
      </w:divBdr>
    </w:div>
    <w:div w:id="948507244">
      <w:bodyDiv w:val="1"/>
      <w:marLeft w:val="0"/>
      <w:marRight w:val="0"/>
      <w:marTop w:val="0"/>
      <w:marBottom w:val="0"/>
      <w:divBdr>
        <w:top w:val="none" w:sz="0" w:space="0" w:color="auto"/>
        <w:left w:val="none" w:sz="0" w:space="0" w:color="auto"/>
        <w:bottom w:val="none" w:sz="0" w:space="0" w:color="auto"/>
        <w:right w:val="none" w:sz="0" w:space="0" w:color="auto"/>
      </w:divBdr>
    </w:div>
    <w:div w:id="987591399">
      <w:bodyDiv w:val="1"/>
      <w:marLeft w:val="0"/>
      <w:marRight w:val="0"/>
      <w:marTop w:val="0"/>
      <w:marBottom w:val="0"/>
      <w:divBdr>
        <w:top w:val="none" w:sz="0" w:space="0" w:color="auto"/>
        <w:left w:val="none" w:sz="0" w:space="0" w:color="auto"/>
        <w:bottom w:val="none" w:sz="0" w:space="0" w:color="auto"/>
        <w:right w:val="none" w:sz="0" w:space="0" w:color="auto"/>
      </w:divBdr>
    </w:div>
    <w:div w:id="995452385">
      <w:bodyDiv w:val="1"/>
      <w:marLeft w:val="0"/>
      <w:marRight w:val="0"/>
      <w:marTop w:val="0"/>
      <w:marBottom w:val="0"/>
      <w:divBdr>
        <w:top w:val="none" w:sz="0" w:space="0" w:color="auto"/>
        <w:left w:val="none" w:sz="0" w:space="0" w:color="auto"/>
        <w:bottom w:val="none" w:sz="0" w:space="0" w:color="auto"/>
        <w:right w:val="none" w:sz="0" w:space="0" w:color="auto"/>
      </w:divBdr>
    </w:div>
    <w:div w:id="1001470987">
      <w:bodyDiv w:val="1"/>
      <w:marLeft w:val="0"/>
      <w:marRight w:val="0"/>
      <w:marTop w:val="0"/>
      <w:marBottom w:val="0"/>
      <w:divBdr>
        <w:top w:val="none" w:sz="0" w:space="0" w:color="auto"/>
        <w:left w:val="none" w:sz="0" w:space="0" w:color="auto"/>
        <w:bottom w:val="none" w:sz="0" w:space="0" w:color="auto"/>
        <w:right w:val="none" w:sz="0" w:space="0" w:color="auto"/>
      </w:divBdr>
      <w:divsChild>
        <w:div w:id="1250042016">
          <w:marLeft w:val="0"/>
          <w:marRight w:val="0"/>
          <w:marTop w:val="0"/>
          <w:marBottom w:val="0"/>
          <w:divBdr>
            <w:top w:val="none" w:sz="0" w:space="0" w:color="auto"/>
            <w:left w:val="none" w:sz="0" w:space="0" w:color="auto"/>
            <w:bottom w:val="none" w:sz="0" w:space="0" w:color="auto"/>
            <w:right w:val="none" w:sz="0" w:space="0" w:color="auto"/>
          </w:divBdr>
        </w:div>
      </w:divsChild>
    </w:div>
    <w:div w:id="1012537568">
      <w:bodyDiv w:val="1"/>
      <w:marLeft w:val="0"/>
      <w:marRight w:val="0"/>
      <w:marTop w:val="0"/>
      <w:marBottom w:val="0"/>
      <w:divBdr>
        <w:top w:val="none" w:sz="0" w:space="0" w:color="auto"/>
        <w:left w:val="none" w:sz="0" w:space="0" w:color="auto"/>
        <w:bottom w:val="none" w:sz="0" w:space="0" w:color="auto"/>
        <w:right w:val="none" w:sz="0" w:space="0" w:color="auto"/>
      </w:divBdr>
    </w:div>
    <w:div w:id="1021661582">
      <w:bodyDiv w:val="1"/>
      <w:marLeft w:val="0"/>
      <w:marRight w:val="0"/>
      <w:marTop w:val="0"/>
      <w:marBottom w:val="0"/>
      <w:divBdr>
        <w:top w:val="none" w:sz="0" w:space="0" w:color="auto"/>
        <w:left w:val="none" w:sz="0" w:space="0" w:color="auto"/>
        <w:bottom w:val="none" w:sz="0" w:space="0" w:color="auto"/>
        <w:right w:val="none" w:sz="0" w:space="0" w:color="auto"/>
      </w:divBdr>
    </w:div>
    <w:div w:id="1025597820">
      <w:bodyDiv w:val="1"/>
      <w:marLeft w:val="0"/>
      <w:marRight w:val="0"/>
      <w:marTop w:val="0"/>
      <w:marBottom w:val="0"/>
      <w:divBdr>
        <w:top w:val="none" w:sz="0" w:space="0" w:color="auto"/>
        <w:left w:val="none" w:sz="0" w:space="0" w:color="auto"/>
        <w:bottom w:val="none" w:sz="0" w:space="0" w:color="auto"/>
        <w:right w:val="none" w:sz="0" w:space="0" w:color="auto"/>
      </w:divBdr>
      <w:divsChild>
        <w:div w:id="2145155589">
          <w:marLeft w:val="0"/>
          <w:marRight w:val="0"/>
          <w:marTop w:val="0"/>
          <w:marBottom w:val="0"/>
          <w:divBdr>
            <w:top w:val="none" w:sz="0" w:space="0" w:color="auto"/>
            <w:left w:val="none" w:sz="0" w:space="0" w:color="auto"/>
            <w:bottom w:val="none" w:sz="0" w:space="0" w:color="auto"/>
            <w:right w:val="none" w:sz="0" w:space="0" w:color="auto"/>
          </w:divBdr>
          <w:divsChild>
            <w:div w:id="9611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083">
      <w:bodyDiv w:val="1"/>
      <w:marLeft w:val="0"/>
      <w:marRight w:val="0"/>
      <w:marTop w:val="0"/>
      <w:marBottom w:val="0"/>
      <w:divBdr>
        <w:top w:val="none" w:sz="0" w:space="0" w:color="auto"/>
        <w:left w:val="none" w:sz="0" w:space="0" w:color="auto"/>
        <w:bottom w:val="none" w:sz="0" w:space="0" w:color="auto"/>
        <w:right w:val="none" w:sz="0" w:space="0" w:color="auto"/>
      </w:divBdr>
    </w:div>
    <w:div w:id="105187986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69616382">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25930852">
      <w:bodyDiv w:val="1"/>
      <w:marLeft w:val="0"/>
      <w:marRight w:val="0"/>
      <w:marTop w:val="0"/>
      <w:marBottom w:val="0"/>
      <w:divBdr>
        <w:top w:val="none" w:sz="0" w:space="0" w:color="auto"/>
        <w:left w:val="none" w:sz="0" w:space="0" w:color="auto"/>
        <w:bottom w:val="none" w:sz="0" w:space="0" w:color="auto"/>
        <w:right w:val="none" w:sz="0" w:space="0" w:color="auto"/>
      </w:divBdr>
    </w:div>
    <w:div w:id="1128356964">
      <w:bodyDiv w:val="1"/>
      <w:marLeft w:val="0"/>
      <w:marRight w:val="0"/>
      <w:marTop w:val="0"/>
      <w:marBottom w:val="0"/>
      <w:divBdr>
        <w:top w:val="none" w:sz="0" w:space="0" w:color="auto"/>
        <w:left w:val="none" w:sz="0" w:space="0" w:color="auto"/>
        <w:bottom w:val="none" w:sz="0" w:space="0" w:color="auto"/>
        <w:right w:val="none" w:sz="0" w:space="0" w:color="auto"/>
      </w:divBdr>
    </w:div>
    <w:div w:id="1144928017">
      <w:bodyDiv w:val="1"/>
      <w:marLeft w:val="0"/>
      <w:marRight w:val="0"/>
      <w:marTop w:val="0"/>
      <w:marBottom w:val="0"/>
      <w:divBdr>
        <w:top w:val="none" w:sz="0" w:space="0" w:color="auto"/>
        <w:left w:val="none" w:sz="0" w:space="0" w:color="auto"/>
        <w:bottom w:val="none" w:sz="0" w:space="0" w:color="auto"/>
        <w:right w:val="none" w:sz="0" w:space="0" w:color="auto"/>
      </w:divBdr>
    </w:div>
    <w:div w:id="1180392667">
      <w:bodyDiv w:val="1"/>
      <w:marLeft w:val="0"/>
      <w:marRight w:val="0"/>
      <w:marTop w:val="0"/>
      <w:marBottom w:val="0"/>
      <w:divBdr>
        <w:top w:val="none" w:sz="0" w:space="0" w:color="auto"/>
        <w:left w:val="none" w:sz="0" w:space="0" w:color="auto"/>
        <w:bottom w:val="none" w:sz="0" w:space="0" w:color="auto"/>
        <w:right w:val="none" w:sz="0" w:space="0" w:color="auto"/>
      </w:divBdr>
    </w:div>
    <w:div w:id="1182937944">
      <w:bodyDiv w:val="1"/>
      <w:marLeft w:val="0"/>
      <w:marRight w:val="0"/>
      <w:marTop w:val="0"/>
      <w:marBottom w:val="0"/>
      <w:divBdr>
        <w:top w:val="none" w:sz="0" w:space="0" w:color="auto"/>
        <w:left w:val="none" w:sz="0" w:space="0" w:color="auto"/>
        <w:bottom w:val="none" w:sz="0" w:space="0" w:color="auto"/>
        <w:right w:val="none" w:sz="0" w:space="0" w:color="auto"/>
      </w:divBdr>
    </w:div>
    <w:div w:id="1199275019">
      <w:bodyDiv w:val="1"/>
      <w:marLeft w:val="0"/>
      <w:marRight w:val="0"/>
      <w:marTop w:val="0"/>
      <w:marBottom w:val="0"/>
      <w:divBdr>
        <w:top w:val="none" w:sz="0" w:space="0" w:color="auto"/>
        <w:left w:val="none" w:sz="0" w:space="0" w:color="auto"/>
        <w:bottom w:val="none" w:sz="0" w:space="0" w:color="auto"/>
        <w:right w:val="none" w:sz="0" w:space="0" w:color="auto"/>
      </w:divBdr>
    </w:div>
    <w:div w:id="1245187849">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3808393">
      <w:bodyDiv w:val="1"/>
      <w:marLeft w:val="0"/>
      <w:marRight w:val="0"/>
      <w:marTop w:val="0"/>
      <w:marBottom w:val="0"/>
      <w:divBdr>
        <w:top w:val="none" w:sz="0" w:space="0" w:color="auto"/>
        <w:left w:val="none" w:sz="0" w:space="0" w:color="auto"/>
        <w:bottom w:val="none" w:sz="0" w:space="0" w:color="auto"/>
        <w:right w:val="none" w:sz="0" w:space="0" w:color="auto"/>
      </w:divBdr>
    </w:div>
    <w:div w:id="1298878778">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99744811">
      <w:bodyDiv w:val="1"/>
      <w:marLeft w:val="0"/>
      <w:marRight w:val="0"/>
      <w:marTop w:val="0"/>
      <w:marBottom w:val="0"/>
      <w:divBdr>
        <w:top w:val="none" w:sz="0" w:space="0" w:color="auto"/>
        <w:left w:val="none" w:sz="0" w:space="0" w:color="auto"/>
        <w:bottom w:val="none" w:sz="0" w:space="0" w:color="auto"/>
        <w:right w:val="none" w:sz="0" w:space="0" w:color="auto"/>
      </w:divBdr>
    </w:div>
    <w:div w:id="1419012817">
      <w:bodyDiv w:val="1"/>
      <w:marLeft w:val="0"/>
      <w:marRight w:val="0"/>
      <w:marTop w:val="0"/>
      <w:marBottom w:val="0"/>
      <w:divBdr>
        <w:top w:val="none" w:sz="0" w:space="0" w:color="auto"/>
        <w:left w:val="none" w:sz="0" w:space="0" w:color="auto"/>
        <w:bottom w:val="none" w:sz="0" w:space="0" w:color="auto"/>
        <w:right w:val="none" w:sz="0" w:space="0" w:color="auto"/>
      </w:divBdr>
    </w:div>
    <w:div w:id="1458914702">
      <w:bodyDiv w:val="1"/>
      <w:marLeft w:val="0"/>
      <w:marRight w:val="0"/>
      <w:marTop w:val="0"/>
      <w:marBottom w:val="0"/>
      <w:divBdr>
        <w:top w:val="none" w:sz="0" w:space="0" w:color="auto"/>
        <w:left w:val="none" w:sz="0" w:space="0" w:color="auto"/>
        <w:bottom w:val="none" w:sz="0" w:space="0" w:color="auto"/>
        <w:right w:val="none" w:sz="0" w:space="0" w:color="auto"/>
      </w:divBdr>
    </w:div>
    <w:div w:id="1474248079">
      <w:bodyDiv w:val="1"/>
      <w:marLeft w:val="0"/>
      <w:marRight w:val="0"/>
      <w:marTop w:val="0"/>
      <w:marBottom w:val="0"/>
      <w:divBdr>
        <w:top w:val="none" w:sz="0" w:space="0" w:color="auto"/>
        <w:left w:val="none" w:sz="0" w:space="0" w:color="auto"/>
        <w:bottom w:val="none" w:sz="0" w:space="0" w:color="auto"/>
        <w:right w:val="none" w:sz="0" w:space="0" w:color="auto"/>
      </w:divBdr>
      <w:divsChild>
        <w:div w:id="586503750">
          <w:marLeft w:val="0"/>
          <w:marRight w:val="0"/>
          <w:marTop w:val="0"/>
          <w:marBottom w:val="0"/>
          <w:divBdr>
            <w:top w:val="none" w:sz="0" w:space="0" w:color="auto"/>
            <w:left w:val="none" w:sz="0" w:space="0" w:color="auto"/>
            <w:bottom w:val="none" w:sz="0" w:space="0" w:color="auto"/>
            <w:right w:val="none" w:sz="0" w:space="0" w:color="auto"/>
          </w:divBdr>
          <w:divsChild>
            <w:div w:id="12880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88547622">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02702172">
      <w:bodyDiv w:val="1"/>
      <w:marLeft w:val="0"/>
      <w:marRight w:val="0"/>
      <w:marTop w:val="0"/>
      <w:marBottom w:val="0"/>
      <w:divBdr>
        <w:top w:val="none" w:sz="0" w:space="0" w:color="auto"/>
        <w:left w:val="none" w:sz="0" w:space="0" w:color="auto"/>
        <w:bottom w:val="none" w:sz="0" w:space="0" w:color="auto"/>
        <w:right w:val="none" w:sz="0" w:space="0" w:color="auto"/>
      </w:divBdr>
    </w:div>
    <w:div w:id="1517770816">
      <w:bodyDiv w:val="1"/>
      <w:marLeft w:val="0"/>
      <w:marRight w:val="0"/>
      <w:marTop w:val="0"/>
      <w:marBottom w:val="0"/>
      <w:divBdr>
        <w:top w:val="none" w:sz="0" w:space="0" w:color="auto"/>
        <w:left w:val="none" w:sz="0" w:space="0" w:color="auto"/>
        <w:bottom w:val="none" w:sz="0" w:space="0" w:color="auto"/>
        <w:right w:val="none" w:sz="0" w:space="0" w:color="auto"/>
      </w:divBdr>
    </w:div>
    <w:div w:id="1530221834">
      <w:bodyDiv w:val="1"/>
      <w:marLeft w:val="0"/>
      <w:marRight w:val="0"/>
      <w:marTop w:val="0"/>
      <w:marBottom w:val="0"/>
      <w:divBdr>
        <w:top w:val="none" w:sz="0" w:space="0" w:color="auto"/>
        <w:left w:val="none" w:sz="0" w:space="0" w:color="auto"/>
        <w:bottom w:val="none" w:sz="0" w:space="0" w:color="auto"/>
        <w:right w:val="none" w:sz="0" w:space="0" w:color="auto"/>
      </w:divBdr>
    </w:div>
    <w:div w:id="1562445808">
      <w:bodyDiv w:val="1"/>
      <w:marLeft w:val="0"/>
      <w:marRight w:val="0"/>
      <w:marTop w:val="0"/>
      <w:marBottom w:val="0"/>
      <w:divBdr>
        <w:top w:val="none" w:sz="0" w:space="0" w:color="auto"/>
        <w:left w:val="none" w:sz="0" w:space="0" w:color="auto"/>
        <w:bottom w:val="none" w:sz="0" w:space="0" w:color="auto"/>
        <w:right w:val="none" w:sz="0" w:space="0" w:color="auto"/>
      </w:divBdr>
    </w:div>
    <w:div w:id="1604221675">
      <w:bodyDiv w:val="1"/>
      <w:marLeft w:val="0"/>
      <w:marRight w:val="0"/>
      <w:marTop w:val="0"/>
      <w:marBottom w:val="0"/>
      <w:divBdr>
        <w:top w:val="none" w:sz="0" w:space="0" w:color="auto"/>
        <w:left w:val="none" w:sz="0" w:space="0" w:color="auto"/>
        <w:bottom w:val="none" w:sz="0" w:space="0" w:color="auto"/>
        <w:right w:val="none" w:sz="0" w:space="0" w:color="auto"/>
      </w:divBdr>
    </w:div>
    <w:div w:id="1610891202">
      <w:bodyDiv w:val="1"/>
      <w:marLeft w:val="0"/>
      <w:marRight w:val="0"/>
      <w:marTop w:val="0"/>
      <w:marBottom w:val="0"/>
      <w:divBdr>
        <w:top w:val="none" w:sz="0" w:space="0" w:color="auto"/>
        <w:left w:val="none" w:sz="0" w:space="0" w:color="auto"/>
        <w:bottom w:val="none" w:sz="0" w:space="0" w:color="auto"/>
        <w:right w:val="none" w:sz="0" w:space="0" w:color="auto"/>
      </w:divBdr>
    </w:div>
    <w:div w:id="1613900342">
      <w:bodyDiv w:val="1"/>
      <w:marLeft w:val="0"/>
      <w:marRight w:val="0"/>
      <w:marTop w:val="0"/>
      <w:marBottom w:val="0"/>
      <w:divBdr>
        <w:top w:val="none" w:sz="0" w:space="0" w:color="auto"/>
        <w:left w:val="none" w:sz="0" w:space="0" w:color="auto"/>
        <w:bottom w:val="none" w:sz="0" w:space="0" w:color="auto"/>
        <w:right w:val="none" w:sz="0" w:space="0" w:color="auto"/>
      </w:divBdr>
    </w:div>
    <w:div w:id="1618756159">
      <w:bodyDiv w:val="1"/>
      <w:marLeft w:val="0"/>
      <w:marRight w:val="0"/>
      <w:marTop w:val="0"/>
      <w:marBottom w:val="0"/>
      <w:divBdr>
        <w:top w:val="none" w:sz="0" w:space="0" w:color="auto"/>
        <w:left w:val="none" w:sz="0" w:space="0" w:color="auto"/>
        <w:bottom w:val="none" w:sz="0" w:space="0" w:color="auto"/>
        <w:right w:val="none" w:sz="0" w:space="0" w:color="auto"/>
      </w:divBdr>
    </w:div>
    <w:div w:id="1631279431">
      <w:bodyDiv w:val="1"/>
      <w:marLeft w:val="0"/>
      <w:marRight w:val="0"/>
      <w:marTop w:val="0"/>
      <w:marBottom w:val="0"/>
      <w:divBdr>
        <w:top w:val="none" w:sz="0" w:space="0" w:color="auto"/>
        <w:left w:val="none" w:sz="0" w:space="0" w:color="auto"/>
        <w:bottom w:val="none" w:sz="0" w:space="0" w:color="auto"/>
        <w:right w:val="none" w:sz="0" w:space="0" w:color="auto"/>
      </w:divBdr>
    </w:div>
    <w:div w:id="1645960912">
      <w:bodyDiv w:val="1"/>
      <w:marLeft w:val="0"/>
      <w:marRight w:val="0"/>
      <w:marTop w:val="0"/>
      <w:marBottom w:val="0"/>
      <w:divBdr>
        <w:top w:val="none" w:sz="0" w:space="0" w:color="auto"/>
        <w:left w:val="none" w:sz="0" w:space="0" w:color="auto"/>
        <w:bottom w:val="none" w:sz="0" w:space="0" w:color="auto"/>
        <w:right w:val="none" w:sz="0" w:space="0" w:color="auto"/>
      </w:divBdr>
    </w:div>
    <w:div w:id="1650205492">
      <w:bodyDiv w:val="1"/>
      <w:marLeft w:val="0"/>
      <w:marRight w:val="0"/>
      <w:marTop w:val="0"/>
      <w:marBottom w:val="0"/>
      <w:divBdr>
        <w:top w:val="none" w:sz="0" w:space="0" w:color="auto"/>
        <w:left w:val="none" w:sz="0" w:space="0" w:color="auto"/>
        <w:bottom w:val="none" w:sz="0" w:space="0" w:color="auto"/>
        <w:right w:val="none" w:sz="0" w:space="0" w:color="auto"/>
      </w:divBdr>
    </w:div>
    <w:div w:id="1653676844">
      <w:bodyDiv w:val="1"/>
      <w:marLeft w:val="0"/>
      <w:marRight w:val="0"/>
      <w:marTop w:val="0"/>
      <w:marBottom w:val="0"/>
      <w:divBdr>
        <w:top w:val="none" w:sz="0" w:space="0" w:color="auto"/>
        <w:left w:val="none" w:sz="0" w:space="0" w:color="auto"/>
        <w:bottom w:val="none" w:sz="0" w:space="0" w:color="auto"/>
        <w:right w:val="none" w:sz="0" w:space="0" w:color="auto"/>
      </w:divBdr>
    </w:div>
    <w:div w:id="1666080825">
      <w:bodyDiv w:val="1"/>
      <w:marLeft w:val="0"/>
      <w:marRight w:val="0"/>
      <w:marTop w:val="0"/>
      <w:marBottom w:val="0"/>
      <w:divBdr>
        <w:top w:val="none" w:sz="0" w:space="0" w:color="auto"/>
        <w:left w:val="none" w:sz="0" w:space="0" w:color="auto"/>
        <w:bottom w:val="none" w:sz="0" w:space="0" w:color="auto"/>
        <w:right w:val="none" w:sz="0" w:space="0" w:color="auto"/>
      </w:divBdr>
    </w:div>
    <w:div w:id="1685863015">
      <w:bodyDiv w:val="1"/>
      <w:marLeft w:val="0"/>
      <w:marRight w:val="0"/>
      <w:marTop w:val="0"/>
      <w:marBottom w:val="0"/>
      <w:divBdr>
        <w:top w:val="none" w:sz="0" w:space="0" w:color="auto"/>
        <w:left w:val="none" w:sz="0" w:space="0" w:color="auto"/>
        <w:bottom w:val="none" w:sz="0" w:space="0" w:color="auto"/>
        <w:right w:val="none" w:sz="0" w:space="0" w:color="auto"/>
      </w:divBdr>
    </w:div>
    <w:div w:id="1694645472">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40592913">
      <w:bodyDiv w:val="1"/>
      <w:marLeft w:val="0"/>
      <w:marRight w:val="0"/>
      <w:marTop w:val="0"/>
      <w:marBottom w:val="0"/>
      <w:divBdr>
        <w:top w:val="none" w:sz="0" w:space="0" w:color="auto"/>
        <w:left w:val="none" w:sz="0" w:space="0" w:color="auto"/>
        <w:bottom w:val="none" w:sz="0" w:space="0" w:color="auto"/>
        <w:right w:val="none" w:sz="0" w:space="0" w:color="auto"/>
      </w:divBdr>
    </w:div>
    <w:div w:id="1746956329">
      <w:bodyDiv w:val="1"/>
      <w:marLeft w:val="0"/>
      <w:marRight w:val="0"/>
      <w:marTop w:val="0"/>
      <w:marBottom w:val="0"/>
      <w:divBdr>
        <w:top w:val="none" w:sz="0" w:space="0" w:color="auto"/>
        <w:left w:val="none" w:sz="0" w:space="0" w:color="auto"/>
        <w:bottom w:val="none" w:sz="0" w:space="0" w:color="auto"/>
        <w:right w:val="none" w:sz="0" w:space="0" w:color="auto"/>
      </w:divBdr>
    </w:div>
    <w:div w:id="1786920323">
      <w:bodyDiv w:val="1"/>
      <w:marLeft w:val="0"/>
      <w:marRight w:val="0"/>
      <w:marTop w:val="0"/>
      <w:marBottom w:val="0"/>
      <w:divBdr>
        <w:top w:val="none" w:sz="0" w:space="0" w:color="auto"/>
        <w:left w:val="none" w:sz="0" w:space="0" w:color="auto"/>
        <w:bottom w:val="none" w:sz="0" w:space="0" w:color="auto"/>
        <w:right w:val="none" w:sz="0" w:space="0" w:color="auto"/>
      </w:divBdr>
    </w:div>
    <w:div w:id="1790591192">
      <w:bodyDiv w:val="1"/>
      <w:marLeft w:val="0"/>
      <w:marRight w:val="0"/>
      <w:marTop w:val="0"/>
      <w:marBottom w:val="0"/>
      <w:divBdr>
        <w:top w:val="none" w:sz="0" w:space="0" w:color="auto"/>
        <w:left w:val="none" w:sz="0" w:space="0" w:color="auto"/>
        <w:bottom w:val="none" w:sz="0" w:space="0" w:color="auto"/>
        <w:right w:val="none" w:sz="0" w:space="0" w:color="auto"/>
      </w:divBdr>
    </w:div>
    <w:div w:id="1846703868">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6626459">
      <w:bodyDiv w:val="1"/>
      <w:marLeft w:val="0"/>
      <w:marRight w:val="0"/>
      <w:marTop w:val="0"/>
      <w:marBottom w:val="0"/>
      <w:divBdr>
        <w:top w:val="none" w:sz="0" w:space="0" w:color="auto"/>
        <w:left w:val="none" w:sz="0" w:space="0" w:color="auto"/>
        <w:bottom w:val="none" w:sz="0" w:space="0" w:color="auto"/>
        <w:right w:val="none" w:sz="0" w:space="0" w:color="auto"/>
      </w:divBdr>
    </w:div>
    <w:div w:id="1907717861">
      <w:bodyDiv w:val="1"/>
      <w:marLeft w:val="0"/>
      <w:marRight w:val="0"/>
      <w:marTop w:val="0"/>
      <w:marBottom w:val="0"/>
      <w:divBdr>
        <w:top w:val="none" w:sz="0" w:space="0" w:color="auto"/>
        <w:left w:val="none" w:sz="0" w:space="0" w:color="auto"/>
        <w:bottom w:val="none" w:sz="0" w:space="0" w:color="auto"/>
        <w:right w:val="none" w:sz="0" w:space="0" w:color="auto"/>
      </w:divBdr>
    </w:div>
    <w:div w:id="1910533014">
      <w:bodyDiv w:val="1"/>
      <w:marLeft w:val="0"/>
      <w:marRight w:val="0"/>
      <w:marTop w:val="0"/>
      <w:marBottom w:val="0"/>
      <w:divBdr>
        <w:top w:val="none" w:sz="0" w:space="0" w:color="auto"/>
        <w:left w:val="none" w:sz="0" w:space="0" w:color="auto"/>
        <w:bottom w:val="none" w:sz="0" w:space="0" w:color="auto"/>
        <w:right w:val="none" w:sz="0" w:space="0" w:color="auto"/>
      </w:divBdr>
    </w:div>
    <w:div w:id="1941840395">
      <w:bodyDiv w:val="1"/>
      <w:marLeft w:val="0"/>
      <w:marRight w:val="0"/>
      <w:marTop w:val="0"/>
      <w:marBottom w:val="0"/>
      <w:divBdr>
        <w:top w:val="none" w:sz="0" w:space="0" w:color="auto"/>
        <w:left w:val="none" w:sz="0" w:space="0" w:color="auto"/>
        <w:bottom w:val="none" w:sz="0" w:space="0" w:color="auto"/>
        <w:right w:val="none" w:sz="0" w:space="0" w:color="auto"/>
      </w:divBdr>
    </w:div>
    <w:div w:id="2038847413">
      <w:bodyDiv w:val="1"/>
      <w:marLeft w:val="0"/>
      <w:marRight w:val="0"/>
      <w:marTop w:val="0"/>
      <w:marBottom w:val="0"/>
      <w:divBdr>
        <w:top w:val="none" w:sz="0" w:space="0" w:color="auto"/>
        <w:left w:val="none" w:sz="0" w:space="0" w:color="auto"/>
        <w:bottom w:val="none" w:sz="0" w:space="0" w:color="auto"/>
        <w:right w:val="none" w:sz="0" w:space="0" w:color="auto"/>
      </w:divBdr>
      <w:divsChild>
        <w:div w:id="1217160242">
          <w:marLeft w:val="0"/>
          <w:marRight w:val="0"/>
          <w:marTop w:val="0"/>
          <w:marBottom w:val="0"/>
          <w:divBdr>
            <w:top w:val="none" w:sz="0" w:space="0" w:color="auto"/>
            <w:left w:val="none" w:sz="0" w:space="0" w:color="auto"/>
            <w:bottom w:val="none" w:sz="0" w:space="0" w:color="auto"/>
            <w:right w:val="none" w:sz="0" w:space="0" w:color="auto"/>
          </w:divBdr>
          <w:divsChild>
            <w:div w:id="12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2826">
      <w:bodyDiv w:val="1"/>
      <w:marLeft w:val="0"/>
      <w:marRight w:val="0"/>
      <w:marTop w:val="0"/>
      <w:marBottom w:val="0"/>
      <w:divBdr>
        <w:top w:val="none" w:sz="0" w:space="0" w:color="auto"/>
        <w:left w:val="none" w:sz="0" w:space="0" w:color="auto"/>
        <w:bottom w:val="none" w:sz="0" w:space="0" w:color="auto"/>
        <w:right w:val="none" w:sz="0" w:space="0" w:color="auto"/>
      </w:divBdr>
      <w:divsChild>
        <w:div w:id="552011539">
          <w:marLeft w:val="0"/>
          <w:marRight w:val="255"/>
          <w:marTop w:val="0"/>
          <w:marBottom w:val="0"/>
          <w:divBdr>
            <w:top w:val="none" w:sz="0" w:space="0" w:color="auto"/>
            <w:left w:val="none" w:sz="0" w:space="0" w:color="auto"/>
            <w:bottom w:val="none" w:sz="0" w:space="0" w:color="auto"/>
            <w:right w:val="none" w:sz="0" w:space="0" w:color="auto"/>
          </w:divBdr>
          <w:divsChild>
            <w:div w:id="1937640239">
              <w:marLeft w:val="0"/>
              <w:marRight w:val="0"/>
              <w:marTop w:val="0"/>
              <w:marBottom w:val="0"/>
              <w:divBdr>
                <w:top w:val="none" w:sz="0" w:space="0" w:color="auto"/>
                <w:left w:val="none" w:sz="0" w:space="0" w:color="auto"/>
                <w:bottom w:val="none" w:sz="0" w:space="0" w:color="auto"/>
                <w:right w:val="none" w:sz="0" w:space="0" w:color="auto"/>
              </w:divBdr>
              <w:divsChild>
                <w:div w:id="1885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24669">
      <w:bodyDiv w:val="1"/>
      <w:marLeft w:val="0"/>
      <w:marRight w:val="0"/>
      <w:marTop w:val="0"/>
      <w:marBottom w:val="0"/>
      <w:divBdr>
        <w:top w:val="none" w:sz="0" w:space="0" w:color="auto"/>
        <w:left w:val="none" w:sz="0" w:space="0" w:color="auto"/>
        <w:bottom w:val="none" w:sz="0" w:space="0" w:color="auto"/>
        <w:right w:val="none" w:sz="0" w:space="0" w:color="auto"/>
      </w:divBdr>
    </w:div>
    <w:div w:id="2108426974">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pf/dsp/covid-19/pass-sanitaire/" TargetMode="External"/><Relationship Id="rId5" Type="http://schemas.openxmlformats.org/officeDocument/2006/relationships/webSettings" Target="webSettings.xml"/><Relationship Id="rId10" Type="http://schemas.openxmlformats.org/officeDocument/2006/relationships/hyperlink" Target="https://apc01.safelinks.protection.outlook.com/?url=https%3A%2F%2Ffr-fr.facebook.com%2FEspaceInfoEnergie%2F&amp;data=04%7C01%7CJenna.FOISSAC%40presidence.pf%7C954c0803c4c14dfb99ac08d9b95965c5%7C4b39f4c6084c45619aea7fd11603bfa3%7C0%7C0%7C637744615950838830%7CUnknown%7CTWFpbGZsb3d8eyJWIjoiMC4wLjAwMDAiLCJQIjoiV2luMzIiLCJBTiI6Ik1haWwiLCJXVCI6Mn0%3D%7C3000&amp;sdata=guA6ojwSWXQSdIEPWzZXG0emdT47GPpDrtTQM1jUFb8%3D&amp;reserved=0" TargetMode="External"/><Relationship Id="rId4" Type="http://schemas.openxmlformats.org/officeDocument/2006/relationships/settings" Target="settings.xml"/><Relationship Id="rId9" Type="http://schemas.openxmlformats.org/officeDocument/2006/relationships/hyperlink" Target="https://apc01.safelinks.protection.outlook.com/?url=https%3A%2F%2Fwww.infoenergie-polynesie.com%2F&amp;data=04%7C01%7CJenna.FOISSAC%40presidence.pf%7C954c0803c4c14dfb99ac08d9b95965c5%7C4b39f4c6084c45619aea7fd11603bfa3%7C0%7C0%7C637744615950526336%7CUnknown%7CTWFpbGZsb3d8eyJWIjoiMC4wLjAwMDAiLCJQIjoiV2luMzIiLCJBTiI6Ik1haWwiLCJXVCI6Mn0%3D%7C3000&amp;sdata=MZ3YuY899qwrf%2B4obdx7cK9U9k2eBWnIf6cuqt5oRs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8CAC-DAFF-4B75-ABB9-CEB3AB53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5767</Words>
  <Characters>31719</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Jenna JF. FOISSAC</cp:lastModifiedBy>
  <cp:revision>19</cp:revision>
  <cp:lastPrinted>2021-12-09T02:36:00Z</cp:lastPrinted>
  <dcterms:created xsi:type="dcterms:W3CDTF">2021-12-07T01:54:00Z</dcterms:created>
  <dcterms:modified xsi:type="dcterms:W3CDTF">2021-12-09T02:37:00Z</dcterms:modified>
</cp:coreProperties>
</file>