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D077BF" w:rsidRDefault="00625270" w:rsidP="00CF60AA">
      <w:pPr>
        <w:jc w:val="both"/>
        <w:rPr>
          <w:rFonts w:ascii="Cambria" w:hAnsi="Cambria"/>
          <w:lang w:eastAsia="fr-FR"/>
        </w:rPr>
      </w:pPr>
      <w:r w:rsidRPr="00D077BF">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D077BF">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1E+g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D077BF">
        <w:rPr>
          <w:rFonts w:ascii="Cambria" w:hAnsi="Cambria"/>
          <w:lang w:eastAsia="fr-FR"/>
        </w:rPr>
        <w:t xml:space="preserve"> </w:t>
      </w:r>
    </w:p>
    <w:p w14:paraId="5B96777C" w14:textId="77777777" w:rsidR="00625270" w:rsidRPr="00D077BF" w:rsidRDefault="00625270" w:rsidP="00CF60AA">
      <w:pPr>
        <w:jc w:val="both"/>
        <w:rPr>
          <w:rFonts w:ascii="Cambria" w:hAnsi="Cambria"/>
          <w:color w:val="993366"/>
        </w:rPr>
      </w:pPr>
    </w:p>
    <w:p w14:paraId="3672BD85" w14:textId="77777777" w:rsidR="00625270" w:rsidRPr="00D077BF" w:rsidRDefault="00625270" w:rsidP="00CF60AA">
      <w:pPr>
        <w:jc w:val="both"/>
        <w:rPr>
          <w:rFonts w:ascii="Cambria" w:hAnsi="Cambria"/>
          <w:color w:val="993366"/>
        </w:rPr>
      </w:pPr>
    </w:p>
    <w:p w14:paraId="6ADD5940" w14:textId="77777777" w:rsidR="00625270" w:rsidRPr="00D077BF" w:rsidRDefault="00625270" w:rsidP="00CF60AA">
      <w:pPr>
        <w:jc w:val="both"/>
        <w:rPr>
          <w:rFonts w:ascii="Cambria" w:hAnsi="Cambria"/>
          <w:color w:val="993366"/>
        </w:rPr>
      </w:pPr>
    </w:p>
    <w:p w14:paraId="48B5E675" w14:textId="77777777" w:rsidR="00625270" w:rsidRPr="00D077BF" w:rsidRDefault="00625270" w:rsidP="00CF60AA">
      <w:pPr>
        <w:jc w:val="both"/>
        <w:rPr>
          <w:rFonts w:ascii="Cambria" w:hAnsi="Cambria"/>
          <w:color w:val="993366"/>
        </w:rPr>
      </w:pPr>
    </w:p>
    <w:p w14:paraId="0556FA3D" w14:textId="77777777" w:rsidR="00625270" w:rsidRPr="00D077BF" w:rsidRDefault="00625270" w:rsidP="00CF60AA">
      <w:pPr>
        <w:tabs>
          <w:tab w:val="center" w:pos="4533"/>
          <w:tab w:val="left" w:pos="6544"/>
        </w:tabs>
        <w:jc w:val="both"/>
        <w:rPr>
          <w:rFonts w:ascii="Cambria" w:hAnsi="Cambria"/>
          <w:u w:val="single"/>
        </w:rPr>
      </w:pPr>
      <w:r w:rsidRPr="00D077BF">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D077BF" w:rsidRDefault="00625270" w:rsidP="00CF60AA">
      <w:pPr>
        <w:tabs>
          <w:tab w:val="left" w:pos="3240"/>
        </w:tabs>
        <w:jc w:val="center"/>
        <w:rPr>
          <w:rFonts w:ascii="Cambria" w:hAnsi="Cambria" w:cs="Arial"/>
          <w:b/>
        </w:rPr>
      </w:pPr>
      <w:r w:rsidRPr="00D077BF">
        <w:rPr>
          <w:rFonts w:ascii="Cambria" w:hAnsi="Cambria" w:cs="Arial"/>
          <w:b/>
        </w:rPr>
        <w:t>BUREAU DE LA COMMUNICATION</w:t>
      </w:r>
    </w:p>
    <w:p w14:paraId="48860829" w14:textId="5680BBFE" w:rsidR="00625270" w:rsidRPr="00D077BF" w:rsidRDefault="004C71F3" w:rsidP="00CF60AA">
      <w:pPr>
        <w:tabs>
          <w:tab w:val="left" w:pos="3240"/>
        </w:tabs>
        <w:jc w:val="center"/>
        <w:rPr>
          <w:rFonts w:ascii="Cambria" w:hAnsi="Cambria" w:cs="Arial"/>
          <w:b/>
          <w:i/>
        </w:rPr>
      </w:pPr>
      <w:r w:rsidRPr="00D077BF">
        <w:rPr>
          <w:rFonts w:ascii="Cambria" w:hAnsi="Cambria" w:cs="Arial"/>
          <w:b/>
          <w:i/>
        </w:rPr>
        <w:t>Mercredi</w:t>
      </w:r>
      <w:r w:rsidR="00625270" w:rsidRPr="00D077BF">
        <w:rPr>
          <w:rFonts w:ascii="Cambria" w:hAnsi="Cambria" w:cs="Arial"/>
          <w:b/>
          <w:i/>
        </w:rPr>
        <w:t xml:space="preserve"> </w:t>
      </w:r>
      <w:r w:rsidR="00614C68">
        <w:rPr>
          <w:rFonts w:ascii="Cambria" w:hAnsi="Cambria" w:cs="Arial"/>
          <w:b/>
          <w:i/>
        </w:rPr>
        <w:t>22</w:t>
      </w:r>
      <w:r w:rsidR="00D95AFF" w:rsidRPr="00D077BF">
        <w:rPr>
          <w:rFonts w:ascii="Cambria" w:hAnsi="Cambria" w:cs="Arial"/>
          <w:b/>
          <w:i/>
        </w:rPr>
        <w:t xml:space="preserve"> décembre</w:t>
      </w:r>
      <w:r w:rsidR="00625270" w:rsidRPr="00D077BF">
        <w:rPr>
          <w:rFonts w:ascii="Cambria" w:hAnsi="Cambria" w:cs="Arial"/>
          <w:b/>
          <w:i/>
        </w:rPr>
        <w:t xml:space="preserve"> 202</w:t>
      </w:r>
      <w:r w:rsidR="00456DD6" w:rsidRPr="00D077BF">
        <w:rPr>
          <w:rFonts w:ascii="Cambria" w:hAnsi="Cambria" w:cs="Arial"/>
          <w:b/>
          <w:i/>
        </w:rPr>
        <w:t>1</w:t>
      </w:r>
    </w:p>
    <w:p w14:paraId="58F3DB1E" w14:textId="77777777" w:rsidR="00625270" w:rsidRPr="00D077BF" w:rsidRDefault="00625270" w:rsidP="00CF60AA">
      <w:pPr>
        <w:tabs>
          <w:tab w:val="left" w:pos="3240"/>
        </w:tabs>
        <w:jc w:val="both"/>
        <w:rPr>
          <w:rFonts w:ascii="Cambria" w:hAnsi="Cambria"/>
        </w:rPr>
      </w:pPr>
      <w:r w:rsidRPr="00D077BF">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D077BF" w:rsidRDefault="00625270" w:rsidP="00CF60AA">
      <w:pPr>
        <w:overflowPunct w:val="0"/>
        <w:autoSpaceDE w:val="0"/>
        <w:autoSpaceDN w:val="0"/>
        <w:adjustRightInd w:val="0"/>
        <w:spacing w:before="120"/>
        <w:jc w:val="both"/>
        <w:rPr>
          <w:rFonts w:ascii="Cambria" w:hAnsi="Cambria"/>
          <w:b/>
          <w:lang w:eastAsia="fr-FR"/>
        </w:rPr>
      </w:pPr>
    </w:p>
    <w:p w14:paraId="268CA2B4" w14:textId="4574205D" w:rsidR="00D779A2" w:rsidRPr="00F35081" w:rsidRDefault="004C71F3" w:rsidP="00F35081">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D077BF">
        <w:rPr>
          <w:rFonts w:ascii="Cambria" w:hAnsi="Cambria"/>
          <w:b/>
        </w:rPr>
        <w:t>Compte rendu du Conseil des ministres</w:t>
      </w:r>
    </w:p>
    <w:p w14:paraId="16D6D3B3" w14:textId="4791503F" w:rsidR="00124E3A" w:rsidRDefault="00261AEC" w:rsidP="00CF60AA">
      <w:pPr>
        <w:widowControl w:val="0"/>
        <w:autoSpaceDE w:val="0"/>
        <w:autoSpaceDN w:val="0"/>
        <w:adjustRightInd w:val="0"/>
        <w:spacing w:before="120"/>
        <w:jc w:val="both"/>
        <w:rPr>
          <w:rFonts w:ascii="Cambria" w:hAnsi="Cambria"/>
          <w:lang w:eastAsia="fr-FR"/>
        </w:rPr>
      </w:pPr>
      <w:r w:rsidRPr="00D077BF">
        <w:rPr>
          <w:rFonts w:ascii="Cambria" w:hAnsi="Cambria"/>
          <w:lang w:eastAsia="fr-FR"/>
        </w:rPr>
        <w:t xml:space="preserve">Le Conseil des ministres s’est réuni ce mercredi </w:t>
      </w:r>
      <w:r w:rsidR="00614C68">
        <w:rPr>
          <w:rFonts w:ascii="Cambria" w:hAnsi="Cambria"/>
          <w:lang w:eastAsia="fr-FR"/>
        </w:rPr>
        <w:t>22</w:t>
      </w:r>
      <w:r w:rsidR="00D95AFF" w:rsidRPr="00D077BF">
        <w:rPr>
          <w:rFonts w:ascii="Cambria" w:hAnsi="Cambria"/>
          <w:lang w:eastAsia="fr-FR"/>
        </w:rPr>
        <w:t xml:space="preserve"> décembre</w:t>
      </w:r>
      <w:r w:rsidRPr="00D077BF">
        <w:rPr>
          <w:rFonts w:ascii="Cambria" w:hAnsi="Cambria"/>
          <w:lang w:eastAsia="fr-FR"/>
        </w:rPr>
        <w:t xml:space="preserve"> 2021.</w:t>
      </w:r>
      <w:r w:rsidR="006E08F8" w:rsidRPr="00D077BF">
        <w:rPr>
          <w:rFonts w:ascii="Cambria" w:hAnsi="Cambria"/>
          <w:lang w:eastAsia="fr-FR"/>
        </w:rPr>
        <w:t xml:space="preserve"> </w:t>
      </w:r>
      <w:r w:rsidRPr="00D077BF">
        <w:rPr>
          <w:rFonts w:ascii="Cambria" w:hAnsi="Cambria"/>
          <w:lang w:eastAsia="fr-FR"/>
        </w:rPr>
        <w:t>Parmi les dossiers examinés, il a adopté les dossiers suivants</w:t>
      </w:r>
      <w:r w:rsidR="004F6EBC" w:rsidRPr="00D077BF">
        <w:rPr>
          <w:rFonts w:ascii="Cambria" w:hAnsi="Cambria"/>
          <w:lang w:eastAsia="fr-FR"/>
        </w:rPr>
        <w:t xml:space="preserve"> (lien du sommaire </w:t>
      </w:r>
      <w:r w:rsidR="00566602" w:rsidRPr="00D077BF">
        <w:rPr>
          <w:rFonts w:ascii="Cambria" w:hAnsi="Cambria"/>
          <w:lang w:eastAsia="fr-FR"/>
        </w:rPr>
        <w:t>interactif</w:t>
      </w:r>
      <w:r w:rsidR="004F6EBC" w:rsidRPr="00D077BF">
        <w:rPr>
          <w:rFonts w:ascii="Cambria" w:hAnsi="Cambria"/>
          <w:lang w:eastAsia="fr-FR"/>
        </w:rPr>
        <w:t>)</w:t>
      </w:r>
      <w:r w:rsidRPr="00D077BF">
        <w:rPr>
          <w:rFonts w:ascii="Cambria" w:hAnsi="Cambria"/>
          <w:lang w:eastAsia="fr-FR"/>
        </w:rPr>
        <w:t> :</w:t>
      </w:r>
      <w:r w:rsidR="001B0339" w:rsidRPr="00D077BF">
        <w:rPr>
          <w:rFonts w:ascii="Cambria" w:hAnsi="Cambria"/>
          <w:lang w:eastAsia="fr-FR"/>
        </w:rPr>
        <w:t xml:space="preserve"> </w:t>
      </w:r>
    </w:p>
    <w:p w14:paraId="54867645" w14:textId="77777777" w:rsidR="00F35081" w:rsidRPr="00D077BF" w:rsidRDefault="00F35081" w:rsidP="00CF60AA">
      <w:pPr>
        <w:widowControl w:val="0"/>
        <w:autoSpaceDE w:val="0"/>
        <w:autoSpaceDN w:val="0"/>
        <w:adjustRightInd w:val="0"/>
        <w:spacing w:before="120"/>
        <w:jc w:val="both"/>
        <w:rPr>
          <w:rFonts w:ascii="Cambria" w:hAnsi="Cambria"/>
          <w:lang w:eastAsia="fr-FR"/>
        </w:rPr>
      </w:pPr>
    </w:p>
    <w:sdt>
      <w:sdtPr>
        <w:rPr>
          <w:rFonts w:ascii="Times New Roman" w:eastAsia="Times New Roman" w:hAnsi="Times New Roman"/>
          <w:b w:val="0"/>
          <w:bCs w:val="0"/>
          <w:noProof w:val="0"/>
          <w:sz w:val="24"/>
          <w:szCs w:val="24"/>
          <w:lang w:eastAsia="es-ES"/>
        </w:rPr>
        <w:id w:val="-1045363697"/>
        <w:docPartObj>
          <w:docPartGallery w:val="Table of Contents"/>
          <w:docPartUnique/>
        </w:docPartObj>
      </w:sdtPr>
      <w:sdtEndPr/>
      <w:sdtContent>
        <w:p w14:paraId="48F51DE9" w14:textId="0BC0EEE0" w:rsidR="000940D6" w:rsidRDefault="0065694E">
          <w:pPr>
            <w:pStyle w:val="TM1"/>
            <w:rPr>
              <w:rFonts w:asciiTheme="minorHAnsi" w:hAnsiTheme="minorHAnsi" w:cstheme="minorBidi"/>
              <w:b w:val="0"/>
              <w:bCs w:val="0"/>
            </w:rPr>
          </w:pPr>
          <w:r w:rsidRPr="00F35081">
            <w:rPr>
              <w:sz w:val="16"/>
              <w:szCs w:val="16"/>
            </w:rPr>
            <w:fldChar w:fldCharType="begin"/>
          </w:r>
          <w:r w:rsidRPr="00F35081">
            <w:rPr>
              <w:sz w:val="16"/>
              <w:szCs w:val="16"/>
            </w:rPr>
            <w:instrText xml:space="preserve"> TOC \o "1-3" \h \z \u </w:instrText>
          </w:r>
          <w:r w:rsidRPr="00F35081">
            <w:rPr>
              <w:sz w:val="16"/>
              <w:szCs w:val="16"/>
            </w:rPr>
            <w:fldChar w:fldCharType="separate"/>
          </w:r>
          <w:hyperlink w:anchor="_Toc91082750" w:history="1">
            <w:r w:rsidR="000940D6" w:rsidRPr="00EB476A">
              <w:rPr>
                <w:rStyle w:val="Lienhypertexte"/>
              </w:rPr>
              <w:t>PR</w:t>
            </w:r>
            <w:r w:rsidR="00822AA1">
              <w:rPr>
                <w:rStyle w:val="Lienhypertexte"/>
              </w:rPr>
              <w:t xml:space="preserve"> - Président</w:t>
            </w:r>
            <w:r w:rsidR="000940D6">
              <w:rPr>
                <w:webHidden/>
              </w:rPr>
              <w:tab/>
            </w:r>
            <w:r w:rsidR="000940D6">
              <w:rPr>
                <w:webHidden/>
              </w:rPr>
              <w:fldChar w:fldCharType="begin"/>
            </w:r>
            <w:r w:rsidR="000940D6">
              <w:rPr>
                <w:webHidden/>
              </w:rPr>
              <w:instrText xml:space="preserve"> PAGEREF _Toc91082750 \h </w:instrText>
            </w:r>
            <w:r w:rsidR="000940D6">
              <w:rPr>
                <w:webHidden/>
              </w:rPr>
            </w:r>
            <w:r w:rsidR="000940D6">
              <w:rPr>
                <w:webHidden/>
              </w:rPr>
              <w:fldChar w:fldCharType="separate"/>
            </w:r>
            <w:r w:rsidR="0036493F">
              <w:rPr>
                <w:webHidden/>
              </w:rPr>
              <w:t>2</w:t>
            </w:r>
            <w:r w:rsidR="000940D6">
              <w:rPr>
                <w:webHidden/>
              </w:rPr>
              <w:fldChar w:fldCharType="end"/>
            </w:r>
          </w:hyperlink>
        </w:p>
        <w:p w14:paraId="7E8945D6" w14:textId="29D470FE" w:rsidR="000940D6" w:rsidRDefault="000940D6">
          <w:pPr>
            <w:pStyle w:val="TM2"/>
            <w:rPr>
              <w:rFonts w:cstheme="minorBidi"/>
              <w:noProof/>
            </w:rPr>
          </w:pPr>
          <w:hyperlink w:anchor="_Toc91082751" w:history="1">
            <w:r w:rsidRPr="00EB476A">
              <w:rPr>
                <w:rStyle w:val="Lienhypertexte"/>
                <w:noProof/>
              </w:rPr>
              <w:t>Evolution du réseau satellite domestique dans les Archipels éloignés</w:t>
            </w:r>
            <w:r>
              <w:rPr>
                <w:noProof/>
                <w:webHidden/>
              </w:rPr>
              <w:tab/>
            </w:r>
            <w:r>
              <w:rPr>
                <w:noProof/>
                <w:webHidden/>
              </w:rPr>
              <w:fldChar w:fldCharType="begin"/>
            </w:r>
            <w:r>
              <w:rPr>
                <w:noProof/>
                <w:webHidden/>
              </w:rPr>
              <w:instrText xml:space="preserve"> PAGEREF _Toc91082751 \h </w:instrText>
            </w:r>
            <w:r>
              <w:rPr>
                <w:noProof/>
                <w:webHidden/>
              </w:rPr>
            </w:r>
            <w:r>
              <w:rPr>
                <w:noProof/>
                <w:webHidden/>
              </w:rPr>
              <w:fldChar w:fldCharType="separate"/>
            </w:r>
            <w:r w:rsidR="0036493F">
              <w:rPr>
                <w:noProof/>
                <w:webHidden/>
              </w:rPr>
              <w:t>2</w:t>
            </w:r>
            <w:r>
              <w:rPr>
                <w:noProof/>
                <w:webHidden/>
              </w:rPr>
              <w:fldChar w:fldCharType="end"/>
            </w:r>
          </w:hyperlink>
        </w:p>
        <w:p w14:paraId="73492CE8" w14:textId="471BFAFD" w:rsidR="000940D6" w:rsidRDefault="000940D6">
          <w:pPr>
            <w:pStyle w:val="TM2"/>
            <w:rPr>
              <w:rFonts w:cstheme="minorBidi"/>
              <w:noProof/>
            </w:rPr>
          </w:pPr>
          <w:hyperlink w:anchor="_Toc91082752" w:history="1">
            <w:r w:rsidRPr="00EB476A">
              <w:rPr>
                <w:rStyle w:val="Lienhypertexte"/>
                <w:noProof/>
              </w:rPr>
              <w:t>Utilisation du réseau Vini par Vodafone sur les îles de Raiatea et Huahine</w:t>
            </w:r>
            <w:r>
              <w:rPr>
                <w:noProof/>
                <w:webHidden/>
              </w:rPr>
              <w:tab/>
            </w:r>
            <w:r>
              <w:rPr>
                <w:noProof/>
                <w:webHidden/>
              </w:rPr>
              <w:fldChar w:fldCharType="begin"/>
            </w:r>
            <w:r>
              <w:rPr>
                <w:noProof/>
                <w:webHidden/>
              </w:rPr>
              <w:instrText xml:space="preserve"> PAGEREF _Toc91082752 \h </w:instrText>
            </w:r>
            <w:r>
              <w:rPr>
                <w:noProof/>
                <w:webHidden/>
              </w:rPr>
            </w:r>
            <w:r>
              <w:rPr>
                <w:noProof/>
                <w:webHidden/>
              </w:rPr>
              <w:fldChar w:fldCharType="separate"/>
            </w:r>
            <w:r w:rsidR="0036493F">
              <w:rPr>
                <w:noProof/>
                <w:webHidden/>
              </w:rPr>
              <w:t>2</w:t>
            </w:r>
            <w:r>
              <w:rPr>
                <w:noProof/>
                <w:webHidden/>
              </w:rPr>
              <w:fldChar w:fldCharType="end"/>
            </w:r>
          </w:hyperlink>
        </w:p>
        <w:p w14:paraId="594CBE62" w14:textId="058655E9" w:rsidR="000940D6" w:rsidRDefault="000940D6">
          <w:pPr>
            <w:pStyle w:val="TM1"/>
            <w:rPr>
              <w:rFonts w:asciiTheme="minorHAnsi" w:hAnsiTheme="minorHAnsi" w:cstheme="minorBidi"/>
              <w:b w:val="0"/>
              <w:bCs w:val="0"/>
            </w:rPr>
          </w:pPr>
          <w:hyperlink w:anchor="_Toc91082753" w:history="1">
            <w:r w:rsidRPr="00EB476A">
              <w:rPr>
                <w:rStyle w:val="Lienhypertexte"/>
              </w:rPr>
              <w:t>VP</w:t>
            </w:r>
            <w:r w:rsidR="00822AA1">
              <w:rPr>
                <w:rStyle w:val="Lienhypertexte"/>
              </w:rPr>
              <w:t xml:space="preserve"> </w:t>
            </w:r>
            <w:r w:rsidRPr="00EB476A">
              <w:rPr>
                <w:rStyle w:val="Lienhypertexte"/>
              </w:rPr>
              <w:t>-</w:t>
            </w:r>
            <w:r w:rsidR="00822AA1">
              <w:rPr>
                <w:rStyle w:val="Lienhypertexte"/>
              </w:rPr>
              <w:t xml:space="preserve"> Vice-président, ministre du Logement et de l’aménagement</w:t>
            </w:r>
            <w:r>
              <w:rPr>
                <w:webHidden/>
              </w:rPr>
              <w:tab/>
            </w:r>
            <w:r>
              <w:rPr>
                <w:webHidden/>
              </w:rPr>
              <w:fldChar w:fldCharType="begin"/>
            </w:r>
            <w:r>
              <w:rPr>
                <w:webHidden/>
              </w:rPr>
              <w:instrText xml:space="preserve"> PAGEREF _Toc91082753 \h </w:instrText>
            </w:r>
            <w:r>
              <w:rPr>
                <w:webHidden/>
              </w:rPr>
            </w:r>
            <w:r>
              <w:rPr>
                <w:webHidden/>
              </w:rPr>
              <w:fldChar w:fldCharType="separate"/>
            </w:r>
            <w:r w:rsidR="0036493F">
              <w:rPr>
                <w:webHidden/>
              </w:rPr>
              <w:t>3</w:t>
            </w:r>
            <w:r>
              <w:rPr>
                <w:webHidden/>
              </w:rPr>
              <w:fldChar w:fldCharType="end"/>
            </w:r>
          </w:hyperlink>
        </w:p>
        <w:p w14:paraId="7030AA6A" w14:textId="7DCEBA1E" w:rsidR="000940D6" w:rsidRDefault="000940D6">
          <w:pPr>
            <w:pStyle w:val="TM2"/>
            <w:rPr>
              <w:rFonts w:cstheme="minorBidi"/>
              <w:noProof/>
            </w:rPr>
          </w:pPr>
          <w:hyperlink w:anchor="_Toc91082754" w:history="1">
            <w:r w:rsidRPr="00EB476A">
              <w:rPr>
                <w:rStyle w:val="Lienhypertexte"/>
                <w:noProof/>
              </w:rPr>
              <w:t>Subvention au profit de l’OPH pour la réhabilitation du Centre d’hébergement des étudiants d’Outumaoro</w:t>
            </w:r>
            <w:r>
              <w:rPr>
                <w:noProof/>
                <w:webHidden/>
              </w:rPr>
              <w:tab/>
            </w:r>
            <w:r>
              <w:rPr>
                <w:noProof/>
                <w:webHidden/>
              </w:rPr>
              <w:fldChar w:fldCharType="begin"/>
            </w:r>
            <w:r>
              <w:rPr>
                <w:noProof/>
                <w:webHidden/>
              </w:rPr>
              <w:instrText xml:space="preserve"> PAGEREF _Toc91082754 \h </w:instrText>
            </w:r>
            <w:r>
              <w:rPr>
                <w:noProof/>
                <w:webHidden/>
              </w:rPr>
            </w:r>
            <w:r>
              <w:rPr>
                <w:noProof/>
                <w:webHidden/>
              </w:rPr>
              <w:fldChar w:fldCharType="separate"/>
            </w:r>
            <w:r w:rsidR="0036493F">
              <w:rPr>
                <w:noProof/>
                <w:webHidden/>
              </w:rPr>
              <w:t>3</w:t>
            </w:r>
            <w:r>
              <w:rPr>
                <w:noProof/>
                <w:webHidden/>
              </w:rPr>
              <w:fldChar w:fldCharType="end"/>
            </w:r>
          </w:hyperlink>
        </w:p>
        <w:p w14:paraId="1606852B" w14:textId="3364012A" w:rsidR="000940D6" w:rsidRDefault="000940D6">
          <w:pPr>
            <w:pStyle w:val="TM2"/>
            <w:rPr>
              <w:rFonts w:cstheme="minorBidi"/>
              <w:noProof/>
            </w:rPr>
          </w:pPr>
          <w:hyperlink w:anchor="_Toc91082755" w:history="1">
            <w:r w:rsidRPr="00EB476A">
              <w:rPr>
                <w:rStyle w:val="Lienhypertexte"/>
                <w:noProof/>
              </w:rPr>
              <w:t>Modification du code de l’aménagement de la Polynésie française</w:t>
            </w:r>
            <w:r>
              <w:rPr>
                <w:noProof/>
                <w:webHidden/>
              </w:rPr>
              <w:tab/>
            </w:r>
            <w:r>
              <w:rPr>
                <w:noProof/>
                <w:webHidden/>
              </w:rPr>
              <w:fldChar w:fldCharType="begin"/>
            </w:r>
            <w:r>
              <w:rPr>
                <w:noProof/>
                <w:webHidden/>
              </w:rPr>
              <w:instrText xml:space="preserve"> PAGEREF _Toc91082755 \h </w:instrText>
            </w:r>
            <w:r>
              <w:rPr>
                <w:noProof/>
                <w:webHidden/>
              </w:rPr>
            </w:r>
            <w:r>
              <w:rPr>
                <w:noProof/>
                <w:webHidden/>
              </w:rPr>
              <w:fldChar w:fldCharType="separate"/>
            </w:r>
            <w:r w:rsidR="0036493F">
              <w:rPr>
                <w:noProof/>
                <w:webHidden/>
              </w:rPr>
              <w:t>4</w:t>
            </w:r>
            <w:r>
              <w:rPr>
                <w:noProof/>
                <w:webHidden/>
              </w:rPr>
              <w:fldChar w:fldCharType="end"/>
            </w:r>
          </w:hyperlink>
        </w:p>
        <w:p w14:paraId="132F8263" w14:textId="315DFD73" w:rsidR="000940D6" w:rsidRDefault="000940D6">
          <w:pPr>
            <w:pStyle w:val="TM2"/>
            <w:rPr>
              <w:rFonts w:cstheme="minorBidi"/>
              <w:noProof/>
            </w:rPr>
          </w:pPr>
          <w:hyperlink w:anchor="_Toc91082756" w:history="1">
            <w:r w:rsidRPr="00EB476A">
              <w:rPr>
                <w:rStyle w:val="Lienhypertexte"/>
                <w:noProof/>
              </w:rPr>
              <w:t>Règlementation du mouillage à Huahine</w:t>
            </w:r>
            <w:r>
              <w:rPr>
                <w:noProof/>
                <w:webHidden/>
              </w:rPr>
              <w:tab/>
            </w:r>
            <w:r>
              <w:rPr>
                <w:noProof/>
                <w:webHidden/>
              </w:rPr>
              <w:fldChar w:fldCharType="begin"/>
            </w:r>
            <w:r>
              <w:rPr>
                <w:noProof/>
                <w:webHidden/>
              </w:rPr>
              <w:instrText xml:space="preserve"> PAGEREF _Toc91082756 \h </w:instrText>
            </w:r>
            <w:r>
              <w:rPr>
                <w:noProof/>
                <w:webHidden/>
              </w:rPr>
            </w:r>
            <w:r>
              <w:rPr>
                <w:noProof/>
                <w:webHidden/>
              </w:rPr>
              <w:fldChar w:fldCharType="separate"/>
            </w:r>
            <w:r w:rsidR="0036493F">
              <w:rPr>
                <w:noProof/>
                <w:webHidden/>
              </w:rPr>
              <w:t>5</w:t>
            </w:r>
            <w:r>
              <w:rPr>
                <w:noProof/>
                <w:webHidden/>
              </w:rPr>
              <w:fldChar w:fldCharType="end"/>
            </w:r>
          </w:hyperlink>
        </w:p>
        <w:p w14:paraId="20A9D98C" w14:textId="56547E9A" w:rsidR="000940D6" w:rsidRDefault="000940D6">
          <w:pPr>
            <w:pStyle w:val="TM1"/>
            <w:rPr>
              <w:rFonts w:asciiTheme="minorHAnsi" w:hAnsiTheme="minorHAnsi" w:cstheme="minorBidi"/>
              <w:b w:val="0"/>
              <w:bCs w:val="0"/>
            </w:rPr>
          </w:pPr>
          <w:hyperlink w:anchor="_Toc91082757" w:history="1">
            <w:r w:rsidRPr="00EB476A">
              <w:rPr>
                <w:rStyle w:val="Lienhypertexte"/>
              </w:rPr>
              <w:t>MEF</w:t>
            </w:r>
            <w:r w:rsidR="00822AA1">
              <w:rPr>
                <w:rStyle w:val="Lienhypertexte"/>
              </w:rPr>
              <w:t xml:space="preserve"> </w:t>
            </w:r>
            <w:r w:rsidRPr="00EB476A">
              <w:rPr>
                <w:rStyle w:val="Lienhypertexte"/>
              </w:rPr>
              <w:t>-</w:t>
            </w:r>
            <w:r w:rsidR="00822AA1">
              <w:rPr>
                <w:rStyle w:val="Lienhypertexte"/>
              </w:rPr>
              <w:t xml:space="preserve"> ministre des Finances, de l’économie et du tourisme</w:t>
            </w:r>
            <w:r>
              <w:rPr>
                <w:webHidden/>
              </w:rPr>
              <w:tab/>
            </w:r>
            <w:r>
              <w:rPr>
                <w:webHidden/>
              </w:rPr>
              <w:fldChar w:fldCharType="begin"/>
            </w:r>
            <w:r>
              <w:rPr>
                <w:webHidden/>
              </w:rPr>
              <w:instrText xml:space="preserve"> PAGEREF _Toc91082757 \h </w:instrText>
            </w:r>
            <w:r>
              <w:rPr>
                <w:webHidden/>
              </w:rPr>
            </w:r>
            <w:r>
              <w:rPr>
                <w:webHidden/>
              </w:rPr>
              <w:fldChar w:fldCharType="separate"/>
            </w:r>
            <w:r w:rsidR="0036493F">
              <w:rPr>
                <w:webHidden/>
              </w:rPr>
              <w:t>5</w:t>
            </w:r>
            <w:r>
              <w:rPr>
                <w:webHidden/>
              </w:rPr>
              <w:fldChar w:fldCharType="end"/>
            </w:r>
          </w:hyperlink>
        </w:p>
        <w:p w14:paraId="2F0B9193" w14:textId="7B4F4ED2" w:rsidR="000940D6" w:rsidRDefault="000940D6">
          <w:pPr>
            <w:pStyle w:val="TM2"/>
            <w:rPr>
              <w:rFonts w:cstheme="minorBidi"/>
              <w:noProof/>
            </w:rPr>
          </w:pPr>
          <w:hyperlink w:anchor="_Toc91082758" w:history="1">
            <w:r w:rsidRPr="00EB476A">
              <w:rPr>
                <w:rStyle w:val="Lienhypertexte"/>
                <w:noProof/>
              </w:rPr>
              <w:t>Subvention à l’association de consommateurs Te Tia Ara</w:t>
            </w:r>
            <w:r>
              <w:rPr>
                <w:noProof/>
                <w:webHidden/>
              </w:rPr>
              <w:tab/>
            </w:r>
            <w:r>
              <w:rPr>
                <w:noProof/>
                <w:webHidden/>
              </w:rPr>
              <w:fldChar w:fldCharType="begin"/>
            </w:r>
            <w:r>
              <w:rPr>
                <w:noProof/>
                <w:webHidden/>
              </w:rPr>
              <w:instrText xml:space="preserve"> PAGEREF _Toc91082758 \h </w:instrText>
            </w:r>
            <w:r>
              <w:rPr>
                <w:noProof/>
                <w:webHidden/>
              </w:rPr>
            </w:r>
            <w:r>
              <w:rPr>
                <w:noProof/>
                <w:webHidden/>
              </w:rPr>
              <w:fldChar w:fldCharType="separate"/>
            </w:r>
            <w:r w:rsidR="0036493F">
              <w:rPr>
                <w:noProof/>
                <w:webHidden/>
              </w:rPr>
              <w:t>5</w:t>
            </w:r>
            <w:r>
              <w:rPr>
                <w:noProof/>
                <w:webHidden/>
              </w:rPr>
              <w:fldChar w:fldCharType="end"/>
            </w:r>
          </w:hyperlink>
        </w:p>
        <w:p w14:paraId="69DC7357" w14:textId="2430DD9B" w:rsidR="000940D6" w:rsidRDefault="000940D6">
          <w:pPr>
            <w:pStyle w:val="TM2"/>
            <w:rPr>
              <w:rFonts w:cstheme="minorBidi"/>
              <w:noProof/>
            </w:rPr>
          </w:pPr>
          <w:hyperlink w:anchor="_Toc91082759" w:history="1">
            <w:r w:rsidRPr="00EB476A">
              <w:rPr>
                <w:rStyle w:val="Lienhypertexte"/>
                <w:noProof/>
              </w:rPr>
              <w:t>Subvention en faveur de l’association « Opu Nui »</w:t>
            </w:r>
            <w:r>
              <w:rPr>
                <w:noProof/>
                <w:webHidden/>
              </w:rPr>
              <w:tab/>
            </w:r>
            <w:r>
              <w:rPr>
                <w:noProof/>
                <w:webHidden/>
              </w:rPr>
              <w:fldChar w:fldCharType="begin"/>
            </w:r>
            <w:r>
              <w:rPr>
                <w:noProof/>
                <w:webHidden/>
              </w:rPr>
              <w:instrText xml:space="preserve"> PAGEREF _Toc91082759 \h </w:instrText>
            </w:r>
            <w:r>
              <w:rPr>
                <w:noProof/>
                <w:webHidden/>
              </w:rPr>
            </w:r>
            <w:r>
              <w:rPr>
                <w:noProof/>
                <w:webHidden/>
              </w:rPr>
              <w:fldChar w:fldCharType="separate"/>
            </w:r>
            <w:r w:rsidR="0036493F">
              <w:rPr>
                <w:noProof/>
                <w:webHidden/>
              </w:rPr>
              <w:t>6</w:t>
            </w:r>
            <w:r>
              <w:rPr>
                <w:noProof/>
                <w:webHidden/>
              </w:rPr>
              <w:fldChar w:fldCharType="end"/>
            </w:r>
          </w:hyperlink>
        </w:p>
        <w:p w14:paraId="4941C09F" w14:textId="2F2894F5" w:rsidR="000940D6" w:rsidRDefault="000940D6">
          <w:pPr>
            <w:pStyle w:val="TM2"/>
            <w:rPr>
              <w:rFonts w:cstheme="minorBidi"/>
              <w:noProof/>
            </w:rPr>
          </w:pPr>
          <w:hyperlink w:anchor="_Toc91082760" w:history="1">
            <w:r w:rsidRPr="00EB476A">
              <w:rPr>
                <w:rStyle w:val="Lienhypertexte"/>
                <w:noProof/>
              </w:rPr>
              <w:t>Subvention en faveur de l’association Diadorim</w:t>
            </w:r>
            <w:r>
              <w:rPr>
                <w:noProof/>
                <w:webHidden/>
              </w:rPr>
              <w:tab/>
            </w:r>
            <w:r>
              <w:rPr>
                <w:noProof/>
                <w:webHidden/>
              </w:rPr>
              <w:fldChar w:fldCharType="begin"/>
            </w:r>
            <w:r>
              <w:rPr>
                <w:noProof/>
                <w:webHidden/>
              </w:rPr>
              <w:instrText xml:space="preserve"> PAGEREF _Toc91082760 \h </w:instrText>
            </w:r>
            <w:r>
              <w:rPr>
                <w:noProof/>
                <w:webHidden/>
              </w:rPr>
            </w:r>
            <w:r>
              <w:rPr>
                <w:noProof/>
                <w:webHidden/>
              </w:rPr>
              <w:fldChar w:fldCharType="separate"/>
            </w:r>
            <w:r w:rsidR="0036493F">
              <w:rPr>
                <w:noProof/>
                <w:webHidden/>
              </w:rPr>
              <w:t>6</w:t>
            </w:r>
            <w:r>
              <w:rPr>
                <w:noProof/>
                <w:webHidden/>
              </w:rPr>
              <w:fldChar w:fldCharType="end"/>
            </w:r>
          </w:hyperlink>
        </w:p>
        <w:p w14:paraId="7A8782CD" w14:textId="3D72C4E1" w:rsidR="000940D6" w:rsidRDefault="000940D6">
          <w:pPr>
            <w:pStyle w:val="TM2"/>
            <w:rPr>
              <w:rFonts w:cstheme="minorBidi"/>
              <w:noProof/>
            </w:rPr>
          </w:pPr>
          <w:hyperlink w:anchor="_Toc91082761" w:history="1">
            <w:r w:rsidRPr="00EB476A">
              <w:rPr>
                <w:rStyle w:val="Lienhypertexte"/>
                <w:noProof/>
              </w:rPr>
              <w:t>Indice des prix à la consommation</w:t>
            </w:r>
            <w:r>
              <w:rPr>
                <w:noProof/>
                <w:webHidden/>
              </w:rPr>
              <w:tab/>
            </w:r>
            <w:r>
              <w:rPr>
                <w:noProof/>
                <w:webHidden/>
              </w:rPr>
              <w:fldChar w:fldCharType="begin"/>
            </w:r>
            <w:r>
              <w:rPr>
                <w:noProof/>
                <w:webHidden/>
              </w:rPr>
              <w:instrText xml:space="preserve"> PAGEREF _Toc91082761 \h </w:instrText>
            </w:r>
            <w:r>
              <w:rPr>
                <w:noProof/>
                <w:webHidden/>
              </w:rPr>
            </w:r>
            <w:r>
              <w:rPr>
                <w:noProof/>
                <w:webHidden/>
              </w:rPr>
              <w:fldChar w:fldCharType="separate"/>
            </w:r>
            <w:r w:rsidR="0036493F">
              <w:rPr>
                <w:noProof/>
                <w:webHidden/>
              </w:rPr>
              <w:t>6</w:t>
            </w:r>
            <w:r>
              <w:rPr>
                <w:noProof/>
                <w:webHidden/>
              </w:rPr>
              <w:fldChar w:fldCharType="end"/>
            </w:r>
          </w:hyperlink>
        </w:p>
        <w:p w14:paraId="3BB1FA05" w14:textId="1B2147E8" w:rsidR="000940D6" w:rsidRDefault="000940D6">
          <w:pPr>
            <w:pStyle w:val="TM2"/>
            <w:rPr>
              <w:rFonts w:cstheme="minorBidi"/>
              <w:noProof/>
            </w:rPr>
          </w:pPr>
          <w:hyperlink w:anchor="_Toc91082762" w:history="1">
            <w:r w:rsidRPr="00EB476A">
              <w:rPr>
                <w:rStyle w:val="Lienhypertexte"/>
                <w:noProof/>
              </w:rPr>
              <w:t>Prix des hydrocarbures au 1</w:t>
            </w:r>
            <w:r w:rsidRPr="00EB476A">
              <w:rPr>
                <w:rStyle w:val="Lienhypertexte"/>
                <w:noProof/>
                <w:vertAlign w:val="superscript"/>
              </w:rPr>
              <w:t>er</w:t>
            </w:r>
            <w:r w:rsidRPr="00EB476A">
              <w:rPr>
                <w:rStyle w:val="Lienhypertexte"/>
                <w:noProof/>
              </w:rPr>
              <w:t xml:space="preserve"> janvier 2022</w:t>
            </w:r>
            <w:r>
              <w:rPr>
                <w:noProof/>
                <w:webHidden/>
              </w:rPr>
              <w:tab/>
            </w:r>
            <w:r>
              <w:rPr>
                <w:noProof/>
                <w:webHidden/>
              </w:rPr>
              <w:fldChar w:fldCharType="begin"/>
            </w:r>
            <w:r>
              <w:rPr>
                <w:noProof/>
                <w:webHidden/>
              </w:rPr>
              <w:instrText xml:space="preserve"> PAGEREF _Toc91082762 \h </w:instrText>
            </w:r>
            <w:r>
              <w:rPr>
                <w:noProof/>
                <w:webHidden/>
              </w:rPr>
            </w:r>
            <w:r>
              <w:rPr>
                <w:noProof/>
                <w:webHidden/>
              </w:rPr>
              <w:fldChar w:fldCharType="separate"/>
            </w:r>
            <w:r w:rsidR="0036493F">
              <w:rPr>
                <w:noProof/>
                <w:webHidden/>
              </w:rPr>
              <w:t>7</w:t>
            </w:r>
            <w:r>
              <w:rPr>
                <w:noProof/>
                <w:webHidden/>
              </w:rPr>
              <w:fldChar w:fldCharType="end"/>
            </w:r>
          </w:hyperlink>
        </w:p>
        <w:p w14:paraId="35D15BEC" w14:textId="5E0864DF" w:rsidR="000940D6" w:rsidRDefault="000940D6">
          <w:pPr>
            <w:pStyle w:val="TM2"/>
            <w:rPr>
              <w:rFonts w:cstheme="minorBidi"/>
              <w:noProof/>
            </w:rPr>
          </w:pPr>
          <w:hyperlink w:anchor="_Toc91082763" w:history="1">
            <w:r w:rsidRPr="00EB476A">
              <w:rPr>
                <w:rStyle w:val="Lienhypertexte"/>
                <w:noProof/>
              </w:rPr>
              <w:t>Prolongation de la durée permettant la résolution sans pénalité des contrats touristiques</w:t>
            </w:r>
            <w:r>
              <w:rPr>
                <w:noProof/>
                <w:webHidden/>
              </w:rPr>
              <w:tab/>
            </w:r>
            <w:r>
              <w:rPr>
                <w:noProof/>
                <w:webHidden/>
              </w:rPr>
              <w:fldChar w:fldCharType="begin"/>
            </w:r>
            <w:r>
              <w:rPr>
                <w:noProof/>
                <w:webHidden/>
              </w:rPr>
              <w:instrText xml:space="preserve"> PAGEREF _Toc91082763 \h </w:instrText>
            </w:r>
            <w:r>
              <w:rPr>
                <w:noProof/>
                <w:webHidden/>
              </w:rPr>
            </w:r>
            <w:r>
              <w:rPr>
                <w:noProof/>
                <w:webHidden/>
              </w:rPr>
              <w:fldChar w:fldCharType="separate"/>
            </w:r>
            <w:r w:rsidR="0036493F">
              <w:rPr>
                <w:noProof/>
                <w:webHidden/>
              </w:rPr>
              <w:t>7</w:t>
            </w:r>
            <w:r>
              <w:rPr>
                <w:noProof/>
                <w:webHidden/>
              </w:rPr>
              <w:fldChar w:fldCharType="end"/>
            </w:r>
          </w:hyperlink>
        </w:p>
        <w:p w14:paraId="3BC038DD" w14:textId="7ECBCED8" w:rsidR="000940D6" w:rsidRDefault="000940D6">
          <w:pPr>
            <w:pStyle w:val="TM2"/>
            <w:rPr>
              <w:rFonts w:cstheme="minorBidi"/>
              <w:noProof/>
            </w:rPr>
          </w:pPr>
          <w:hyperlink w:anchor="_Toc91082764" w:history="1">
            <w:r w:rsidRPr="00EB476A">
              <w:rPr>
                <w:rStyle w:val="Lienhypertexte"/>
                <w:noProof/>
              </w:rPr>
              <w:t>Avenant 19 au contrat de concession Tahiti Nord</w:t>
            </w:r>
            <w:r>
              <w:rPr>
                <w:noProof/>
                <w:webHidden/>
              </w:rPr>
              <w:tab/>
            </w:r>
            <w:r>
              <w:rPr>
                <w:noProof/>
                <w:webHidden/>
              </w:rPr>
              <w:fldChar w:fldCharType="begin"/>
            </w:r>
            <w:r>
              <w:rPr>
                <w:noProof/>
                <w:webHidden/>
              </w:rPr>
              <w:instrText xml:space="preserve"> PAGEREF _Toc91082764 \h </w:instrText>
            </w:r>
            <w:r>
              <w:rPr>
                <w:noProof/>
                <w:webHidden/>
              </w:rPr>
            </w:r>
            <w:r>
              <w:rPr>
                <w:noProof/>
                <w:webHidden/>
              </w:rPr>
              <w:fldChar w:fldCharType="separate"/>
            </w:r>
            <w:r w:rsidR="0036493F">
              <w:rPr>
                <w:noProof/>
                <w:webHidden/>
              </w:rPr>
              <w:t>8</w:t>
            </w:r>
            <w:r>
              <w:rPr>
                <w:noProof/>
                <w:webHidden/>
              </w:rPr>
              <w:fldChar w:fldCharType="end"/>
            </w:r>
          </w:hyperlink>
        </w:p>
        <w:p w14:paraId="58523EBD" w14:textId="6A46BA79" w:rsidR="000940D6" w:rsidRDefault="000940D6">
          <w:pPr>
            <w:pStyle w:val="TM2"/>
            <w:rPr>
              <w:rFonts w:cstheme="minorBidi"/>
              <w:noProof/>
            </w:rPr>
          </w:pPr>
          <w:hyperlink w:anchor="_Toc91082765" w:history="1">
            <w:r w:rsidRPr="00EB476A">
              <w:rPr>
                <w:rStyle w:val="Lienhypertexte"/>
                <w:noProof/>
              </w:rPr>
              <w:t>Prorogation des dispositifs particuliers pour le suivi des malades de la Covid-19</w:t>
            </w:r>
            <w:r>
              <w:rPr>
                <w:noProof/>
                <w:webHidden/>
              </w:rPr>
              <w:tab/>
            </w:r>
            <w:r>
              <w:rPr>
                <w:noProof/>
                <w:webHidden/>
              </w:rPr>
              <w:fldChar w:fldCharType="begin"/>
            </w:r>
            <w:r>
              <w:rPr>
                <w:noProof/>
                <w:webHidden/>
              </w:rPr>
              <w:instrText xml:space="preserve"> PAGEREF _Toc91082765 \h </w:instrText>
            </w:r>
            <w:r>
              <w:rPr>
                <w:noProof/>
                <w:webHidden/>
              </w:rPr>
            </w:r>
            <w:r>
              <w:rPr>
                <w:noProof/>
                <w:webHidden/>
              </w:rPr>
              <w:fldChar w:fldCharType="separate"/>
            </w:r>
            <w:r w:rsidR="0036493F">
              <w:rPr>
                <w:noProof/>
                <w:webHidden/>
              </w:rPr>
              <w:t>8</w:t>
            </w:r>
            <w:r>
              <w:rPr>
                <w:noProof/>
                <w:webHidden/>
              </w:rPr>
              <w:fldChar w:fldCharType="end"/>
            </w:r>
          </w:hyperlink>
        </w:p>
        <w:p w14:paraId="663DCB4C" w14:textId="7FE4419F" w:rsidR="000940D6" w:rsidRDefault="000940D6">
          <w:pPr>
            <w:pStyle w:val="TM1"/>
            <w:rPr>
              <w:rFonts w:asciiTheme="minorHAnsi" w:hAnsiTheme="minorHAnsi" w:cstheme="minorBidi"/>
              <w:b w:val="0"/>
              <w:bCs w:val="0"/>
            </w:rPr>
          </w:pPr>
          <w:hyperlink w:anchor="_Toc91082766" w:history="1">
            <w:r w:rsidRPr="00EB476A">
              <w:rPr>
                <w:rStyle w:val="Lienhypertexte"/>
              </w:rPr>
              <w:t>MED</w:t>
            </w:r>
            <w:r w:rsidR="00822AA1">
              <w:rPr>
                <w:rStyle w:val="Lienhypertexte"/>
              </w:rPr>
              <w:t xml:space="preserve"> </w:t>
            </w:r>
            <w:r w:rsidRPr="00EB476A">
              <w:rPr>
                <w:rStyle w:val="Lienhypertexte"/>
              </w:rPr>
              <w:t>-</w:t>
            </w:r>
            <w:r w:rsidR="00822AA1">
              <w:rPr>
                <w:rStyle w:val="Lienhypertexte"/>
              </w:rPr>
              <w:t xml:space="preserve"> ministre de l’Agriculture, de l’économie bleue et du domaine</w:t>
            </w:r>
            <w:r>
              <w:rPr>
                <w:webHidden/>
              </w:rPr>
              <w:tab/>
            </w:r>
            <w:r>
              <w:rPr>
                <w:webHidden/>
              </w:rPr>
              <w:fldChar w:fldCharType="begin"/>
            </w:r>
            <w:r>
              <w:rPr>
                <w:webHidden/>
              </w:rPr>
              <w:instrText xml:space="preserve"> PAGEREF _Toc91082766 \h </w:instrText>
            </w:r>
            <w:r>
              <w:rPr>
                <w:webHidden/>
              </w:rPr>
            </w:r>
            <w:r>
              <w:rPr>
                <w:webHidden/>
              </w:rPr>
              <w:fldChar w:fldCharType="separate"/>
            </w:r>
            <w:r w:rsidR="0036493F">
              <w:rPr>
                <w:webHidden/>
              </w:rPr>
              <w:t>9</w:t>
            </w:r>
            <w:r>
              <w:rPr>
                <w:webHidden/>
              </w:rPr>
              <w:fldChar w:fldCharType="end"/>
            </w:r>
          </w:hyperlink>
        </w:p>
        <w:p w14:paraId="6BAD1F5D" w14:textId="58D12B3D" w:rsidR="000940D6" w:rsidRDefault="000940D6">
          <w:pPr>
            <w:pStyle w:val="TM2"/>
            <w:rPr>
              <w:rFonts w:cstheme="minorBidi"/>
              <w:noProof/>
            </w:rPr>
          </w:pPr>
          <w:hyperlink w:anchor="_Toc91082767" w:history="1">
            <w:r w:rsidRPr="00EB476A">
              <w:rPr>
                <w:rStyle w:val="Lienhypertexte"/>
                <w:noProof/>
              </w:rPr>
              <w:t>Opérations de dépollution des lagons perlicoles</w:t>
            </w:r>
            <w:r>
              <w:rPr>
                <w:noProof/>
                <w:webHidden/>
              </w:rPr>
              <w:tab/>
            </w:r>
            <w:r>
              <w:rPr>
                <w:noProof/>
                <w:webHidden/>
              </w:rPr>
              <w:fldChar w:fldCharType="begin"/>
            </w:r>
            <w:r>
              <w:rPr>
                <w:noProof/>
                <w:webHidden/>
              </w:rPr>
              <w:instrText xml:space="preserve"> PAGEREF _Toc91082767 \h </w:instrText>
            </w:r>
            <w:r>
              <w:rPr>
                <w:noProof/>
                <w:webHidden/>
              </w:rPr>
            </w:r>
            <w:r>
              <w:rPr>
                <w:noProof/>
                <w:webHidden/>
              </w:rPr>
              <w:fldChar w:fldCharType="separate"/>
            </w:r>
            <w:r w:rsidR="0036493F">
              <w:rPr>
                <w:noProof/>
                <w:webHidden/>
              </w:rPr>
              <w:t>9</w:t>
            </w:r>
            <w:r>
              <w:rPr>
                <w:noProof/>
                <w:webHidden/>
              </w:rPr>
              <w:fldChar w:fldCharType="end"/>
            </w:r>
          </w:hyperlink>
        </w:p>
        <w:p w14:paraId="6B991D2E" w14:textId="76D136FA" w:rsidR="000940D6" w:rsidRDefault="000940D6">
          <w:pPr>
            <w:pStyle w:val="TM2"/>
            <w:rPr>
              <w:rFonts w:cstheme="minorBidi"/>
              <w:noProof/>
            </w:rPr>
          </w:pPr>
          <w:hyperlink w:anchor="_Toc91082768" w:history="1">
            <w:r w:rsidRPr="00EB476A">
              <w:rPr>
                <w:rStyle w:val="Lienhypertexte"/>
                <w:noProof/>
              </w:rPr>
              <w:t>Emprise foncière destinée à accueillir le futur Institut polynésien du cancer et ses annexes</w:t>
            </w:r>
            <w:r>
              <w:rPr>
                <w:noProof/>
                <w:webHidden/>
              </w:rPr>
              <w:tab/>
            </w:r>
            <w:r>
              <w:rPr>
                <w:noProof/>
                <w:webHidden/>
              </w:rPr>
              <w:fldChar w:fldCharType="begin"/>
            </w:r>
            <w:r>
              <w:rPr>
                <w:noProof/>
                <w:webHidden/>
              </w:rPr>
              <w:instrText xml:space="preserve"> PAGEREF _Toc91082768 \h </w:instrText>
            </w:r>
            <w:r>
              <w:rPr>
                <w:noProof/>
                <w:webHidden/>
              </w:rPr>
            </w:r>
            <w:r>
              <w:rPr>
                <w:noProof/>
                <w:webHidden/>
              </w:rPr>
              <w:fldChar w:fldCharType="separate"/>
            </w:r>
            <w:r w:rsidR="0036493F">
              <w:rPr>
                <w:noProof/>
                <w:webHidden/>
              </w:rPr>
              <w:t>9</w:t>
            </w:r>
            <w:r>
              <w:rPr>
                <w:noProof/>
                <w:webHidden/>
              </w:rPr>
              <w:fldChar w:fldCharType="end"/>
            </w:r>
          </w:hyperlink>
        </w:p>
        <w:p w14:paraId="6C016B37" w14:textId="7F688460" w:rsidR="000940D6" w:rsidRDefault="000940D6">
          <w:pPr>
            <w:pStyle w:val="TM2"/>
            <w:rPr>
              <w:rFonts w:cstheme="minorBidi"/>
              <w:noProof/>
            </w:rPr>
          </w:pPr>
          <w:hyperlink w:anchor="_Toc91082769" w:history="1">
            <w:r w:rsidRPr="00EB476A">
              <w:rPr>
                <w:rStyle w:val="Lienhypertexte"/>
                <w:noProof/>
              </w:rPr>
              <w:t>Tarif pour la formation des préparateurs de vanille</w:t>
            </w:r>
            <w:r>
              <w:rPr>
                <w:noProof/>
                <w:webHidden/>
              </w:rPr>
              <w:tab/>
            </w:r>
            <w:r>
              <w:rPr>
                <w:noProof/>
                <w:webHidden/>
              </w:rPr>
              <w:fldChar w:fldCharType="begin"/>
            </w:r>
            <w:r>
              <w:rPr>
                <w:noProof/>
                <w:webHidden/>
              </w:rPr>
              <w:instrText xml:space="preserve"> PAGEREF _Toc91082769 \h </w:instrText>
            </w:r>
            <w:r>
              <w:rPr>
                <w:noProof/>
                <w:webHidden/>
              </w:rPr>
            </w:r>
            <w:r>
              <w:rPr>
                <w:noProof/>
                <w:webHidden/>
              </w:rPr>
              <w:fldChar w:fldCharType="separate"/>
            </w:r>
            <w:r w:rsidR="0036493F">
              <w:rPr>
                <w:noProof/>
                <w:webHidden/>
              </w:rPr>
              <w:t>10</w:t>
            </w:r>
            <w:r>
              <w:rPr>
                <w:noProof/>
                <w:webHidden/>
              </w:rPr>
              <w:fldChar w:fldCharType="end"/>
            </w:r>
          </w:hyperlink>
        </w:p>
        <w:p w14:paraId="0D7B006A" w14:textId="34BC7AA1" w:rsidR="000940D6" w:rsidRDefault="000940D6">
          <w:pPr>
            <w:pStyle w:val="TM2"/>
            <w:rPr>
              <w:rFonts w:cstheme="minorBidi"/>
              <w:noProof/>
            </w:rPr>
          </w:pPr>
          <w:hyperlink w:anchor="_Toc91082770" w:history="1">
            <w:r w:rsidRPr="00EB476A">
              <w:rPr>
                <w:rStyle w:val="Lienhypertexte"/>
                <w:noProof/>
              </w:rPr>
              <w:t>Réglementations des zones de pêche</w:t>
            </w:r>
            <w:r>
              <w:rPr>
                <w:noProof/>
                <w:webHidden/>
              </w:rPr>
              <w:tab/>
            </w:r>
            <w:r>
              <w:rPr>
                <w:noProof/>
                <w:webHidden/>
              </w:rPr>
              <w:fldChar w:fldCharType="begin"/>
            </w:r>
            <w:r>
              <w:rPr>
                <w:noProof/>
                <w:webHidden/>
              </w:rPr>
              <w:instrText xml:space="preserve"> PAGEREF _Toc91082770 \h </w:instrText>
            </w:r>
            <w:r>
              <w:rPr>
                <w:noProof/>
                <w:webHidden/>
              </w:rPr>
            </w:r>
            <w:r>
              <w:rPr>
                <w:noProof/>
                <w:webHidden/>
              </w:rPr>
              <w:fldChar w:fldCharType="separate"/>
            </w:r>
            <w:r w:rsidR="0036493F">
              <w:rPr>
                <w:noProof/>
                <w:webHidden/>
              </w:rPr>
              <w:t>10</w:t>
            </w:r>
            <w:r>
              <w:rPr>
                <w:noProof/>
                <w:webHidden/>
              </w:rPr>
              <w:fldChar w:fldCharType="end"/>
            </w:r>
          </w:hyperlink>
        </w:p>
        <w:p w14:paraId="42CB977B" w14:textId="07D4AE26" w:rsidR="000940D6" w:rsidRDefault="000940D6">
          <w:pPr>
            <w:pStyle w:val="TM2"/>
            <w:rPr>
              <w:rFonts w:cstheme="minorBidi"/>
              <w:noProof/>
            </w:rPr>
          </w:pPr>
          <w:hyperlink w:anchor="_Toc91082771" w:history="1">
            <w:r w:rsidRPr="00EB476A">
              <w:rPr>
                <w:rStyle w:val="Lienhypertexte"/>
                <w:noProof/>
              </w:rPr>
              <w:t>Subvention au profit du Syndicat rhum agricole de Polynésie française</w:t>
            </w:r>
            <w:r>
              <w:rPr>
                <w:noProof/>
                <w:webHidden/>
              </w:rPr>
              <w:tab/>
            </w:r>
            <w:r>
              <w:rPr>
                <w:noProof/>
                <w:webHidden/>
              </w:rPr>
              <w:fldChar w:fldCharType="begin"/>
            </w:r>
            <w:r>
              <w:rPr>
                <w:noProof/>
                <w:webHidden/>
              </w:rPr>
              <w:instrText xml:space="preserve"> PAGEREF _Toc91082771 \h </w:instrText>
            </w:r>
            <w:r>
              <w:rPr>
                <w:noProof/>
                <w:webHidden/>
              </w:rPr>
            </w:r>
            <w:r>
              <w:rPr>
                <w:noProof/>
                <w:webHidden/>
              </w:rPr>
              <w:fldChar w:fldCharType="separate"/>
            </w:r>
            <w:r w:rsidR="0036493F">
              <w:rPr>
                <w:noProof/>
                <w:webHidden/>
              </w:rPr>
              <w:t>12</w:t>
            </w:r>
            <w:r>
              <w:rPr>
                <w:noProof/>
                <w:webHidden/>
              </w:rPr>
              <w:fldChar w:fldCharType="end"/>
            </w:r>
          </w:hyperlink>
        </w:p>
        <w:p w14:paraId="177F33A3" w14:textId="29B539A1" w:rsidR="000940D6" w:rsidRDefault="000940D6">
          <w:pPr>
            <w:pStyle w:val="TM2"/>
            <w:rPr>
              <w:rFonts w:cstheme="minorBidi"/>
              <w:noProof/>
            </w:rPr>
          </w:pPr>
          <w:hyperlink w:anchor="_Toc91082772" w:history="1">
            <w:r w:rsidRPr="00EB476A">
              <w:rPr>
                <w:rStyle w:val="Lienhypertexte"/>
                <w:noProof/>
              </w:rPr>
              <w:t>Subventions en faveur de la CAPL</w:t>
            </w:r>
            <w:r>
              <w:rPr>
                <w:noProof/>
                <w:webHidden/>
              </w:rPr>
              <w:tab/>
            </w:r>
            <w:r>
              <w:rPr>
                <w:noProof/>
                <w:webHidden/>
              </w:rPr>
              <w:fldChar w:fldCharType="begin"/>
            </w:r>
            <w:r>
              <w:rPr>
                <w:noProof/>
                <w:webHidden/>
              </w:rPr>
              <w:instrText xml:space="preserve"> PAGEREF _Toc91082772 \h </w:instrText>
            </w:r>
            <w:r>
              <w:rPr>
                <w:noProof/>
                <w:webHidden/>
              </w:rPr>
            </w:r>
            <w:r>
              <w:rPr>
                <w:noProof/>
                <w:webHidden/>
              </w:rPr>
              <w:fldChar w:fldCharType="separate"/>
            </w:r>
            <w:r w:rsidR="0036493F">
              <w:rPr>
                <w:noProof/>
                <w:webHidden/>
              </w:rPr>
              <w:t>12</w:t>
            </w:r>
            <w:r>
              <w:rPr>
                <w:noProof/>
                <w:webHidden/>
              </w:rPr>
              <w:fldChar w:fldCharType="end"/>
            </w:r>
          </w:hyperlink>
        </w:p>
        <w:p w14:paraId="05ECA18D" w14:textId="044B2EFA" w:rsidR="000940D6" w:rsidRDefault="000940D6">
          <w:pPr>
            <w:pStyle w:val="TM1"/>
            <w:rPr>
              <w:rFonts w:asciiTheme="minorHAnsi" w:hAnsiTheme="minorHAnsi" w:cstheme="minorBidi"/>
              <w:b w:val="0"/>
              <w:bCs w:val="0"/>
            </w:rPr>
          </w:pPr>
          <w:hyperlink w:anchor="_Toc91082773" w:history="1">
            <w:r w:rsidRPr="00EB476A">
              <w:rPr>
                <w:rStyle w:val="Lienhypertexte"/>
              </w:rPr>
              <w:t xml:space="preserve">MCE </w:t>
            </w:r>
            <w:r w:rsidR="00822AA1">
              <w:rPr>
                <w:rStyle w:val="Lienhypertexte"/>
              </w:rPr>
              <w:t>- ministre de la Culture et de l’environnement</w:t>
            </w:r>
            <w:r>
              <w:rPr>
                <w:webHidden/>
              </w:rPr>
              <w:tab/>
            </w:r>
            <w:r>
              <w:rPr>
                <w:webHidden/>
              </w:rPr>
              <w:fldChar w:fldCharType="begin"/>
            </w:r>
            <w:r>
              <w:rPr>
                <w:webHidden/>
              </w:rPr>
              <w:instrText xml:space="preserve"> PAGEREF _Toc91082773 \h </w:instrText>
            </w:r>
            <w:r>
              <w:rPr>
                <w:webHidden/>
              </w:rPr>
            </w:r>
            <w:r>
              <w:rPr>
                <w:webHidden/>
              </w:rPr>
              <w:fldChar w:fldCharType="separate"/>
            </w:r>
            <w:r w:rsidR="0036493F">
              <w:rPr>
                <w:webHidden/>
              </w:rPr>
              <w:t>13</w:t>
            </w:r>
            <w:r>
              <w:rPr>
                <w:webHidden/>
              </w:rPr>
              <w:fldChar w:fldCharType="end"/>
            </w:r>
          </w:hyperlink>
        </w:p>
        <w:p w14:paraId="61FE4D93" w14:textId="22FA5938" w:rsidR="000940D6" w:rsidRDefault="000940D6">
          <w:pPr>
            <w:pStyle w:val="TM2"/>
            <w:rPr>
              <w:rFonts w:cstheme="minorBidi"/>
              <w:noProof/>
            </w:rPr>
          </w:pPr>
          <w:hyperlink w:anchor="_Toc91082774" w:history="1">
            <w:r w:rsidRPr="00EB476A">
              <w:rPr>
                <w:rStyle w:val="Lienhypertexte"/>
                <w:noProof/>
              </w:rPr>
              <w:t>Subventions d’investissement en faveur d’un club bâtisseur</w:t>
            </w:r>
            <w:r>
              <w:rPr>
                <w:noProof/>
                <w:webHidden/>
              </w:rPr>
              <w:tab/>
            </w:r>
            <w:r>
              <w:rPr>
                <w:noProof/>
                <w:webHidden/>
              </w:rPr>
              <w:fldChar w:fldCharType="begin"/>
            </w:r>
            <w:r>
              <w:rPr>
                <w:noProof/>
                <w:webHidden/>
              </w:rPr>
              <w:instrText xml:space="preserve"> PAGEREF _Toc91082774 \h </w:instrText>
            </w:r>
            <w:r>
              <w:rPr>
                <w:noProof/>
                <w:webHidden/>
              </w:rPr>
            </w:r>
            <w:r>
              <w:rPr>
                <w:noProof/>
                <w:webHidden/>
              </w:rPr>
              <w:fldChar w:fldCharType="separate"/>
            </w:r>
            <w:r w:rsidR="0036493F">
              <w:rPr>
                <w:noProof/>
                <w:webHidden/>
              </w:rPr>
              <w:t>13</w:t>
            </w:r>
            <w:r>
              <w:rPr>
                <w:noProof/>
                <w:webHidden/>
              </w:rPr>
              <w:fldChar w:fldCharType="end"/>
            </w:r>
          </w:hyperlink>
        </w:p>
        <w:p w14:paraId="73F2F8CF" w14:textId="4869F916" w:rsidR="000940D6" w:rsidRDefault="000940D6">
          <w:pPr>
            <w:pStyle w:val="TM1"/>
            <w:rPr>
              <w:rFonts w:asciiTheme="minorHAnsi" w:hAnsiTheme="minorHAnsi" w:cstheme="minorBidi"/>
              <w:b w:val="0"/>
              <w:bCs w:val="0"/>
            </w:rPr>
          </w:pPr>
          <w:hyperlink w:anchor="_Toc91082775" w:history="1">
            <w:r w:rsidRPr="00EB476A">
              <w:rPr>
                <w:rStyle w:val="Lienhypertexte"/>
              </w:rPr>
              <w:t>MSP</w:t>
            </w:r>
            <w:r w:rsidR="00822AA1">
              <w:rPr>
                <w:rStyle w:val="Lienhypertexte"/>
              </w:rPr>
              <w:t xml:space="preserve"> </w:t>
            </w:r>
            <w:r w:rsidRPr="00EB476A">
              <w:rPr>
                <w:rStyle w:val="Lienhypertexte"/>
              </w:rPr>
              <w:t>-</w:t>
            </w:r>
            <w:r w:rsidR="00822AA1">
              <w:rPr>
                <w:rStyle w:val="Lienhypertexte"/>
              </w:rPr>
              <w:t xml:space="preserve"> ministre de la Santé </w:t>
            </w:r>
            <w:r>
              <w:rPr>
                <w:webHidden/>
              </w:rPr>
              <w:tab/>
            </w:r>
            <w:r>
              <w:rPr>
                <w:webHidden/>
              </w:rPr>
              <w:fldChar w:fldCharType="begin"/>
            </w:r>
            <w:r>
              <w:rPr>
                <w:webHidden/>
              </w:rPr>
              <w:instrText xml:space="preserve"> PAGEREF _Toc91082775 \h </w:instrText>
            </w:r>
            <w:r>
              <w:rPr>
                <w:webHidden/>
              </w:rPr>
            </w:r>
            <w:r>
              <w:rPr>
                <w:webHidden/>
              </w:rPr>
              <w:fldChar w:fldCharType="separate"/>
            </w:r>
            <w:r w:rsidR="0036493F">
              <w:rPr>
                <w:webHidden/>
              </w:rPr>
              <w:t>13</w:t>
            </w:r>
            <w:r>
              <w:rPr>
                <w:webHidden/>
              </w:rPr>
              <w:fldChar w:fldCharType="end"/>
            </w:r>
          </w:hyperlink>
        </w:p>
        <w:p w14:paraId="4B40196E" w14:textId="32EE01EF" w:rsidR="000940D6" w:rsidRDefault="000940D6">
          <w:pPr>
            <w:pStyle w:val="TM2"/>
            <w:rPr>
              <w:rFonts w:cstheme="minorBidi"/>
              <w:noProof/>
            </w:rPr>
          </w:pPr>
          <w:hyperlink w:anchor="_Toc91082776" w:history="1">
            <w:r w:rsidRPr="00EB476A">
              <w:rPr>
                <w:rStyle w:val="Lienhypertexte"/>
                <w:noProof/>
              </w:rPr>
              <w:t>Perspective 2022 des actions de prévention et de promotion de santé</w:t>
            </w:r>
            <w:r>
              <w:rPr>
                <w:noProof/>
                <w:webHidden/>
              </w:rPr>
              <w:tab/>
            </w:r>
            <w:r>
              <w:rPr>
                <w:noProof/>
                <w:webHidden/>
              </w:rPr>
              <w:fldChar w:fldCharType="begin"/>
            </w:r>
            <w:r>
              <w:rPr>
                <w:noProof/>
                <w:webHidden/>
              </w:rPr>
              <w:instrText xml:space="preserve"> PAGEREF _Toc91082776 \h </w:instrText>
            </w:r>
            <w:r>
              <w:rPr>
                <w:noProof/>
                <w:webHidden/>
              </w:rPr>
            </w:r>
            <w:r>
              <w:rPr>
                <w:noProof/>
                <w:webHidden/>
              </w:rPr>
              <w:fldChar w:fldCharType="separate"/>
            </w:r>
            <w:r w:rsidR="0036493F">
              <w:rPr>
                <w:noProof/>
                <w:webHidden/>
              </w:rPr>
              <w:t>13</w:t>
            </w:r>
            <w:r>
              <w:rPr>
                <w:noProof/>
                <w:webHidden/>
              </w:rPr>
              <w:fldChar w:fldCharType="end"/>
            </w:r>
          </w:hyperlink>
        </w:p>
        <w:p w14:paraId="751C7117" w14:textId="25C8EC29" w:rsidR="000940D6" w:rsidRDefault="000940D6">
          <w:pPr>
            <w:pStyle w:val="TM2"/>
            <w:rPr>
              <w:rFonts w:cstheme="minorBidi"/>
              <w:noProof/>
            </w:rPr>
          </w:pPr>
          <w:hyperlink w:anchor="_Toc91082777" w:history="1">
            <w:r w:rsidRPr="00EB476A">
              <w:rPr>
                <w:rStyle w:val="Lienhypertexte"/>
                <w:noProof/>
              </w:rPr>
              <w:t>Modification de la carte sanitaire - oncologie</w:t>
            </w:r>
            <w:r>
              <w:rPr>
                <w:noProof/>
                <w:webHidden/>
              </w:rPr>
              <w:tab/>
            </w:r>
            <w:r>
              <w:rPr>
                <w:noProof/>
                <w:webHidden/>
              </w:rPr>
              <w:fldChar w:fldCharType="begin"/>
            </w:r>
            <w:r>
              <w:rPr>
                <w:noProof/>
                <w:webHidden/>
              </w:rPr>
              <w:instrText xml:space="preserve"> PAGEREF _Toc91082777 \h </w:instrText>
            </w:r>
            <w:r>
              <w:rPr>
                <w:noProof/>
                <w:webHidden/>
              </w:rPr>
            </w:r>
            <w:r>
              <w:rPr>
                <w:noProof/>
                <w:webHidden/>
              </w:rPr>
              <w:fldChar w:fldCharType="separate"/>
            </w:r>
            <w:r w:rsidR="0036493F">
              <w:rPr>
                <w:noProof/>
                <w:webHidden/>
              </w:rPr>
              <w:t>15</w:t>
            </w:r>
            <w:r>
              <w:rPr>
                <w:noProof/>
                <w:webHidden/>
              </w:rPr>
              <w:fldChar w:fldCharType="end"/>
            </w:r>
          </w:hyperlink>
        </w:p>
        <w:p w14:paraId="5F2B8148" w14:textId="523A4F99" w:rsidR="000940D6" w:rsidRDefault="000940D6">
          <w:pPr>
            <w:pStyle w:val="TM1"/>
            <w:rPr>
              <w:rFonts w:asciiTheme="minorHAnsi" w:hAnsiTheme="minorHAnsi" w:cstheme="minorBidi"/>
              <w:b w:val="0"/>
              <w:bCs w:val="0"/>
            </w:rPr>
          </w:pPr>
          <w:hyperlink w:anchor="_Toc91082778" w:history="1">
            <w:r w:rsidRPr="00EB476A">
              <w:rPr>
                <w:rStyle w:val="Lienhypertexte"/>
              </w:rPr>
              <w:t>MEA</w:t>
            </w:r>
            <w:r w:rsidR="00822AA1">
              <w:rPr>
                <w:rStyle w:val="Lienhypertexte"/>
              </w:rPr>
              <w:t xml:space="preserve"> </w:t>
            </w:r>
            <w:r w:rsidRPr="00EB476A">
              <w:rPr>
                <w:rStyle w:val="Lienhypertexte"/>
              </w:rPr>
              <w:t>-</w:t>
            </w:r>
            <w:r w:rsidR="00822AA1">
              <w:rPr>
                <w:rStyle w:val="Lienhypertexte"/>
              </w:rPr>
              <w:t xml:space="preserve"> ministre de l’Education, du travail et de la modernisation de l’administration</w:t>
            </w:r>
            <w:r>
              <w:rPr>
                <w:webHidden/>
              </w:rPr>
              <w:tab/>
            </w:r>
            <w:r>
              <w:rPr>
                <w:webHidden/>
              </w:rPr>
              <w:fldChar w:fldCharType="begin"/>
            </w:r>
            <w:r>
              <w:rPr>
                <w:webHidden/>
              </w:rPr>
              <w:instrText xml:space="preserve"> PAGEREF _Toc91082778 \h </w:instrText>
            </w:r>
            <w:r>
              <w:rPr>
                <w:webHidden/>
              </w:rPr>
            </w:r>
            <w:r>
              <w:rPr>
                <w:webHidden/>
              </w:rPr>
              <w:fldChar w:fldCharType="separate"/>
            </w:r>
            <w:r w:rsidR="0036493F">
              <w:rPr>
                <w:webHidden/>
              </w:rPr>
              <w:t>15</w:t>
            </w:r>
            <w:r>
              <w:rPr>
                <w:webHidden/>
              </w:rPr>
              <w:fldChar w:fldCharType="end"/>
            </w:r>
          </w:hyperlink>
        </w:p>
        <w:p w14:paraId="230B7FCC" w14:textId="52D59D83" w:rsidR="000940D6" w:rsidRDefault="000940D6">
          <w:pPr>
            <w:pStyle w:val="TM2"/>
            <w:rPr>
              <w:rFonts w:cstheme="minorBidi"/>
              <w:noProof/>
            </w:rPr>
          </w:pPr>
          <w:hyperlink w:anchor="_Toc91082779" w:history="1">
            <w:r w:rsidRPr="00EB476A">
              <w:rPr>
                <w:rStyle w:val="Lienhypertexte"/>
                <w:rFonts w:eastAsia="Times New Roman"/>
                <w:noProof/>
              </w:rPr>
              <w:t>Subventions aux établissements scolaires</w:t>
            </w:r>
            <w:r>
              <w:rPr>
                <w:noProof/>
                <w:webHidden/>
              </w:rPr>
              <w:tab/>
            </w:r>
            <w:r>
              <w:rPr>
                <w:noProof/>
                <w:webHidden/>
              </w:rPr>
              <w:fldChar w:fldCharType="begin"/>
            </w:r>
            <w:r>
              <w:rPr>
                <w:noProof/>
                <w:webHidden/>
              </w:rPr>
              <w:instrText xml:space="preserve"> PAGEREF _Toc91082779 \h </w:instrText>
            </w:r>
            <w:r>
              <w:rPr>
                <w:noProof/>
                <w:webHidden/>
              </w:rPr>
            </w:r>
            <w:r>
              <w:rPr>
                <w:noProof/>
                <w:webHidden/>
              </w:rPr>
              <w:fldChar w:fldCharType="separate"/>
            </w:r>
            <w:r w:rsidR="0036493F">
              <w:rPr>
                <w:noProof/>
                <w:webHidden/>
              </w:rPr>
              <w:t>15</w:t>
            </w:r>
            <w:r>
              <w:rPr>
                <w:noProof/>
                <w:webHidden/>
              </w:rPr>
              <w:fldChar w:fldCharType="end"/>
            </w:r>
          </w:hyperlink>
        </w:p>
        <w:p w14:paraId="0B328A62" w14:textId="28A24F16" w:rsidR="000940D6" w:rsidRDefault="000940D6">
          <w:pPr>
            <w:pStyle w:val="TM2"/>
            <w:rPr>
              <w:rFonts w:cstheme="minorBidi"/>
              <w:noProof/>
            </w:rPr>
          </w:pPr>
          <w:hyperlink w:anchor="_Toc91082780" w:history="1">
            <w:r w:rsidRPr="00EB476A">
              <w:rPr>
                <w:rStyle w:val="Lienhypertexte"/>
                <w:rFonts w:eastAsia="Times New Roman"/>
                <w:noProof/>
              </w:rPr>
              <w:t xml:space="preserve">Subvention en faveur de l’Association </w:t>
            </w:r>
            <w:r w:rsidRPr="00EB476A">
              <w:rPr>
                <w:rStyle w:val="Lienhypertexte"/>
                <w:rFonts w:eastAsia="Times New Roman"/>
                <w:i/>
                <w:iCs/>
                <w:noProof/>
              </w:rPr>
              <w:t>Lire sous le vent</w:t>
            </w:r>
            <w:r>
              <w:rPr>
                <w:noProof/>
                <w:webHidden/>
              </w:rPr>
              <w:tab/>
            </w:r>
            <w:r>
              <w:rPr>
                <w:noProof/>
                <w:webHidden/>
              </w:rPr>
              <w:fldChar w:fldCharType="begin"/>
            </w:r>
            <w:r>
              <w:rPr>
                <w:noProof/>
                <w:webHidden/>
              </w:rPr>
              <w:instrText xml:space="preserve"> PAGEREF _Toc91082780 \h </w:instrText>
            </w:r>
            <w:r>
              <w:rPr>
                <w:noProof/>
                <w:webHidden/>
              </w:rPr>
            </w:r>
            <w:r>
              <w:rPr>
                <w:noProof/>
                <w:webHidden/>
              </w:rPr>
              <w:fldChar w:fldCharType="separate"/>
            </w:r>
            <w:r w:rsidR="0036493F">
              <w:rPr>
                <w:noProof/>
                <w:webHidden/>
              </w:rPr>
              <w:t>16</w:t>
            </w:r>
            <w:r>
              <w:rPr>
                <w:noProof/>
                <w:webHidden/>
              </w:rPr>
              <w:fldChar w:fldCharType="end"/>
            </w:r>
          </w:hyperlink>
        </w:p>
        <w:p w14:paraId="2CF379D7" w14:textId="7D772CA8" w:rsidR="000940D6" w:rsidRDefault="000940D6">
          <w:pPr>
            <w:pStyle w:val="TM2"/>
            <w:rPr>
              <w:rFonts w:cstheme="minorBidi"/>
              <w:noProof/>
            </w:rPr>
          </w:pPr>
          <w:hyperlink w:anchor="_Toc91082781" w:history="1">
            <w:r w:rsidRPr="00EB476A">
              <w:rPr>
                <w:rStyle w:val="Lienhypertexte"/>
                <w:noProof/>
              </w:rPr>
              <w:t>Dispositions diverses en matière de ressources humaines au sein de la fonction publique (projet loi du Pays)</w:t>
            </w:r>
            <w:r>
              <w:rPr>
                <w:noProof/>
                <w:webHidden/>
              </w:rPr>
              <w:tab/>
            </w:r>
            <w:r>
              <w:rPr>
                <w:noProof/>
                <w:webHidden/>
              </w:rPr>
              <w:fldChar w:fldCharType="begin"/>
            </w:r>
            <w:r>
              <w:rPr>
                <w:noProof/>
                <w:webHidden/>
              </w:rPr>
              <w:instrText xml:space="preserve"> PAGEREF _Toc91082781 \h </w:instrText>
            </w:r>
            <w:r>
              <w:rPr>
                <w:noProof/>
                <w:webHidden/>
              </w:rPr>
            </w:r>
            <w:r>
              <w:rPr>
                <w:noProof/>
                <w:webHidden/>
              </w:rPr>
              <w:fldChar w:fldCharType="separate"/>
            </w:r>
            <w:r w:rsidR="0036493F">
              <w:rPr>
                <w:noProof/>
                <w:webHidden/>
              </w:rPr>
              <w:t>16</w:t>
            </w:r>
            <w:r>
              <w:rPr>
                <w:noProof/>
                <w:webHidden/>
              </w:rPr>
              <w:fldChar w:fldCharType="end"/>
            </w:r>
          </w:hyperlink>
        </w:p>
        <w:p w14:paraId="42AE348A" w14:textId="1395F557" w:rsidR="00CC4CA2" w:rsidRPr="00D077BF" w:rsidRDefault="0065694E" w:rsidP="00124E3A">
          <w:pPr>
            <w:spacing w:line="276" w:lineRule="auto"/>
            <w:rPr>
              <w:rFonts w:ascii="Cambria" w:hAnsi="Cambria"/>
              <w:b/>
              <w:bCs/>
              <w:sz w:val="18"/>
              <w:szCs w:val="18"/>
            </w:rPr>
          </w:pPr>
          <w:r w:rsidRPr="00F35081">
            <w:rPr>
              <w:rFonts w:ascii="Cambria" w:hAnsi="Cambria"/>
              <w:b/>
              <w:bCs/>
              <w:sz w:val="16"/>
              <w:szCs w:val="16"/>
            </w:rPr>
            <w:fldChar w:fldCharType="end"/>
          </w:r>
        </w:p>
        <w:p w14:paraId="456EC358" w14:textId="7DF1D391" w:rsidR="00D04890" w:rsidRPr="007D1A0C" w:rsidRDefault="0047173C" w:rsidP="007D1A0C">
          <w:pPr>
            <w:spacing w:line="276" w:lineRule="auto"/>
            <w:rPr>
              <w:rFonts w:ascii="Cambria" w:hAnsi="Cambria"/>
              <w:b/>
              <w:bCs/>
              <w:sz w:val="20"/>
              <w:szCs w:val="20"/>
            </w:rPr>
          </w:pPr>
        </w:p>
      </w:sdtContent>
    </w:sdt>
    <w:p w14:paraId="491BD1D9" w14:textId="4626A5CD" w:rsidR="00380DE7" w:rsidRPr="00D077BF" w:rsidRDefault="00380DE7" w:rsidP="00EE0217">
      <w:pPr>
        <w:pStyle w:val="Titre1"/>
      </w:pPr>
      <w:bookmarkStart w:id="0" w:name="_Toc91082750"/>
      <w:r w:rsidRPr="00D077BF">
        <w:t xml:space="preserve">- </w:t>
      </w:r>
      <w:r w:rsidR="00614C68">
        <w:t>PR</w:t>
      </w:r>
      <w:r w:rsidRPr="00D077BF">
        <w:t>-</w:t>
      </w:r>
      <w:bookmarkEnd w:id="0"/>
    </w:p>
    <w:p w14:paraId="108AFD8F" w14:textId="1F50FD88" w:rsidR="00886C47" w:rsidRDefault="00886C47" w:rsidP="00561739">
      <w:pPr>
        <w:rPr>
          <w:rFonts w:ascii="Cambria" w:hAnsi="Cambria"/>
        </w:rPr>
      </w:pPr>
      <w:bookmarkStart w:id="1" w:name="_Hlk88043263"/>
      <w:bookmarkStart w:id="2" w:name="_Hlk88043438"/>
    </w:p>
    <w:p w14:paraId="011B12F1" w14:textId="77777777" w:rsidR="00886C47" w:rsidRPr="00D077BF" w:rsidRDefault="00886C47" w:rsidP="00561739">
      <w:pPr>
        <w:rPr>
          <w:rFonts w:ascii="Cambria" w:hAnsi="Cambria"/>
        </w:rPr>
      </w:pPr>
    </w:p>
    <w:p w14:paraId="56703170" w14:textId="45EB58E7" w:rsidR="00561739" w:rsidRDefault="0003620E" w:rsidP="00561739">
      <w:pPr>
        <w:pStyle w:val="Titre2"/>
        <w:rPr>
          <w:rStyle w:val="lev"/>
          <w:b/>
          <w:bCs w:val="0"/>
        </w:rPr>
      </w:pPr>
      <w:bookmarkStart w:id="3" w:name="_Hlk90990627"/>
      <w:bookmarkStart w:id="4" w:name="_Hlk89768752"/>
      <w:bookmarkStart w:id="5" w:name="_Toc91082751"/>
      <w:r>
        <w:rPr>
          <w:rStyle w:val="lev"/>
          <w:b/>
          <w:bCs w:val="0"/>
        </w:rPr>
        <w:t>Evolution du réseau satellite domestique dans les Archipels éloignés</w:t>
      </w:r>
      <w:bookmarkEnd w:id="5"/>
    </w:p>
    <w:p w14:paraId="6227B16F" w14:textId="77777777" w:rsidR="0003620E" w:rsidRDefault="0003620E" w:rsidP="0003620E">
      <w:pPr>
        <w:pStyle w:val="NormalWeb"/>
        <w:jc w:val="both"/>
        <w:rPr>
          <w:rFonts w:ascii="Cambria" w:hAnsi="Cambria" w:cs="Arial"/>
        </w:rPr>
      </w:pPr>
    </w:p>
    <w:p w14:paraId="7AE2251B" w14:textId="51C4FCE9" w:rsidR="0003620E" w:rsidRPr="0003620E" w:rsidRDefault="0003620E" w:rsidP="0003620E">
      <w:pPr>
        <w:pStyle w:val="NormalWeb"/>
        <w:jc w:val="both"/>
        <w:rPr>
          <w:rFonts w:ascii="Cambria" w:hAnsi="Cambria" w:cs="Arial"/>
        </w:rPr>
      </w:pPr>
      <w:r w:rsidRPr="0003620E">
        <w:rPr>
          <w:rFonts w:ascii="Cambria" w:hAnsi="Cambria" w:cs="Arial"/>
        </w:rPr>
        <w:t xml:space="preserve">La mise en service du câble domestique Natitua a permis à près de 2 500 </w:t>
      </w:r>
      <w:r w:rsidR="008C20D5">
        <w:rPr>
          <w:rFonts w:ascii="Cambria" w:hAnsi="Cambria" w:cs="Arial"/>
        </w:rPr>
        <w:t>foyers</w:t>
      </w:r>
      <w:r w:rsidRPr="0003620E">
        <w:rPr>
          <w:rFonts w:ascii="Cambria" w:hAnsi="Cambria" w:cs="Arial"/>
        </w:rPr>
        <w:t xml:space="preserve"> des îles des Archipels éloignés qui y sont connectées</w:t>
      </w:r>
      <w:r w:rsidR="008C20D5">
        <w:rPr>
          <w:rFonts w:ascii="Cambria" w:hAnsi="Cambria" w:cs="Arial"/>
        </w:rPr>
        <w:t>,</w:t>
      </w:r>
      <w:r w:rsidRPr="0003620E">
        <w:rPr>
          <w:rFonts w:ascii="Cambria" w:hAnsi="Cambria" w:cs="Arial"/>
        </w:rPr>
        <w:t xml:space="preserve"> d’accéder au très haut débit.</w:t>
      </w:r>
    </w:p>
    <w:p w14:paraId="05BB38D6" w14:textId="77777777" w:rsidR="0003620E" w:rsidRPr="0003620E" w:rsidRDefault="0003620E" w:rsidP="0003620E">
      <w:pPr>
        <w:pStyle w:val="NormalWeb"/>
        <w:jc w:val="both"/>
        <w:rPr>
          <w:rFonts w:ascii="Cambria" w:hAnsi="Cambria" w:cs="Arial"/>
        </w:rPr>
      </w:pPr>
      <w:r w:rsidRPr="0003620E">
        <w:rPr>
          <w:rFonts w:ascii="Cambria" w:hAnsi="Cambria" w:cs="Arial"/>
        </w:rPr>
        <w:t>Toutefois, près d’un tiers des habitants de ces archipels utilisent encore le réseau satellitaire « </w:t>
      </w:r>
      <w:proofErr w:type="spellStart"/>
      <w:r w:rsidRPr="0003620E">
        <w:rPr>
          <w:rFonts w:ascii="Cambria" w:hAnsi="Cambria" w:cs="Arial"/>
        </w:rPr>
        <w:t>Polysat</w:t>
      </w:r>
      <w:proofErr w:type="spellEnd"/>
      <w:r w:rsidRPr="0003620E">
        <w:rPr>
          <w:rFonts w:ascii="Cambria" w:hAnsi="Cambria" w:cs="Arial"/>
        </w:rPr>
        <w:t> » pour communiquer et accéder à internet. La ressource satellite étant extrêmement onéreuse, les débits internet sont limités à 1 Mbit/s maximum par client, ceci afin d’assurer un partage équitable de la capacité disponible entre tous les utilisateurs.</w:t>
      </w:r>
    </w:p>
    <w:p w14:paraId="1F04E97E" w14:textId="6DB7E6E0" w:rsidR="0003620E" w:rsidRPr="0003620E" w:rsidRDefault="0003620E" w:rsidP="0003620E">
      <w:pPr>
        <w:pStyle w:val="NormalWeb"/>
        <w:jc w:val="both"/>
        <w:rPr>
          <w:rFonts w:ascii="Cambria" w:hAnsi="Cambria" w:cs="Arial"/>
        </w:rPr>
      </w:pPr>
      <w:r w:rsidRPr="0003620E">
        <w:rPr>
          <w:rFonts w:ascii="Cambria" w:hAnsi="Cambria" w:cs="Arial"/>
        </w:rPr>
        <w:t>Aussi, le Pays, dans sa démarche contre la fracture numérique et afin d’améliorer le service de tous les polynésiens, a souhaité investir dans des capacités satellites supplémentaires. Cette opération est financée sur 5 ans pour un montant de 1 049 millions F</w:t>
      </w:r>
      <w:r>
        <w:rPr>
          <w:rFonts w:ascii="Cambria" w:hAnsi="Cambria" w:cs="Arial"/>
        </w:rPr>
        <w:t>cfp.</w:t>
      </w:r>
    </w:p>
    <w:p w14:paraId="7B870D23" w14:textId="332308D5" w:rsidR="0003620E" w:rsidRPr="0003620E" w:rsidRDefault="0003620E" w:rsidP="0003620E">
      <w:pPr>
        <w:pStyle w:val="NormalWeb"/>
        <w:jc w:val="both"/>
        <w:rPr>
          <w:rFonts w:ascii="Cambria" w:hAnsi="Cambria" w:cs="Arial"/>
        </w:rPr>
      </w:pPr>
      <w:r w:rsidRPr="0003620E">
        <w:rPr>
          <w:rFonts w:ascii="Cambria" w:hAnsi="Cambria" w:cs="Arial"/>
        </w:rPr>
        <w:t xml:space="preserve">Elle permet d’harmoniser les conditions d’accès à </w:t>
      </w:r>
      <w:r w:rsidR="00945618">
        <w:rPr>
          <w:rFonts w:ascii="Cambria" w:hAnsi="Cambria" w:cs="Arial"/>
        </w:rPr>
        <w:t>l</w:t>
      </w:r>
      <w:r w:rsidRPr="0003620E">
        <w:rPr>
          <w:rFonts w:ascii="Cambria" w:hAnsi="Cambria" w:cs="Arial"/>
        </w:rPr>
        <w:t xml:space="preserve">’internet haut débit des populations et entreprises des îles les plus éloignées telles que Rurutu, Tubuai, Rikitea, ainsi que toutes les autres îles non connectées par le câble, en doublant les débits auxquels ces </w:t>
      </w:r>
      <w:r w:rsidR="008C20D5" w:rsidRPr="0003620E">
        <w:rPr>
          <w:rFonts w:ascii="Cambria" w:hAnsi="Cambria" w:cs="Arial"/>
        </w:rPr>
        <w:t>dernièr</w:t>
      </w:r>
      <w:r w:rsidR="008C20D5">
        <w:rPr>
          <w:rFonts w:ascii="Cambria" w:hAnsi="Cambria" w:cs="Arial"/>
        </w:rPr>
        <w:t>e</w:t>
      </w:r>
      <w:r w:rsidR="008C20D5" w:rsidRPr="0003620E">
        <w:rPr>
          <w:rFonts w:ascii="Cambria" w:hAnsi="Cambria" w:cs="Arial"/>
        </w:rPr>
        <w:t>s</w:t>
      </w:r>
      <w:r w:rsidRPr="0003620E">
        <w:rPr>
          <w:rFonts w:ascii="Cambria" w:hAnsi="Cambria" w:cs="Arial"/>
        </w:rPr>
        <w:t xml:space="preserve"> auront accès. Toutefois Tubuai et Rurutu seront connectés au très haut débit par le câble sous-marin Natitua sud au premier semestre 2023.</w:t>
      </w:r>
    </w:p>
    <w:p w14:paraId="0A6D46B5" w14:textId="393DA217" w:rsidR="0003620E" w:rsidRPr="0003620E" w:rsidRDefault="0003620E" w:rsidP="0003620E">
      <w:pPr>
        <w:pStyle w:val="NormalWeb"/>
        <w:jc w:val="both"/>
        <w:rPr>
          <w:rFonts w:ascii="Cambria" w:hAnsi="Cambria" w:cs="Arial"/>
        </w:rPr>
      </w:pPr>
      <w:r w:rsidRPr="0003620E">
        <w:rPr>
          <w:rFonts w:ascii="Cambria" w:hAnsi="Cambria" w:cs="Arial"/>
        </w:rPr>
        <w:t xml:space="preserve">L’augmentation des capacités </w:t>
      </w:r>
      <w:r w:rsidR="00945618" w:rsidRPr="0003620E">
        <w:rPr>
          <w:rFonts w:ascii="Cambria" w:hAnsi="Cambria" w:cs="Arial"/>
        </w:rPr>
        <w:t>satellitaires</w:t>
      </w:r>
      <w:r w:rsidRPr="0003620E">
        <w:rPr>
          <w:rFonts w:ascii="Cambria" w:hAnsi="Cambria" w:cs="Arial"/>
        </w:rPr>
        <w:t xml:space="preserve"> interviendra </w:t>
      </w:r>
      <w:r w:rsidR="00945618" w:rsidRPr="0003620E">
        <w:rPr>
          <w:rFonts w:ascii="Cambria" w:hAnsi="Cambria" w:cs="Arial"/>
        </w:rPr>
        <w:t>dès</w:t>
      </w:r>
      <w:r w:rsidRPr="0003620E">
        <w:rPr>
          <w:rFonts w:ascii="Cambria" w:hAnsi="Cambria" w:cs="Arial"/>
        </w:rPr>
        <w:t xml:space="preserve"> la fin de ce mois de décembre.</w:t>
      </w:r>
    </w:p>
    <w:bookmarkEnd w:id="3"/>
    <w:p w14:paraId="521C66A9" w14:textId="77777777" w:rsidR="00C91FD7" w:rsidRPr="00C91FD7" w:rsidRDefault="00C91FD7" w:rsidP="00C91FD7"/>
    <w:p w14:paraId="4CB803B3" w14:textId="4A72CE35" w:rsidR="00614C68" w:rsidRDefault="00614C68" w:rsidP="00614C68"/>
    <w:p w14:paraId="6F225116" w14:textId="7116A988" w:rsidR="00614C68" w:rsidRDefault="00614C68" w:rsidP="00614C68">
      <w:pPr>
        <w:pStyle w:val="Titre2"/>
        <w:rPr>
          <w:rStyle w:val="lev"/>
          <w:b/>
          <w:bCs w:val="0"/>
        </w:rPr>
      </w:pPr>
      <w:bookmarkStart w:id="6" w:name="_Hlk90990997"/>
      <w:bookmarkStart w:id="7" w:name="_Toc91082752"/>
      <w:r>
        <w:rPr>
          <w:rStyle w:val="lev"/>
          <w:b/>
          <w:bCs w:val="0"/>
        </w:rPr>
        <w:t>Utilisation du réseau Vini par Vodafone</w:t>
      </w:r>
      <w:r w:rsidR="00945618">
        <w:rPr>
          <w:rStyle w:val="lev"/>
          <w:b/>
          <w:bCs w:val="0"/>
        </w:rPr>
        <w:t xml:space="preserve"> sur les îles de Raiatea et Huahine</w:t>
      </w:r>
      <w:bookmarkEnd w:id="7"/>
    </w:p>
    <w:p w14:paraId="4C59A70A" w14:textId="2669FAE2" w:rsidR="00C91FD7" w:rsidRDefault="00C91FD7" w:rsidP="00C91FD7"/>
    <w:p w14:paraId="2C852E46" w14:textId="77777777" w:rsidR="00945618" w:rsidRPr="00945618" w:rsidRDefault="00945618" w:rsidP="00945618">
      <w:pPr>
        <w:jc w:val="both"/>
        <w:rPr>
          <w:rFonts w:ascii="Cambria" w:hAnsi="Cambria" w:cs="Arial"/>
          <w:b/>
          <w:color w:val="000000"/>
          <w:lang w:eastAsia="fr-FR"/>
        </w:rPr>
      </w:pPr>
      <w:r w:rsidRPr="00945618">
        <w:rPr>
          <w:rFonts w:ascii="Cambria" w:hAnsi="Cambria" w:cs="Arial"/>
          <w:color w:val="000000"/>
          <w:lang w:eastAsia="fr-FR"/>
        </w:rPr>
        <w:t>Depuis 2013 et l’ouverture de son réseau et de ses services commerciaux, Vodafone, 2ème opérateur mobile autorisé en Polynésie française, utilise le réseau Vini dans les îles où il n’est pas déployé.</w:t>
      </w:r>
    </w:p>
    <w:p w14:paraId="0C4CF80E" w14:textId="77777777" w:rsidR="00945618" w:rsidRPr="00945618" w:rsidRDefault="00945618" w:rsidP="00945618">
      <w:pPr>
        <w:jc w:val="both"/>
        <w:rPr>
          <w:rFonts w:ascii="Cambria" w:hAnsi="Cambria" w:cs="Arial"/>
          <w:b/>
          <w:color w:val="000000"/>
          <w:lang w:eastAsia="fr-FR"/>
        </w:rPr>
      </w:pPr>
    </w:p>
    <w:p w14:paraId="7FD4DC5A" w14:textId="41B05A74" w:rsidR="00945618" w:rsidRPr="00945618" w:rsidRDefault="00945618" w:rsidP="00945618">
      <w:pPr>
        <w:jc w:val="both"/>
        <w:rPr>
          <w:rFonts w:ascii="Cambria" w:hAnsi="Cambria" w:cs="Arial"/>
          <w:color w:val="000000"/>
          <w:lang w:eastAsia="fr-FR"/>
        </w:rPr>
      </w:pPr>
      <w:r w:rsidRPr="00945618">
        <w:rPr>
          <w:rFonts w:ascii="Cambria" w:hAnsi="Cambria" w:cs="Arial"/>
          <w:color w:val="000000"/>
          <w:lang w:eastAsia="fr-FR"/>
        </w:rPr>
        <w:lastRenderedPageBreak/>
        <w:t>Cette prestation, appelée « prestation d’itinérance nationale », repose sur un accord commercial conclu entre la société Pacific Mobile Telecom (PMT, marque Vodafone) et la société</w:t>
      </w:r>
      <w:r w:rsidR="00863962">
        <w:rPr>
          <w:rFonts w:ascii="Cambria" w:hAnsi="Cambria" w:cs="Arial"/>
          <w:color w:val="000000"/>
          <w:lang w:eastAsia="fr-FR"/>
        </w:rPr>
        <w:t xml:space="preserve"> </w:t>
      </w:r>
      <w:proofErr w:type="spellStart"/>
      <w:r w:rsidRPr="00945618">
        <w:rPr>
          <w:rFonts w:ascii="Cambria" w:hAnsi="Cambria" w:cs="Arial"/>
          <w:color w:val="000000"/>
          <w:lang w:eastAsia="fr-FR"/>
        </w:rPr>
        <w:t>O</w:t>
      </w:r>
      <w:r w:rsidR="00300FE6" w:rsidRPr="00945618">
        <w:rPr>
          <w:rFonts w:ascii="Cambria" w:hAnsi="Cambria" w:cs="Arial"/>
          <w:color w:val="000000"/>
          <w:lang w:eastAsia="fr-FR"/>
        </w:rPr>
        <w:t>nati</w:t>
      </w:r>
      <w:proofErr w:type="spellEnd"/>
      <w:r w:rsidRPr="00945618">
        <w:rPr>
          <w:rFonts w:ascii="Cambria" w:hAnsi="Cambria" w:cs="Arial"/>
          <w:color w:val="000000"/>
          <w:lang w:eastAsia="fr-FR"/>
        </w:rPr>
        <w:t xml:space="preserve"> (marque Vini), selon les dispositions</w:t>
      </w:r>
      <w:r w:rsidR="00300FE6">
        <w:rPr>
          <w:rFonts w:ascii="Cambria" w:hAnsi="Cambria" w:cs="Arial"/>
          <w:color w:val="000000"/>
          <w:lang w:eastAsia="fr-FR"/>
        </w:rPr>
        <w:t xml:space="preserve"> </w:t>
      </w:r>
      <w:r w:rsidRPr="00945618">
        <w:rPr>
          <w:rFonts w:ascii="Cambria" w:hAnsi="Cambria" w:cs="Arial"/>
          <w:color w:val="000000"/>
          <w:lang w:eastAsia="fr-FR"/>
        </w:rPr>
        <w:t>du Code des Postes et Télécommunications. Malgré la modification à plusieurs reprises de ses obligations de déploiement et la délivrance d’autorisations de fréquences radioélectriques, il est constaté que le calendrier de déploiement de PMT n'est toujours pas respecté.</w:t>
      </w:r>
    </w:p>
    <w:p w14:paraId="24167826" w14:textId="77777777" w:rsidR="00945618" w:rsidRPr="00945618" w:rsidRDefault="00945618" w:rsidP="00945618">
      <w:pPr>
        <w:jc w:val="both"/>
        <w:rPr>
          <w:rFonts w:ascii="Cambria" w:hAnsi="Cambria" w:cs="Arial"/>
          <w:color w:val="000000"/>
          <w:lang w:eastAsia="fr-FR"/>
        </w:rPr>
      </w:pPr>
    </w:p>
    <w:p w14:paraId="0D0C0706" w14:textId="6863F371" w:rsidR="00945618" w:rsidRPr="00945618" w:rsidRDefault="00945618" w:rsidP="00945618">
      <w:pPr>
        <w:jc w:val="both"/>
        <w:rPr>
          <w:rFonts w:ascii="Cambria" w:hAnsi="Cambria" w:cs="Arial"/>
          <w:color w:val="000000"/>
          <w:lang w:eastAsia="fr-FR"/>
        </w:rPr>
      </w:pPr>
      <w:r w:rsidRPr="00945618">
        <w:rPr>
          <w:rFonts w:ascii="Cambria" w:hAnsi="Cambria" w:cs="Arial"/>
          <w:color w:val="000000"/>
          <w:lang w:eastAsia="fr-FR"/>
        </w:rPr>
        <w:t xml:space="preserve">Depuis le renouvellement de leur accord commercial en 2019, la société </w:t>
      </w:r>
      <w:proofErr w:type="spellStart"/>
      <w:r w:rsidRPr="00945618">
        <w:rPr>
          <w:rFonts w:ascii="Cambria" w:hAnsi="Cambria" w:cs="Arial"/>
          <w:color w:val="000000"/>
          <w:lang w:eastAsia="fr-FR"/>
        </w:rPr>
        <w:t>O</w:t>
      </w:r>
      <w:r w:rsidR="00300FE6" w:rsidRPr="00945618">
        <w:rPr>
          <w:rFonts w:ascii="Cambria" w:hAnsi="Cambria" w:cs="Arial"/>
          <w:color w:val="000000"/>
          <w:lang w:eastAsia="fr-FR"/>
        </w:rPr>
        <w:t>nati</w:t>
      </w:r>
      <w:proofErr w:type="spellEnd"/>
      <w:r w:rsidRPr="00945618">
        <w:rPr>
          <w:rFonts w:ascii="Cambria" w:hAnsi="Cambria" w:cs="Arial"/>
          <w:color w:val="000000"/>
          <w:lang w:eastAsia="fr-FR"/>
        </w:rPr>
        <w:t xml:space="preserve"> continuait cependant à fournir à la société PMT des prestations d’itinérance sur toutes les îles qu’elle ne couvrait pas, malgré ses engagements. </w:t>
      </w:r>
      <w:proofErr w:type="spellStart"/>
      <w:r w:rsidRPr="00945618">
        <w:rPr>
          <w:rFonts w:ascii="Cambria" w:hAnsi="Cambria" w:cs="Arial"/>
          <w:color w:val="000000"/>
          <w:lang w:eastAsia="fr-FR"/>
        </w:rPr>
        <w:t>O</w:t>
      </w:r>
      <w:r w:rsidR="00300FE6" w:rsidRPr="00945618">
        <w:rPr>
          <w:rFonts w:ascii="Cambria" w:hAnsi="Cambria" w:cs="Arial"/>
          <w:color w:val="000000"/>
          <w:lang w:eastAsia="fr-FR"/>
        </w:rPr>
        <w:t>nati</w:t>
      </w:r>
      <w:proofErr w:type="spellEnd"/>
      <w:r w:rsidRPr="00945618">
        <w:rPr>
          <w:rFonts w:ascii="Cambria" w:hAnsi="Cambria" w:cs="Arial"/>
          <w:color w:val="000000"/>
          <w:lang w:eastAsia="fr-FR"/>
        </w:rPr>
        <w:t xml:space="preserve"> avait notamment accepté d’étendre la durée du service sur les îles de Raiatea et Huahine jusqu’en 2021, lorsque la convention initiale prévoyait une fin de service en 2015.</w:t>
      </w:r>
    </w:p>
    <w:p w14:paraId="21763405" w14:textId="77777777" w:rsidR="00945618" w:rsidRPr="00945618" w:rsidRDefault="00945618" w:rsidP="00945618">
      <w:pPr>
        <w:jc w:val="both"/>
        <w:rPr>
          <w:rFonts w:ascii="Cambria" w:hAnsi="Cambria" w:cs="Arial"/>
          <w:color w:val="000000"/>
          <w:lang w:eastAsia="fr-FR"/>
        </w:rPr>
      </w:pPr>
    </w:p>
    <w:p w14:paraId="4EB65831" w14:textId="3E21926B" w:rsidR="00945618" w:rsidRPr="00945618" w:rsidRDefault="00945618" w:rsidP="00945618">
      <w:pPr>
        <w:jc w:val="both"/>
        <w:rPr>
          <w:rFonts w:ascii="Cambria" w:hAnsi="Cambria" w:cs="Arial"/>
          <w:color w:val="000000"/>
          <w:lang w:eastAsia="fr-FR"/>
        </w:rPr>
      </w:pPr>
      <w:r w:rsidRPr="00945618">
        <w:rPr>
          <w:rFonts w:ascii="Cambria" w:hAnsi="Cambria" w:cs="Arial"/>
          <w:color w:val="000000"/>
          <w:lang w:eastAsia="fr-FR"/>
        </w:rPr>
        <w:t>Or, les îles de Raiatea et Huahine sont désormais couvertes par la société PMT, laquelle y dispose d’antennes actives pour satisfaire les besoins de ses clients. L’itinérance dans ces îles n’est donc plus raisonnable ni nécessair</w:t>
      </w:r>
      <w:r w:rsidR="00300FE6">
        <w:rPr>
          <w:rFonts w:ascii="Cambria" w:hAnsi="Cambria" w:cs="Arial"/>
          <w:color w:val="000000"/>
          <w:lang w:eastAsia="fr-FR"/>
        </w:rPr>
        <w:t>e</w:t>
      </w:r>
      <w:r w:rsidRPr="00945618">
        <w:rPr>
          <w:rFonts w:ascii="Cambria" w:hAnsi="Cambria" w:cs="Arial"/>
          <w:color w:val="000000"/>
          <w:lang w:eastAsia="fr-FR"/>
        </w:rPr>
        <w:t xml:space="preserve">. Aussi, conformément à l’accord commercial conclu entre les deux opérateurs mobiles, </w:t>
      </w:r>
      <w:proofErr w:type="spellStart"/>
      <w:r w:rsidRPr="00945618">
        <w:rPr>
          <w:rFonts w:ascii="Cambria" w:hAnsi="Cambria" w:cs="Arial"/>
          <w:color w:val="000000"/>
          <w:lang w:eastAsia="fr-FR"/>
        </w:rPr>
        <w:t>O</w:t>
      </w:r>
      <w:r w:rsidR="00300FE6" w:rsidRPr="00945618">
        <w:rPr>
          <w:rFonts w:ascii="Cambria" w:hAnsi="Cambria" w:cs="Arial"/>
          <w:color w:val="000000"/>
          <w:lang w:eastAsia="fr-FR"/>
        </w:rPr>
        <w:t>nati</w:t>
      </w:r>
      <w:proofErr w:type="spellEnd"/>
      <w:r w:rsidRPr="00945618">
        <w:rPr>
          <w:rFonts w:ascii="Cambria" w:hAnsi="Cambria" w:cs="Arial"/>
          <w:color w:val="000000"/>
          <w:lang w:eastAsia="fr-FR"/>
        </w:rPr>
        <w:t xml:space="preserve"> prévoit la fin de l’utilisation de son réseau par PMT sur ces deux îles le 2 janvier 2022 à minuit. </w:t>
      </w:r>
    </w:p>
    <w:p w14:paraId="4462285E" w14:textId="77777777" w:rsidR="00945618" w:rsidRPr="00945618" w:rsidRDefault="00945618" w:rsidP="00945618">
      <w:pPr>
        <w:jc w:val="both"/>
        <w:rPr>
          <w:rFonts w:ascii="Cambria" w:hAnsi="Cambria" w:cs="Arial"/>
          <w:color w:val="000000"/>
          <w:lang w:eastAsia="fr-FR"/>
        </w:rPr>
      </w:pPr>
    </w:p>
    <w:p w14:paraId="04B36C74" w14:textId="77777777" w:rsidR="00945618" w:rsidRPr="00945618" w:rsidRDefault="00945618" w:rsidP="00945618">
      <w:pPr>
        <w:jc w:val="both"/>
        <w:rPr>
          <w:rFonts w:ascii="Cambria" w:hAnsi="Cambria" w:cs="Arial"/>
          <w:color w:val="000000"/>
          <w:lang w:eastAsia="fr-FR"/>
        </w:rPr>
      </w:pPr>
      <w:r w:rsidRPr="00945618">
        <w:rPr>
          <w:rFonts w:ascii="Cambria" w:hAnsi="Cambria" w:cs="Arial"/>
          <w:color w:val="000000"/>
          <w:lang w:eastAsia="fr-FR"/>
        </w:rPr>
        <w:t>Le Pays souligne l’importance des déploiements de la société PMT dans ces deux îles et ne peut que souhaiter qu’ils se poursuivent dans les autres îles pour mettre fin à ses retards. Il rappelle en effet que la poursuite des investissements de chaque opérateur autorisé dans le déploiement de ses équipements en propre, permet à la concurrence par les infrastructures de s’exercer, gage d’une animation concurrentielle durable, saine et dynamique du marché au bénéfice de tous les polynésiens.</w:t>
      </w:r>
    </w:p>
    <w:bookmarkEnd w:id="6"/>
    <w:p w14:paraId="315D9B79" w14:textId="77777777" w:rsidR="00614C68" w:rsidRPr="00614C68" w:rsidRDefault="00614C68" w:rsidP="00614C68"/>
    <w:p w14:paraId="55FC7720" w14:textId="5172ED47" w:rsidR="00614C68" w:rsidRDefault="00614C68" w:rsidP="00614C68"/>
    <w:p w14:paraId="0D90609D" w14:textId="2C770B7B" w:rsidR="00614C68" w:rsidRDefault="00614C68" w:rsidP="00614C68">
      <w:pPr>
        <w:pStyle w:val="Titre1"/>
      </w:pPr>
      <w:bookmarkStart w:id="8" w:name="_Toc91082753"/>
      <w:r w:rsidRPr="00D077BF">
        <w:t xml:space="preserve">- </w:t>
      </w:r>
      <w:r>
        <w:t>VP</w:t>
      </w:r>
      <w:r w:rsidRPr="00D077BF">
        <w:t>-</w:t>
      </w:r>
      <w:bookmarkEnd w:id="8"/>
    </w:p>
    <w:p w14:paraId="5E9C6B78" w14:textId="77777777" w:rsidR="002A1652" w:rsidRPr="002A1652" w:rsidRDefault="002A1652" w:rsidP="002A1652"/>
    <w:p w14:paraId="4F982E93" w14:textId="698E3698" w:rsidR="00F51D3A" w:rsidRDefault="00F51D3A" w:rsidP="00F51D3A"/>
    <w:p w14:paraId="31AA3AB8" w14:textId="44F2B0B9" w:rsidR="002A1652" w:rsidRDefault="002A1652" w:rsidP="002A1652">
      <w:pPr>
        <w:pStyle w:val="Titre2"/>
        <w:rPr>
          <w:rStyle w:val="lev"/>
          <w:b/>
          <w:bCs w:val="0"/>
        </w:rPr>
      </w:pPr>
      <w:bookmarkStart w:id="9" w:name="_Toc91082754"/>
      <w:r>
        <w:rPr>
          <w:rStyle w:val="lev"/>
          <w:b/>
          <w:bCs w:val="0"/>
        </w:rPr>
        <w:t>Subvention au profit de l’OPH pour la réhabilitation du Centre d’hébergement des étudiants d’Outumaoro</w:t>
      </w:r>
      <w:bookmarkEnd w:id="9"/>
    </w:p>
    <w:p w14:paraId="6A9B70D2" w14:textId="77777777" w:rsidR="002A1652" w:rsidRDefault="002A1652" w:rsidP="002A1652">
      <w:pPr>
        <w:jc w:val="both"/>
      </w:pPr>
    </w:p>
    <w:p w14:paraId="0F23ECA0" w14:textId="26F1C1DA" w:rsidR="002A1652" w:rsidRDefault="002A1652" w:rsidP="002A1652">
      <w:pPr>
        <w:jc w:val="both"/>
        <w:rPr>
          <w:rFonts w:ascii="Cambria" w:hAnsi="Cambria" w:cs="Arial"/>
        </w:rPr>
      </w:pPr>
      <w:r>
        <w:rPr>
          <w:rFonts w:ascii="Cambria" w:hAnsi="Cambria" w:cs="Arial"/>
        </w:rPr>
        <w:t>S</w:t>
      </w:r>
      <w:r w:rsidRPr="002A1652">
        <w:rPr>
          <w:rFonts w:ascii="Cambria" w:hAnsi="Cambria" w:cs="Arial"/>
        </w:rPr>
        <w:t xml:space="preserve">ur proposition du ministre du </w:t>
      </w:r>
      <w:r w:rsidR="00116BB3">
        <w:rPr>
          <w:rFonts w:ascii="Cambria" w:hAnsi="Cambria" w:cs="Arial"/>
        </w:rPr>
        <w:t>L</w:t>
      </w:r>
      <w:r w:rsidRPr="002A1652">
        <w:rPr>
          <w:rFonts w:ascii="Cambria" w:hAnsi="Cambria" w:cs="Arial"/>
        </w:rPr>
        <w:t>ogement, le Conseil des ministre a octroyé une subvention d'investissement en faveur de l’Office Polynésien de l’Habitat</w:t>
      </w:r>
      <w:r>
        <w:rPr>
          <w:rFonts w:ascii="Cambria" w:hAnsi="Cambria" w:cs="Arial"/>
        </w:rPr>
        <w:t xml:space="preserve"> (OPH)</w:t>
      </w:r>
      <w:r w:rsidRPr="002A1652">
        <w:rPr>
          <w:rFonts w:ascii="Cambria" w:hAnsi="Cambria" w:cs="Arial"/>
        </w:rPr>
        <w:t xml:space="preserve"> pour financer l’opération « travaux de réhabilitation du Centre d’Hébergement des Etudiants</w:t>
      </w:r>
      <w:r>
        <w:rPr>
          <w:rFonts w:ascii="Cambria" w:hAnsi="Cambria" w:cs="Arial"/>
        </w:rPr>
        <w:t xml:space="preserve"> (CHE)</w:t>
      </w:r>
      <w:r w:rsidRPr="002A1652">
        <w:rPr>
          <w:rFonts w:ascii="Cambria" w:hAnsi="Cambria" w:cs="Arial"/>
        </w:rPr>
        <w:t xml:space="preserve"> » situé dans la commune de Punaauia. </w:t>
      </w:r>
    </w:p>
    <w:p w14:paraId="3CC8E57F" w14:textId="77777777" w:rsidR="002A1652" w:rsidRPr="002A1652" w:rsidRDefault="002A1652" w:rsidP="002A1652">
      <w:pPr>
        <w:jc w:val="both"/>
        <w:rPr>
          <w:rFonts w:ascii="Cambria" w:hAnsi="Cambria" w:cs="Arial"/>
        </w:rPr>
      </w:pPr>
    </w:p>
    <w:p w14:paraId="70397DAE" w14:textId="02191275" w:rsidR="002A1652" w:rsidRDefault="002A1652" w:rsidP="002A1652">
      <w:pPr>
        <w:jc w:val="both"/>
        <w:rPr>
          <w:rFonts w:ascii="Cambria" w:hAnsi="Cambria" w:cs="Arial"/>
        </w:rPr>
      </w:pPr>
      <w:r w:rsidRPr="002A1652">
        <w:rPr>
          <w:rFonts w:ascii="Cambria" w:hAnsi="Cambria" w:cs="Arial"/>
        </w:rPr>
        <w:t>Après avoir identifié les postes de réhabilitation et déterminé les besoins des étudiants locataires sur le plan de la réhabilitation et des aménagements/équipements à installer, un programme d’intervention a pu être défini.</w:t>
      </w:r>
    </w:p>
    <w:p w14:paraId="16E5B366" w14:textId="77777777" w:rsidR="002A1652" w:rsidRPr="002A1652" w:rsidRDefault="002A1652" w:rsidP="002A1652">
      <w:pPr>
        <w:jc w:val="both"/>
        <w:rPr>
          <w:rFonts w:ascii="Cambria" w:hAnsi="Cambria" w:cs="Arial"/>
        </w:rPr>
      </w:pPr>
    </w:p>
    <w:p w14:paraId="137C03A3" w14:textId="110984A0" w:rsidR="002A1652" w:rsidRPr="002A1652" w:rsidRDefault="002A1652" w:rsidP="002A1652">
      <w:pPr>
        <w:jc w:val="both"/>
        <w:rPr>
          <w:rFonts w:ascii="Cambria" w:hAnsi="Cambria" w:cs="Arial"/>
        </w:rPr>
      </w:pPr>
      <w:r w:rsidRPr="002A1652">
        <w:rPr>
          <w:rFonts w:ascii="Cambria" w:hAnsi="Cambria" w:cs="Arial"/>
        </w:rPr>
        <w:t xml:space="preserve">Ainsi, </w:t>
      </w:r>
      <w:r>
        <w:rPr>
          <w:rFonts w:ascii="Cambria" w:hAnsi="Cambria" w:cs="Arial"/>
        </w:rPr>
        <w:t>l’OPH</w:t>
      </w:r>
      <w:r w:rsidRPr="002A1652">
        <w:rPr>
          <w:rFonts w:ascii="Cambria" w:hAnsi="Cambria" w:cs="Arial"/>
        </w:rPr>
        <w:t xml:space="preserve"> envisage de réhabiliter les cinq unités d’habitations du centre d’hébergement des étudiants, qui regroupent 114 logements. Afin de préserver la capacité d’accueil du CHE pendant les périodes de scolarité, les travaux de réhabilitation seront réalisés en trois phases :</w:t>
      </w:r>
    </w:p>
    <w:p w14:paraId="17A451B2" w14:textId="77777777" w:rsidR="002A1652" w:rsidRPr="002A1652" w:rsidRDefault="002A1652" w:rsidP="002A1652">
      <w:pPr>
        <w:numPr>
          <w:ilvl w:val="0"/>
          <w:numId w:val="11"/>
        </w:numPr>
        <w:jc w:val="both"/>
        <w:rPr>
          <w:rFonts w:ascii="Cambria" w:hAnsi="Cambria" w:cs="Arial"/>
        </w:rPr>
      </w:pPr>
      <w:proofErr w:type="gramStart"/>
      <w:r w:rsidRPr="002A1652">
        <w:rPr>
          <w:rFonts w:ascii="Cambria" w:hAnsi="Cambria" w:cs="Arial"/>
        </w:rPr>
        <w:t>la</w:t>
      </w:r>
      <w:proofErr w:type="gramEnd"/>
      <w:r w:rsidRPr="002A1652">
        <w:rPr>
          <w:rFonts w:ascii="Cambria" w:hAnsi="Cambria" w:cs="Arial"/>
        </w:rPr>
        <w:t xml:space="preserve"> première phase, qui est en cours, concerne le désamiantage du bâtiment « C »,</w:t>
      </w:r>
    </w:p>
    <w:p w14:paraId="15DEC619" w14:textId="77777777" w:rsidR="002A1652" w:rsidRPr="002A1652" w:rsidRDefault="002A1652" w:rsidP="002A1652">
      <w:pPr>
        <w:numPr>
          <w:ilvl w:val="0"/>
          <w:numId w:val="11"/>
        </w:numPr>
        <w:jc w:val="both"/>
        <w:rPr>
          <w:rFonts w:ascii="Cambria" w:hAnsi="Cambria" w:cs="Arial"/>
        </w:rPr>
      </w:pPr>
      <w:proofErr w:type="gramStart"/>
      <w:r w:rsidRPr="002A1652">
        <w:rPr>
          <w:rFonts w:ascii="Cambria" w:hAnsi="Cambria" w:cs="Arial"/>
        </w:rPr>
        <w:t>la</w:t>
      </w:r>
      <w:proofErr w:type="gramEnd"/>
      <w:r w:rsidRPr="002A1652">
        <w:rPr>
          <w:rFonts w:ascii="Cambria" w:hAnsi="Cambria" w:cs="Arial"/>
        </w:rPr>
        <w:t xml:space="preserve"> seconde phase, portera sur la réhabilitation des bâtiments « D et E »,</w:t>
      </w:r>
    </w:p>
    <w:p w14:paraId="1E627BE9" w14:textId="77777777" w:rsidR="002A1652" w:rsidRPr="002A1652" w:rsidRDefault="002A1652" w:rsidP="002A1652">
      <w:pPr>
        <w:numPr>
          <w:ilvl w:val="0"/>
          <w:numId w:val="11"/>
        </w:numPr>
        <w:jc w:val="both"/>
        <w:rPr>
          <w:rFonts w:ascii="Cambria" w:hAnsi="Cambria" w:cs="Arial"/>
        </w:rPr>
      </w:pPr>
      <w:proofErr w:type="gramStart"/>
      <w:r w:rsidRPr="002A1652">
        <w:rPr>
          <w:rFonts w:ascii="Cambria" w:hAnsi="Cambria" w:cs="Arial"/>
        </w:rPr>
        <w:lastRenderedPageBreak/>
        <w:t>la</w:t>
      </w:r>
      <w:proofErr w:type="gramEnd"/>
      <w:r w:rsidRPr="002A1652">
        <w:rPr>
          <w:rFonts w:ascii="Cambria" w:hAnsi="Cambria" w:cs="Arial"/>
        </w:rPr>
        <w:t xml:space="preserve"> troisième phase impliquera la réhabilitation des bâtiments « A et B ».</w:t>
      </w:r>
    </w:p>
    <w:p w14:paraId="4F785B6E" w14:textId="77777777" w:rsidR="002A1652" w:rsidRDefault="002A1652" w:rsidP="002A1652">
      <w:pPr>
        <w:jc w:val="both"/>
        <w:rPr>
          <w:rFonts w:ascii="Cambria" w:hAnsi="Cambria" w:cs="Arial"/>
        </w:rPr>
      </w:pPr>
    </w:p>
    <w:p w14:paraId="6271EA3E" w14:textId="575875A8" w:rsidR="002A1652" w:rsidRPr="002A1652" w:rsidRDefault="002A1652" w:rsidP="002A1652">
      <w:pPr>
        <w:jc w:val="both"/>
        <w:rPr>
          <w:rFonts w:ascii="Cambria" w:hAnsi="Cambria" w:cs="Arial"/>
        </w:rPr>
      </w:pPr>
      <w:r w:rsidRPr="002A1652">
        <w:rPr>
          <w:rFonts w:ascii="Cambria" w:hAnsi="Cambria" w:cs="Arial"/>
        </w:rPr>
        <w:t>La gestion des déchets sera également traitée par la création de locaux dédiés à l’écart des logements. A terme, les cinq bâtiments se rapprocheront des standards de finitions de la tranche 2 des logements étudiants récemment construite.</w:t>
      </w:r>
    </w:p>
    <w:p w14:paraId="47343067" w14:textId="33DF9325" w:rsidR="002A1652" w:rsidRDefault="002A1652" w:rsidP="002A1652">
      <w:pPr>
        <w:jc w:val="both"/>
        <w:rPr>
          <w:rFonts w:ascii="Cambria" w:hAnsi="Cambria" w:cs="Arial"/>
        </w:rPr>
      </w:pPr>
      <w:r w:rsidRPr="002A1652">
        <w:rPr>
          <w:rFonts w:ascii="Cambria" w:hAnsi="Cambria" w:cs="Arial"/>
        </w:rPr>
        <w:t>La planification qui s’étale sur 3 ans pourra éventuellement évoluer en fonction des possibilités de relogement, qui pourront être identifiées pour les étudiants dans le but d’accélérer le chantier.</w:t>
      </w:r>
    </w:p>
    <w:p w14:paraId="231CC431" w14:textId="77777777" w:rsidR="0045765A" w:rsidRPr="002A1652" w:rsidRDefault="0045765A" w:rsidP="002A1652">
      <w:pPr>
        <w:jc w:val="both"/>
        <w:rPr>
          <w:rFonts w:ascii="Cambria" w:hAnsi="Cambria" w:cs="Arial"/>
        </w:rPr>
      </w:pPr>
    </w:p>
    <w:p w14:paraId="3831BE21" w14:textId="219F45CC" w:rsidR="002A1652" w:rsidRDefault="002A1652" w:rsidP="002A1652">
      <w:pPr>
        <w:jc w:val="both"/>
        <w:rPr>
          <w:rFonts w:ascii="Cambria" w:hAnsi="Cambria" w:cs="Arial"/>
        </w:rPr>
      </w:pPr>
      <w:r w:rsidRPr="002A1652">
        <w:rPr>
          <w:rFonts w:ascii="Cambria" w:hAnsi="Cambria" w:cs="Arial"/>
        </w:rPr>
        <w:t xml:space="preserve">Sur le plan de la maîtrise foncière, l’arrêté 05 octobre 2021 prévoit un phasage des affectations, qui correspond à l’exécution des travaux précisée dans le planning prévisionnel de réalisation. </w:t>
      </w:r>
    </w:p>
    <w:p w14:paraId="76456D36" w14:textId="77777777" w:rsidR="0045765A" w:rsidRPr="002A1652" w:rsidRDefault="0045765A" w:rsidP="002A1652">
      <w:pPr>
        <w:jc w:val="both"/>
        <w:rPr>
          <w:rFonts w:ascii="Cambria" w:hAnsi="Cambria" w:cs="Arial"/>
        </w:rPr>
      </w:pPr>
    </w:p>
    <w:p w14:paraId="6757C23D" w14:textId="77777777" w:rsidR="002A1652" w:rsidRPr="002A1652" w:rsidRDefault="002A1652" w:rsidP="002A1652">
      <w:pPr>
        <w:jc w:val="both"/>
        <w:rPr>
          <w:rFonts w:ascii="Cambria" w:hAnsi="Cambria" w:cs="Arial"/>
        </w:rPr>
      </w:pPr>
      <w:r w:rsidRPr="002A1652">
        <w:rPr>
          <w:rFonts w:ascii="Cambria" w:hAnsi="Cambria" w:cs="Arial"/>
        </w:rPr>
        <w:t>Par ailleurs, un transfert de gestion des logements sociaux étudiants, visant à donner à l’OPH la pleine maîtrise de la gestion de ce parc, est en cours d’élaboration.</w:t>
      </w:r>
    </w:p>
    <w:p w14:paraId="022D31A2" w14:textId="77777777" w:rsidR="0045765A" w:rsidRDefault="0045765A" w:rsidP="002A1652">
      <w:pPr>
        <w:jc w:val="both"/>
        <w:rPr>
          <w:rFonts w:ascii="Cambria" w:hAnsi="Cambria" w:cs="Arial"/>
        </w:rPr>
      </w:pPr>
    </w:p>
    <w:p w14:paraId="2CC39E97" w14:textId="607BA31B" w:rsidR="002A1652" w:rsidRPr="002A1652" w:rsidRDefault="002A1652" w:rsidP="002A1652">
      <w:pPr>
        <w:jc w:val="both"/>
        <w:rPr>
          <w:rFonts w:ascii="Cambria" w:hAnsi="Cambria" w:cs="Arial"/>
        </w:rPr>
      </w:pPr>
      <w:r w:rsidRPr="002A1652">
        <w:rPr>
          <w:rFonts w:ascii="Cambria" w:hAnsi="Cambria" w:cs="Arial"/>
        </w:rPr>
        <w:t>Le coût total des travaux est estimé à la hauteur de la subvention soit 665 000 000 Fcfp TTC, financé au titre du plan de relance à 50% par le Pays et 50% par l’Etat pour un prévisionnel de 36 mois de travaux.</w:t>
      </w:r>
    </w:p>
    <w:p w14:paraId="0FD15AA2" w14:textId="67A7C711" w:rsidR="005D2470" w:rsidRDefault="005D2470" w:rsidP="002A1652">
      <w:pPr>
        <w:jc w:val="both"/>
        <w:rPr>
          <w:rFonts w:ascii="Cambria" w:hAnsi="Cambria" w:cs="Arial"/>
        </w:rPr>
      </w:pPr>
    </w:p>
    <w:p w14:paraId="22467782" w14:textId="3EDCBAC3" w:rsidR="002A1652" w:rsidRDefault="002A1652" w:rsidP="002A1652">
      <w:pPr>
        <w:rPr>
          <w:rFonts w:ascii="Cambria" w:hAnsi="Cambria" w:cs="Arial"/>
        </w:rPr>
      </w:pPr>
    </w:p>
    <w:p w14:paraId="34F59BFD" w14:textId="77777777" w:rsidR="002A1652" w:rsidRDefault="002A1652" w:rsidP="002A1652"/>
    <w:p w14:paraId="6ECDF753" w14:textId="59BF7292" w:rsidR="00A43127" w:rsidRDefault="00614C68" w:rsidP="00A43127">
      <w:pPr>
        <w:pStyle w:val="Titre2"/>
        <w:rPr>
          <w:rStyle w:val="lev"/>
          <w:b/>
          <w:bCs w:val="0"/>
        </w:rPr>
      </w:pPr>
      <w:bookmarkStart w:id="10" w:name="_Hlk90995390"/>
      <w:bookmarkStart w:id="11" w:name="_Toc91082755"/>
      <w:r>
        <w:rPr>
          <w:rStyle w:val="lev"/>
          <w:b/>
          <w:bCs w:val="0"/>
        </w:rPr>
        <w:t xml:space="preserve">Modification </w:t>
      </w:r>
      <w:r w:rsidR="009C730B">
        <w:rPr>
          <w:rStyle w:val="lev"/>
          <w:b/>
          <w:bCs w:val="0"/>
        </w:rPr>
        <w:t xml:space="preserve">du </w:t>
      </w:r>
      <w:r>
        <w:rPr>
          <w:rStyle w:val="lev"/>
          <w:b/>
          <w:bCs w:val="0"/>
        </w:rPr>
        <w:t>code de l’aménagement</w:t>
      </w:r>
      <w:r w:rsidR="009C730B">
        <w:rPr>
          <w:rStyle w:val="lev"/>
          <w:b/>
          <w:bCs w:val="0"/>
        </w:rPr>
        <w:t xml:space="preserve"> de la Polynésie française</w:t>
      </w:r>
      <w:bookmarkEnd w:id="11"/>
    </w:p>
    <w:p w14:paraId="42666F70" w14:textId="198EB70A" w:rsidR="00A43127" w:rsidRDefault="00A43127" w:rsidP="009C730B">
      <w:pPr>
        <w:jc w:val="both"/>
      </w:pPr>
    </w:p>
    <w:p w14:paraId="5FD7F075" w14:textId="58AA3488" w:rsidR="009C730B" w:rsidRDefault="009C730B" w:rsidP="009C730B">
      <w:pPr>
        <w:jc w:val="both"/>
        <w:rPr>
          <w:rFonts w:ascii="Cambria" w:hAnsi="Cambria" w:cs="Arial"/>
        </w:rPr>
      </w:pPr>
      <w:r w:rsidRPr="009C730B">
        <w:rPr>
          <w:rFonts w:ascii="Cambria" w:hAnsi="Cambria" w:cs="Arial"/>
        </w:rPr>
        <w:t xml:space="preserve">La simplification des procédures administratives placée au premier rang des priorités du </w:t>
      </w:r>
      <w:r w:rsidR="00F9726C">
        <w:rPr>
          <w:rFonts w:ascii="Cambria" w:hAnsi="Cambria" w:cs="Arial"/>
        </w:rPr>
        <w:t>G</w:t>
      </w:r>
      <w:r w:rsidRPr="009C730B">
        <w:rPr>
          <w:rFonts w:ascii="Cambria" w:hAnsi="Cambria" w:cs="Arial"/>
        </w:rPr>
        <w:t>ouvernement est un levier stratégique pour renforcer la transparence, mieux servir le citoyen et améliorer l’économie d</w:t>
      </w:r>
      <w:r w:rsidR="00F9726C">
        <w:rPr>
          <w:rFonts w:ascii="Cambria" w:hAnsi="Cambria" w:cs="Arial"/>
        </w:rPr>
        <w:t>u</w:t>
      </w:r>
      <w:r w:rsidRPr="009C730B">
        <w:rPr>
          <w:rFonts w:ascii="Cambria" w:hAnsi="Cambria" w:cs="Arial"/>
        </w:rPr>
        <w:t xml:space="preserve"> Pays par l’acte de construire.</w:t>
      </w:r>
    </w:p>
    <w:p w14:paraId="14AE27CA" w14:textId="77777777" w:rsidR="00F9726C" w:rsidRPr="009C730B" w:rsidRDefault="00F9726C" w:rsidP="009C730B">
      <w:pPr>
        <w:jc w:val="both"/>
        <w:rPr>
          <w:rFonts w:ascii="Cambria" w:hAnsi="Cambria" w:cs="Arial"/>
        </w:rPr>
      </w:pPr>
    </w:p>
    <w:p w14:paraId="7A30AD8A" w14:textId="6A066969" w:rsidR="009C730B" w:rsidRPr="009C730B" w:rsidRDefault="009C730B" w:rsidP="009C730B">
      <w:pPr>
        <w:jc w:val="both"/>
        <w:rPr>
          <w:rFonts w:ascii="Cambria" w:hAnsi="Cambria" w:cs="Arial"/>
        </w:rPr>
      </w:pPr>
      <w:r w:rsidRPr="009C730B">
        <w:rPr>
          <w:rFonts w:ascii="Cambria" w:hAnsi="Cambria" w:cs="Arial"/>
        </w:rPr>
        <w:t>L’arrêt</w:t>
      </w:r>
      <w:r w:rsidR="00F9726C">
        <w:rPr>
          <w:rFonts w:ascii="Cambria" w:hAnsi="Cambria" w:cs="Arial"/>
        </w:rPr>
        <w:t xml:space="preserve">é </w:t>
      </w:r>
      <w:r w:rsidRPr="009C730B">
        <w:rPr>
          <w:rFonts w:ascii="Cambria" w:hAnsi="Cambria" w:cs="Arial"/>
        </w:rPr>
        <w:t xml:space="preserve">du 02 décembre 2021 inscrit dans cette démarche, a réactualisé certaines procédures en créant notamment celle relative au permis d’aménager. De même, il a modifié </w:t>
      </w:r>
      <w:r w:rsidR="00F9726C">
        <w:rPr>
          <w:rFonts w:ascii="Cambria" w:hAnsi="Cambria" w:cs="Arial"/>
        </w:rPr>
        <w:t>le</w:t>
      </w:r>
      <w:r w:rsidRPr="009C730B">
        <w:rPr>
          <w:rFonts w:ascii="Cambria" w:hAnsi="Cambria" w:cs="Arial"/>
        </w:rPr>
        <w:t xml:space="preserve"> code de l’aménagement de la Polynésie française.</w:t>
      </w:r>
    </w:p>
    <w:p w14:paraId="387E7CB2" w14:textId="77777777" w:rsidR="009C730B" w:rsidRPr="009C730B" w:rsidRDefault="009C730B" w:rsidP="009C730B">
      <w:pPr>
        <w:jc w:val="both"/>
        <w:rPr>
          <w:rFonts w:ascii="Cambria" w:hAnsi="Cambria" w:cs="Arial"/>
        </w:rPr>
      </w:pPr>
    </w:p>
    <w:p w14:paraId="7834FD60" w14:textId="7425A8F0" w:rsidR="009C730B" w:rsidRPr="009C730B" w:rsidRDefault="009C730B" w:rsidP="009C730B">
      <w:pPr>
        <w:jc w:val="both"/>
        <w:rPr>
          <w:rFonts w:ascii="Cambria" w:hAnsi="Cambria" w:cs="Arial"/>
        </w:rPr>
      </w:pPr>
      <w:r w:rsidRPr="009C730B">
        <w:rPr>
          <w:rFonts w:ascii="Cambria" w:hAnsi="Cambria" w:cs="Arial"/>
        </w:rPr>
        <w:t>Toutefois, au regard de la loi du pays du 1</w:t>
      </w:r>
      <w:r w:rsidRPr="009C730B">
        <w:rPr>
          <w:rFonts w:ascii="Cambria" w:hAnsi="Cambria" w:cs="Arial"/>
          <w:vertAlign w:val="superscript"/>
        </w:rPr>
        <w:t>er</w:t>
      </w:r>
      <w:r w:rsidRPr="009C730B">
        <w:rPr>
          <w:rFonts w:ascii="Cambria" w:hAnsi="Cambria" w:cs="Arial"/>
        </w:rPr>
        <w:t xml:space="preserve"> juillet 2011, il est apparu que cette modification risquait de bloquer les ventes de biens immobiliers avant achèvement, donc avant la délivrance des certificats de conformité.</w:t>
      </w:r>
      <w:r w:rsidR="00F9726C">
        <w:rPr>
          <w:rFonts w:ascii="Cambria" w:hAnsi="Cambria" w:cs="Arial"/>
        </w:rPr>
        <w:t xml:space="preserve"> </w:t>
      </w:r>
      <w:r w:rsidRPr="009C730B">
        <w:rPr>
          <w:rFonts w:ascii="Cambria" w:hAnsi="Cambria" w:cs="Arial"/>
          <w:bCs/>
        </w:rPr>
        <w:t>Ce certificat de conformité n'est pourtant pas nécessaire en cas de vente d'immeuble à construire ou en cours de construction. Cependant, mention de ce certificat figure dans l'acte authentique qui constate la première mutation, après délivrance dudit certificat.</w:t>
      </w:r>
    </w:p>
    <w:p w14:paraId="23E93FB7" w14:textId="77777777" w:rsidR="009C730B" w:rsidRPr="009C730B" w:rsidRDefault="009C730B" w:rsidP="009C730B">
      <w:pPr>
        <w:jc w:val="both"/>
        <w:rPr>
          <w:rFonts w:ascii="Cambria" w:hAnsi="Cambria" w:cs="Arial"/>
        </w:rPr>
      </w:pPr>
    </w:p>
    <w:p w14:paraId="463E226D" w14:textId="5B9EB480" w:rsidR="009C730B" w:rsidRDefault="00F9726C" w:rsidP="009C730B">
      <w:pPr>
        <w:jc w:val="both"/>
        <w:rPr>
          <w:rFonts w:ascii="Cambria" w:hAnsi="Cambria" w:cs="Arial"/>
        </w:rPr>
      </w:pPr>
      <w:r w:rsidRPr="009C730B">
        <w:rPr>
          <w:rFonts w:ascii="Cambria" w:hAnsi="Cambria" w:cs="Arial"/>
        </w:rPr>
        <w:t>Dès</w:t>
      </w:r>
      <w:r w:rsidR="009C730B" w:rsidRPr="009C730B">
        <w:rPr>
          <w:rFonts w:ascii="Cambria" w:hAnsi="Cambria" w:cs="Arial"/>
        </w:rPr>
        <w:t xml:space="preserve"> lors, </w:t>
      </w:r>
      <w:r>
        <w:rPr>
          <w:rFonts w:ascii="Cambria" w:hAnsi="Cambria" w:cs="Arial"/>
        </w:rPr>
        <w:t>le code de l’aménagement</w:t>
      </w:r>
      <w:r w:rsidR="009C730B" w:rsidRPr="009C730B">
        <w:rPr>
          <w:rFonts w:ascii="Cambria" w:hAnsi="Cambria" w:cs="Arial"/>
        </w:rPr>
        <w:t xml:space="preserve"> qui prescrivait que « </w:t>
      </w:r>
      <w:r w:rsidR="009C730B" w:rsidRPr="009C730B">
        <w:rPr>
          <w:rFonts w:ascii="Cambria" w:hAnsi="Cambria" w:cs="Arial"/>
          <w:i/>
        </w:rPr>
        <w:t xml:space="preserve">Aucune </w:t>
      </w:r>
      <w:r w:rsidR="009C730B" w:rsidRPr="009C730B">
        <w:rPr>
          <w:rFonts w:ascii="Cambria" w:hAnsi="Cambria" w:cs="Arial"/>
          <w:i/>
          <w:u w:val="single"/>
        </w:rPr>
        <w:t>vente</w:t>
      </w:r>
      <w:r w:rsidR="009C730B" w:rsidRPr="009C730B">
        <w:rPr>
          <w:rFonts w:ascii="Cambria" w:hAnsi="Cambria" w:cs="Arial"/>
          <w:i/>
        </w:rPr>
        <w:t xml:space="preserve"> ou occupation des locaux et/ou des aménagements n'est possible avant délivrance du certificat de conformité de la construction, des travaux et des aménagements », </w:t>
      </w:r>
      <w:r w:rsidR="009C730B" w:rsidRPr="009C730B">
        <w:rPr>
          <w:rFonts w:ascii="Cambria" w:hAnsi="Cambria" w:cs="Arial"/>
        </w:rPr>
        <w:t>a été modifié pour permettre la vente avant achèvement des travaux. L’article cité se lit désormais ainsi : « </w:t>
      </w:r>
      <w:r w:rsidR="009C730B" w:rsidRPr="009C730B">
        <w:rPr>
          <w:rFonts w:ascii="Cambria" w:hAnsi="Cambria" w:cs="Arial"/>
          <w:i/>
        </w:rPr>
        <w:t xml:space="preserve">Aucune </w:t>
      </w:r>
      <w:r w:rsidR="009C730B" w:rsidRPr="009C730B">
        <w:rPr>
          <w:rFonts w:ascii="Cambria" w:hAnsi="Cambria" w:cs="Arial"/>
          <w:i/>
          <w:u w:val="single"/>
        </w:rPr>
        <w:t>location</w:t>
      </w:r>
      <w:r w:rsidR="009C730B" w:rsidRPr="009C730B">
        <w:rPr>
          <w:rFonts w:ascii="Cambria" w:hAnsi="Cambria" w:cs="Arial"/>
          <w:i/>
        </w:rPr>
        <w:t xml:space="preserve"> ou occupation des locaux et/ou des aménagements n'est possible avant délivrance du certificat de conformité de la construction, des travaux et des aménagements.</w:t>
      </w:r>
      <w:r w:rsidR="009C730B" w:rsidRPr="009C730B">
        <w:rPr>
          <w:rFonts w:ascii="Cambria" w:hAnsi="Cambria" w:cs="Arial"/>
        </w:rPr>
        <w:t> »</w:t>
      </w:r>
      <w:r w:rsidR="00F00CC4">
        <w:rPr>
          <w:rFonts w:ascii="Cambria" w:hAnsi="Cambria" w:cs="Arial"/>
        </w:rPr>
        <w:t>.</w:t>
      </w:r>
    </w:p>
    <w:p w14:paraId="727F7E52" w14:textId="77777777" w:rsidR="00F00CC4" w:rsidRDefault="00F00CC4" w:rsidP="009C730B">
      <w:pPr>
        <w:jc w:val="both"/>
        <w:rPr>
          <w:rFonts w:ascii="Cambria" w:hAnsi="Cambria" w:cs="Arial"/>
        </w:rPr>
      </w:pPr>
    </w:p>
    <w:p w14:paraId="257E6887" w14:textId="06B25470" w:rsidR="00F00CC4" w:rsidRDefault="00F00CC4" w:rsidP="009C730B">
      <w:pPr>
        <w:jc w:val="both"/>
        <w:rPr>
          <w:rFonts w:ascii="Cambria" w:hAnsi="Cambria" w:cs="Arial"/>
        </w:rPr>
      </w:pPr>
    </w:p>
    <w:p w14:paraId="025DF89A" w14:textId="77777777" w:rsidR="00886C47" w:rsidRDefault="00886C47" w:rsidP="009C730B">
      <w:pPr>
        <w:jc w:val="both"/>
        <w:rPr>
          <w:rFonts w:ascii="Cambria" w:hAnsi="Cambria" w:cs="Arial"/>
        </w:rPr>
      </w:pPr>
    </w:p>
    <w:p w14:paraId="2C89E264" w14:textId="7745F448" w:rsidR="00F00CC4" w:rsidRDefault="00B50A77" w:rsidP="00F00CC4">
      <w:pPr>
        <w:pStyle w:val="Titre2"/>
        <w:rPr>
          <w:rStyle w:val="lev"/>
          <w:b/>
          <w:bCs w:val="0"/>
        </w:rPr>
      </w:pPr>
      <w:bookmarkStart w:id="12" w:name="_Hlk91077696"/>
      <w:bookmarkStart w:id="13" w:name="_Toc91082756"/>
      <w:r>
        <w:rPr>
          <w:rStyle w:val="lev"/>
          <w:b/>
          <w:bCs w:val="0"/>
        </w:rPr>
        <w:lastRenderedPageBreak/>
        <w:t>Règlementation du mouillage à Huahine</w:t>
      </w:r>
      <w:bookmarkEnd w:id="13"/>
    </w:p>
    <w:p w14:paraId="40BED1E5" w14:textId="77777777" w:rsidR="00F00CC4" w:rsidRDefault="00F00CC4" w:rsidP="00F00CC4">
      <w:pPr>
        <w:jc w:val="both"/>
      </w:pPr>
    </w:p>
    <w:bookmarkEnd w:id="10"/>
    <w:p w14:paraId="347CDE30" w14:textId="3DF8D41F" w:rsidR="00B50A77" w:rsidRDefault="00B50A77" w:rsidP="00B50A77">
      <w:pPr>
        <w:jc w:val="both"/>
        <w:rPr>
          <w:rFonts w:ascii="Cambria" w:hAnsi="Cambria" w:cs="Arial"/>
        </w:rPr>
      </w:pPr>
      <w:r w:rsidRPr="00B50A77">
        <w:rPr>
          <w:rFonts w:ascii="Cambria" w:hAnsi="Cambria" w:cs="Arial"/>
        </w:rPr>
        <w:t xml:space="preserve">Un arrêté du </w:t>
      </w:r>
      <w:r>
        <w:rPr>
          <w:rFonts w:ascii="Cambria" w:hAnsi="Cambria" w:cs="Arial"/>
        </w:rPr>
        <w:t>C</w:t>
      </w:r>
      <w:r w:rsidRPr="00B50A77">
        <w:rPr>
          <w:rFonts w:ascii="Cambria" w:hAnsi="Cambria" w:cs="Arial"/>
        </w:rPr>
        <w:t xml:space="preserve">onseil des </w:t>
      </w:r>
      <w:r>
        <w:rPr>
          <w:rFonts w:ascii="Cambria" w:hAnsi="Cambria" w:cs="Arial"/>
        </w:rPr>
        <w:t>m</w:t>
      </w:r>
      <w:r w:rsidRPr="00B50A77">
        <w:rPr>
          <w:rFonts w:ascii="Cambria" w:hAnsi="Cambria" w:cs="Arial"/>
        </w:rPr>
        <w:t xml:space="preserve">inistres visant à encadrer la circulation et le mouillage des navires dans le lagon de Huahine va être publié au journal officiel de la Polynésie française. La publication de cet arrêté est la conclusion d’un important travail réalisé par le Pays en concertation avec la commune de Huahine et l’association de protection de l’environnement A Ti’a </w:t>
      </w:r>
      <w:proofErr w:type="spellStart"/>
      <w:r w:rsidRPr="00B50A77">
        <w:rPr>
          <w:rFonts w:ascii="Cambria" w:hAnsi="Cambria" w:cs="Arial"/>
        </w:rPr>
        <w:t>Matairea</w:t>
      </w:r>
      <w:proofErr w:type="spellEnd"/>
      <w:r w:rsidRPr="00B50A77">
        <w:rPr>
          <w:rFonts w:ascii="Cambria" w:hAnsi="Cambria" w:cs="Arial"/>
        </w:rPr>
        <w:t>.</w:t>
      </w:r>
    </w:p>
    <w:p w14:paraId="0DEE7C6F" w14:textId="77777777" w:rsidR="00B50A77" w:rsidRPr="00B50A77" w:rsidRDefault="00B50A77" w:rsidP="00B50A77">
      <w:pPr>
        <w:jc w:val="both"/>
        <w:rPr>
          <w:rFonts w:ascii="Cambria" w:hAnsi="Cambria" w:cs="Arial"/>
        </w:rPr>
      </w:pPr>
    </w:p>
    <w:p w14:paraId="0C720FEB" w14:textId="77777777" w:rsidR="00B50A77" w:rsidRDefault="00B50A77" w:rsidP="00B50A77">
      <w:pPr>
        <w:jc w:val="both"/>
        <w:rPr>
          <w:rFonts w:ascii="Cambria" w:hAnsi="Cambria" w:cs="Arial"/>
        </w:rPr>
      </w:pPr>
      <w:r w:rsidRPr="00B50A77">
        <w:rPr>
          <w:rFonts w:ascii="Cambria" w:hAnsi="Cambria" w:cs="Arial"/>
        </w:rPr>
        <w:t xml:space="preserve">Ce texte s’inscrit dans l’action engagée depuis plusieurs années par le Pays qui ambitionne d’organiser en concertation avec les communes, les usages et activités nautiques dans les lagons de Polynésie française. </w:t>
      </w:r>
    </w:p>
    <w:p w14:paraId="4702DC33" w14:textId="77777777" w:rsidR="00B50A77" w:rsidRDefault="00B50A77" w:rsidP="00B50A77">
      <w:pPr>
        <w:jc w:val="both"/>
        <w:rPr>
          <w:rFonts w:ascii="Cambria" w:hAnsi="Cambria" w:cs="Arial"/>
        </w:rPr>
      </w:pPr>
    </w:p>
    <w:p w14:paraId="70D851A6" w14:textId="45B1E798" w:rsidR="00B50A77" w:rsidRDefault="00B50A77" w:rsidP="00B50A77">
      <w:pPr>
        <w:jc w:val="both"/>
        <w:rPr>
          <w:rFonts w:ascii="Cambria" w:hAnsi="Cambria" w:cs="Arial"/>
        </w:rPr>
      </w:pPr>
      <w:r w:rsidRPr="00B50A77">
        <w:rPr>
          <w:rFonts w:ascii="Cambria" w:hAnsi="Cambria" w:cs="Arial"/>
        </w:rPr>
        <w:t xml:space="preserve">La première étape de ce plan consiste à encadrer le mouillage et le stationnement des navires fréquentant </w:t>
      </w:r>
      <w:r>
        <w:rPr>
          <w:rFonts w:ascii="Cambria" w:hAnsi="Cambria" w:cs="Arial"/>
        </w:rPr>
        <w:t>le</w:t>
      </w:r>
      <w:r w:rsidRPr="00B50A77">
        <w:rPr>
          <w:rFonts w:ascii="Cambria" w:hAnsi="Cambria" w:cs="Arial"/>
        </w:rPr>
        <w:t>s eaux</w:t>
      </w:r>
      <w:r>
        <w:rPr>
          <w:rFonts w:ascii="Cambria" w:hAnsi="Cambria" w:cs="Arial"/>
        </w:rPr>
        <w:t xml:space="preserve"> polynésiennes</w:t>
      </w:r>
      <w:r w:rsidRPr="00B50A77">
        <w:rPr>
          <w:rFonts w:ascii="Cambria" w:hAnsi="Cambria" w:cs="Arial"/>
        </w:rPr>
        <w:t>, qu’ils soient engagés dans des activités de plaisance ou de transport touristique, et ce afin de prévenir toute dégradation des écosystèmes marins et de limiter l’impact de leur séjour dans nos lagons.</w:t>
      </w:r>
      <w:r>
        <w:rPr>
          <w:rFonts w:ascii="Cambria" w:hAnsi="Cambria" w:cs="Arial"/>
        </w:rPr>
        <w:t xml:space="preserve"> </w:t>
      </w:r>
      <w:r w:rsidRPr="00B50A77">
        <w:rPr>
          <w:rFonts w:ascii="Cambria" w:hAnsi="Cambria" w:cs="Arial"/>
        </w:rPr>
        <w:t>A cette fin, le nouveau texte définit les zones destinées à accueillir les navires de moyens et gros gabarits dont les ancres, si elles étaient mal positionnées, pourraient engendrer des dégâts sur les fonds marins. Ces zones situées sur des fonds sableux seront, pour la plupart, équipées de mouillages écologiques qui devraient parfaire la préservation de l’environnement.</w:t>
      </w:r>
    </w:p>
    <w:p w14:paraId="550E8C5B" w14:textId="77777777" w:rsidR="00B50A77" w:rsidRPr="00B50A77" w:rsidRDefault="00B50A77" w:rsidP="00B50A77">
      <w:pPr>
        <w:jc w:val="both"/>
        <w:rPr>
          <w:rFonts w:ascii="Cambria" w:hAnsi="Cambria" w:cs="Arial"/>
        </w:rPr>
      </w:pPr>
    </w:p>
    <w:p w14:paraId="52DB9094" w14:textId="652E5F13" w:rsidR="00B50A77" w:rsidRDefault="00B50A77" w:rsidP="00B50A77">
      <w:pPr>
        <w:jc w:val="both"/>
        <w:rPr>
          <w:rFonts w:ascii="Cambria" w:hAnsi="Cambria" w:cs="Arial"/>
        </w:rPr>
      </w:pPr>
      <w:r w:rsidRPr="00B50A77">
        <w:rPr>
          <w:rFonts w:ascii="Cambria" w:hAnsi="Cambria" w:cs="Arial"/>
        </w:rPr>
        <w:t xml:space="preserve">Les navires de grandes tailles (plus de 90 m) et les paquebots disposeront de places dédiées, positionnées dans des zones spécifiques où la qualité des fonds permettra leur ancrage en toute sécurité pour l’environnement. Les baies des </w:t>
      </w:r>
      <w:proofErr w:type="spellStart"/>
      <w:r w:rsidRPr="00B50A77">
        <w:rPr>
          <w:rFonts w:ascii="Cambria" w:hAnsi="Cambria" w:cs="Arial"/>
        </w:rPr>
        <w:t>Bourayne</w:t>
      </w:r>
      <w:proofErr w:type="spellEnd"/>
      <w:r w:rsidRPr="00B50A77">
        <w:rPr>
          <w:rFonts w:ascii="Cambria" w:hAnsi="Cambria" w:cs="Arial"/>
        </w:rPr>
        <w:t xml:space="preserve"> et de </w:t>
      </w:r>
      <w:proofErr w:type="spellStart"/>
      <w:r w:rsidRPr="00B50A77">
        <w:rPr>
          <w:rFonts w:ascii="Cambria" w:hAnsi="Cambria" w:cs="Arial"/>
        </w:rPr>
        <w:t>Maroe</w:t>
      </w:r>
      <w:proofErr w:type="spellEnd"/>
      <w:r w:rsidRPr="00B50A77">
        <w:rPr>
          <w:rFonts w:ascii="Cambria" w:hAnsi="Cambria" w:cs="Arial"/>
        </w:rPr>
        <w:t xml:space="preserve"> ont été retenues car présentant des fonds de sables ou de vases de bonne tenue et résistant à l’impact des apparaux des mouillages de ces navires.</w:t>
      </w:r>
      <w:r w:rsidR="00C944AB">
        <w:rPr>
          <w:rFonts w:ascii="Cambria" w:hAnsi="Cambria" w:cs="Arial"/>
        </w:rPr>
        <w:t xml:space="preserve"> </w:t>
      </w:r>
      <w:r w:rsidRPr="00B50A77">
        <w:rPr>
          <w:rFonts w:ascii="Cambria" w:hAnsi="Cambria" w:cs="Arial"/>
        </w:rPr>
        <w:t>Afin de prévenir toute occupation abusive du domaine public maritime, le stationnement des navires dans ces zones sera limité dans le temps. Les navires ne pourront séjourner plus de 72 heures sur le même emplacement.</w:t>
      </w:r>
    </w:p>
    <w:p w14:paraId="3F025703" w14:textId="77777777" w:rsidR="00C944AB" w:rsidRPr="00B50A77" w:rsidRDefault="00C944AB" w:rsidP="00B50A77">
      <w:pPr>
        <w:jc w:val="both"/>
        <w:rPr>
          <w:rFonts w:ascii="Cambria" w:hAnsi="Cambria" w:cs="Arial"/>
        </w:rPr>
      </w:pPr>
    </w:p>
    <w:p w14:paraId="4C4656C8" w14:textId="5A7728A6" w:rsidR="00B50A77" w:rsidRPr="00B50A77" w:rsidRDefault="00B50A77" w:rsidP="00B50A77">
      <w:pPr>
        <w:jc w:val="both"/>
        <w:rPr>
          <w:rFonts w:ascii="Cambria" w:hAnsi="Cambria" w:cs="Arial"/>
        </w:rPr>
      </w:pPr>
      <w:r w:rsidRPr="00B50A77">
        <w:rPr>
          <w:rFonts w:ascii="Cambria" w:hAnsi="Cambria" w:cs="Arial"/>
        </w:rPr>
        <w:t xml:space="preserve">Les plus petits navires, ceux dont la longueur est inférieure à 6 mètres, continueront à être en capacité de stationner dans d’autres emplacements du lagon à l’exception des passes et des chenaux. Bien que la taille de leur ancre ou de leur grapin ne soit pas un risque important pour </w:t>
      </w:r>
      <w:r w:rsidR="00C944AB">
        <w:rPr>
          <w:rFonts w:ascii="Cambria" w:hAnsi="Cambria" w:cs="Arial"/>
        </w:rPr>
        <w:t>le</w:t>
      </w:r>
      <w:r w:rsidRPr="00B50A77">
        <w:rPr>
          <w:rFonts w:ascii="Cambria" w:hAnsi="Cambria" w:cs="Arial"/>
        </w:rPr>
        <w:t>s coraux, ils seront invités à stationner dans des endroits adaptés, à l’écart des récifs et massifs coraliens. La durée de leur mouillage sera limitée à 24 heures.</w:t>
      </w:r>
    </w:p>
    <w:bookmarkEnd w:id="12"/>
    <w:p w14:paraId="6C229DD4" w14:textId="77777777" w:rsidR="006355BF" w:rsidRDefault="006355BF" w:rsidP="005D2470">
      <w:pPr>
        <w:jc w:val="both"/>
        <w:rPr>
          <w:rFonts w:ascii="Cambria" w:hAnsi="Cambria" w:cs="Arial"/>
        </w:rPr>
      </w:pPr>
    </w:p>
    <w:p w14:paraId="3CEB6F84" w14:textId="77777777" w:rsidR="00CA19BB" w:rsidRPr="00F51D3A" w:rsidRDefault="00CA19BB" w:rsidP="005D2470">
      <w:pPr>
        <w:jc w:val="both"/>
      </w:pPr>
    </w:p>
    <w:p w14:paraId="4F70326E" w14:textId="77777777" w:rsidR="00F51D3A" w:rsidRPr="00D077BF" w:rsidRDefault="00F51D3A" w:rsidP="00F51D3A">
      <w:pPr>
        <w:pStyle w:val="Titre1"/>
      </w:pPr>
      <w:bookmarkStart w:id="14" w:name="_Toc91082757"/>
      <w:r w:rsidRPr="00D077BF">
        <w:t>- MEF-</w:t>
      </w:r>
      <w:bookmarkEnd w:id="14"/>
    </w:p>
    <w:p w14:paraId="0BA17E35" w14:textId="77777777" w:rsidR="00886C47" w:rsidRDefault="00886C47" w:rsidP="00823DDA">
      <w:pPr>
        <w:pStyle w:val="NormalWeb"/>
        <w:jc w:val="both"/>
        <w:rPr>
          <w:rFonts w:ascii="Cambria" w:hAnsi="Cambria" w:cs="Arial"/>
        </w:rPr>
      </w:pPr>
      <w:bookmarkStart w:id="15" w:name="_Hlk90391318"/>
      <w:bookmarkEnd w:id="1"/>
      <w:bookmarkEnd w:id="2"/>
    </w:p>
    <w:p w14:paraId="47F16FF3" w14:textId="77777777" w:rsidR="00104462" w:rsidRDefault="00104462" w:rsidP="00104462">
      <w:pPr>
        <w:pStyle w:val="Titre2"/>
        <w:rPr>
          <w:rStyle w:val="lev"/>
          <w:b/>
          <w:bCs w:val="0"/>
        </w:rPr>
      </w:pPr>
      <w:bookmarkStart w:id="16" w:name="_Toc91082758"/>
      <w:r>
        <w:rPr>
          <w:rStyle w:val="lev"/>
          <w:b/>
          <w:bCs w:val="0"/>
        </w:rPr>
        <w:t xml:space="preserve">Subvention à l’association de consommateurs Te </w:t>
      </w:r>
      <w:proofErr w:type="spellStart"/>
      <w:r>
        <w:rPr>
          <w:rStyle w:val="lev"/>
          <w:b/>
          <w:bCs w:val="0"/>
        </w:rPr>
        <w:t>Tia</w:t>
      </w:r>
      <w:proofErr w:type="spellEnd"/>
      <w:r>
        <w:rPr>
          <w:rStyle w:val="lev"/>
          <w:b/>
          <w:bCs w:val="0"/>
        </w:rPr>
        <w:t xml:space="preserve"> Ara</w:t>
      </w:r>
      <w:bookmarkEnd w:id="16"/>
    </w:p>
    <w:p w14:paraId="14608AD5" w14:textId="77777777" w:rsidR="00104462" w:rsidRPr="003A6BA8" w:rsidRDefault="00104462" w:rsidP="00104462"/>
    <w:p w14:paraId="56BAC0C7" w14:textId="77777777" w:rsidR="00104462" w:rsidRDefault="00104462" w:rsidP="00104462">
      <w:pPr>
        <w:jc w:val="both"/>
        <w:rPr>
          <w:rFonts w:ascii="Cambria" w:hAnsi="Cambria" w:cs="Arial"/>
          <w:color w:val="000000"/>
          <w:lang w:eastAsia="fr-FR"/>
        </w:rPr>
      </w:pPr>
      <w:r w:rsidRPr="001E6B5C">
        <w:rPr>
          <w:rFonts w:ascii="Cambria" w:hAnsi="Cambria" w:cs="Arial"/>
          <w:color w:val="000000"/>
          <w:lang w:eastAsia="fr-FR"/>
        </w:rPr>
        <w:t xml:space="preserve">Le </w:t>
      </w:r>
      <w:r>
        <w:rPr>
          <w:rFonts w:ascii="Cambria" w:hAnsi="Cambria" w:cs="Arial"/>
          <w:color w:val="000000"/>
          <w:lang w:eastAsia="fr-FR"/>
        </w:rPr>
        <w:t>C</w:t>
      </w:r>
      <w:r w:rsidRPr="001E6B5C">
        <w:rPr>
          <w:rFonts w:ascii="Cambria" w:hAnsi="Cambria" w:cs="Arial"/>
          <w:color w:val="000000"/>
          <w:lang w:eastAsia="fr-FR"/>
        </w:rPr>
        <w:t xml:space="preserve">onseil des ministres a décidé de réitérer son soutien à l’association de consommateurs Te </w:t>
      </w:r>
      <w:proofErr w:type="spellStart"/>
      <w:r w:rsidRPr="001E6B5C">
        <w:rPr>
          <w:rFonts w:ascii="Cambria" w:hAnsi="Cambria" w:cs="Arial"/>
          <w:color w:val="000000"/>
          <w:lang w:eastAsia="fr-FR"/>
        </w:rPr>
        <w:t>Tia</w:t>
      </w:r>
      <w:proofErr w:type="spellEnd"/>
      <w:r w:rsidRPr="001E6B5C">
        <w:rPr>
          <w:rFonts w:ascii="Cambria" w:hAnsi="Cambria" w:cs="Arial"/>
          <w:color w:val="000000"/>
          <w:lang w:eastAsia="fr-FR"/>
        </w:rPr>
        <w:t xml:space="preserve"> Ara pour financer son activité générale de l’année 2021, sous la forme d’une subvention de 2 188 367 F</w:t>
      </w:r>
      <w:r>
        <w:rPr>
          <w:rFonts w:ascii="Cambria" w:hAnsi="Cambria" w:cs="Arial"/>
          <w:color w:val="000000"/>
          <w:lang w:eastAsia="fr-FR"/>
        </w:rPr>
        <w:t>cfp</w:t>
      </w:r>
      <w:r w:rsidRPr="001E6B5C">
        <w:rPr>
          <w:rFonts w:ascii="Cambria" w:hAnsi="Cambria" w:cs="Arial"/>
          <w:color w:val="000000"/>
          <w:lang w:eastAsia="fr-FR"/>
        </w:rPr>
        <w:t xml:space="preserve">. </w:t>
      </w:r>
    </w:p>
    <w:p w14:paraId="5582835C" w14:textId="77777777" w:rsidR="00104462" w:rsidRDefault="00104462" w:rsidP="00104462">
      <w:pPr>
        <w:jc w:val="both"/>
        <w:rPr>
          <w:rFonts w:ascii="Cambria" w:hAnsi="Cambria" w:cs="Arial"/>
          <w:color w:val="000000"/>
          <w:lang w:eastAsia="fr-FR"/>
        </w:rPr>
      </w:pPr>
      <w:r w:rsidRPr="001E6B5C">
        <w:rPr>
          <w:rFonts w:ascii="Cambria" w:hAnsi="Cambria" w:cs="Arial"/>
          <w:color w:val="000000"/>
          <w:lang w:eastAsia="fr-FR"/>
        </w:rPr>
        <w:t xml:space="preserve">Cette subvention vise, d’une part, à permettre l’information et l’accompagnement des familles surendettées des Iles Sous-le-Vent au sein de l’antenne du surendettement </w:t>
      </w:r>
      <w:r w:rsidRPr="001E6B5C">
        <w:rPr>
          <w:rFonts w:ascii="Cambria" w:hAnsi="Cambria" w:cs="Arial"/>
          <w:color w:val="000000"/>
          <w:lang w:eastAsia="fr-FR"/>
        </w:rPr>
        <w:lastRenderedPageBreak/>
        <w:t xml:space="preserve">d’Uturoa et, d'autre part, à assurer la continuité de l’information des consommateurs au travers de la page Facebook et du blog consommateurs administrés par l’association. </w:t>
      </w:r>
    </w:p>
    <w:p w14:paraId="5A8026CF" w14:textId="355510D8" w:rsidR="00104462" w:rsidRPr="00104462" w:rsidRDefault="00104462" w:rsidP="00104462">
      <w:pPr>
        <w:jc w:val="both"/>
        <w:rPr>
          <w:rFonts w:ascii="Cambria" w:hAnsi="Cambria" w:cs="Arial"/>
          <w:color w:val="000000"/>
          <w:lang w:eastAsia="fr-FR"/>
        </w:rPr>
      </w:pPr>
      <w:r w:rsidRPr="001E6B5C">
        <w:rPr>
          <w:rFonts w:ascii="Cambria" w:hAnsi="Cambria" w:cs="Arial"/>
          <w:color w:val="000000"/>
          <w:lang w:eastAsia="fr-FR"/>
        </w:rPr>
        <w:t xml:space="preserve">De plus, la formation d’un employé de l’association par l’Institut d’Emission d’Outre-mer améliorera durablement la prise en charge des difficultés des personnes concernées. Enfin, grâce à l'intervention du </w:t>
      </w:r>
      <w:r>
        <w:rPr>
          <w:rFonts w:ascii="Cambria" w:hAnsi="Cambria" w:cs="Arial"/>
          <w:color w:val="000000"/>
          <w:lang w:eastAsia="fr-FR"/>
        </w:rPr>
        <w:t>G</w:t>
      </w:r>
      <w:r w:rsidRPr="001E6B5C">
        <w:rPr>
          <w:rFonts w:ascii="Cambria" w:hAnsi="Cambria" w:cs="Arial"/>
          <w:color w:val="000000"/>
          <w:lang w:eastAsia="fr-FR"/>
        </w:rPr>
        <w:t>ouvernement, l'association bénéficie désormais d'un local dédié au sein de l’antenne de la Caisse de Prévoyance Sociale à Uturoa.</w:t>
      </w:r>
    </w:p>
    <w:p w14:paraId="61F48108" w14:textId="77777777" w:rsidR="00886C47" w:rsidRPr="00D077BF" w:rsidRDefault="00886C47" w:rsidP="00823DDA">
      <w:pPr>
        <w:pStyle w:val="NormalWeb"/>
        <w:jc w:val="both"/>
        <w:rPr>
          <w:rFonts w:ascii="Cambria" w:hAnsi="Cambria" w:cs="Arial"/>
        </w:rPr>
      </w:pPr>
    </w:p>
    <w:p w14:paraId="4F7179C6" w14:textId="5ADBC733" w:rsidR="00157387" w:rsidRPr="00D077BF" w:rsidRDefault="00485816" w:rsidP="00157387">
      <w:pPr>
        <w:pStyle w:val="Titre2"/>
        <w:rPr>
          <w:rStyle w:val="lev"/>
          <w:b/>
          <w:bCs w:val="0"/>
        </w:rPr>
      </w:pPr>
      <w:bookmarkStart w:id="17" w:name="_Hlk90975870"/>
      <w:bookmarkStart w:id="18" w:name="_Toc91082759"/>
      <w:r>
        <w:rPr>
          <w:rStyle w:val="lev"/>
          <w:b/>
          <w:bCs w:val="0"/>
        </w:rPr>
        <w:t xml:space="preserve">Subvention </w:t>
      </w:r>
      <w:r w:rsidR="00A24F00">
        <w:rPr>
          <w:rStyle w:val="lev"/>
          <w:b/>
          <w:bCs w:val="0"/>
        </w:rPr>
        <w:t xml:space="preserve">en faveur de l’association </w:t>
      </w:r>
      <w:r w:rsidR="00F679E0">
        <w:rPr>
          <w:rStyle w:val="lev"/>
          <w:b/>
          <w:bCs w:val="0"/>
        </w:rPr>
        <w:t>« </w:t>
      </w:r>
      <w:proofErr w:type="spellStart"/>
      <w:r w:rsidR="00F679E0">
        <w:rPr>
          <w:rStyle w:val="lev"/>
          <w:b/>
          <w:bCs w:val="0"/>
        </w:rPr>
        <w:t>Opu</w:t>
      </w:r>
      <w:proofErr w:type="spellEnd"/>
      <w:r w:rsidR="00F679E0">
        <w:rPr>
          <w:rStyle w:val="lev"/>
          <w:b/>
          <w:bCs w:val="0"/>
        </w:rPr>
        <w:t xml:space="preserve"> Nui »</w:t>
      </w:r>
      <w:bookmarkEnd w:id="18"/>
    </w:p>
    <w:p w14:paraId="58E653AD" w14:textId="77777777" w:rsidR="00485816" w:rsidRPr="00D077BF" w:rsidRDefault="00485816" w:rsidP="00B34D62">
      <w:pPr>
        <w:jc w:val="both"/>
        <w:rPr>
          <w:rFonts w:ascii="Cambria" w:hAnsi="Cambria" w:cs="Arial"/>
          <w:color w:val="000000"/>
          <w:lang w:eastAsia="fr-FR"/>
        </w:rPr>
      </w:pPr>
    </w:p>
    <w:bookmarkEnd w:id="4"/>
    <w:p w14:paraId="78C0DC43" w14:textId="77777777" w:rsidR="00A2793F" w:rsidRDefault="00F679E0" w:rsidP="00485816">
      <w:pPr>
        <w:jc w:val="both"/>
        <w:rPr>
          <w:rFonts w:ascii="Cambria" w:hAnsi="Cambria" w:cs="Arial"/>
          <w:color w:val="000000"/>
          <w:lang w:eastAsia="fr-FR"/>
        </w:rPr>
      </w:pPr>
      <w:r w:rsidRPr="00F679E0">
        <w:rPr>
          <w:rFonts w:ascii="Cambria" w:hAnsi="Cambria" w:cs="Arial"/>
          <w:color w:val="000000"/>
          <w:lang w:eastAsia="fr-FR"/>
        </w:rPr>
        <w:t xml:space="preserve">Le </w:t>
      </w:r>
      <w:r>
        <w:rPr>
          <w:rFonts w:ascii="Cambria" w:hAnsi="Cambria" w:cs="Arial"/>
          <w:color w:val="000000"/>
          <w:lang w:eastAsia="fr-FR"/>
        </w:rPr>
        <w:t>C</w:t>
      </w:r>
      <w:r w:rsidRPr="00F679E0">
        <w:rPr>
          <w:rFonts w:ascii="Cambria" w:hAnsi="Cambria" w:cs="Arial"/>
          <w:color w:val="000000"/>
          <w:lang w:eastAsia="fr-FR"/>
        </w:rPr>
        <w:t>onseil des ministres a approuvé l’octroi d’une subvention en faveur de l’association «</w:t>
      </w:r>
      <w:r>
        <w:rPr>
          <w:rFonts w:ascii="Cambria" w:hAnsi="Cambria" w:cs="Arial"/>
          <w:color w:val="000000"/>
          <w:lang w:eastAsia="fr-FR"/>
        </w:rPr>
        <w:t xml:space="preserve"> </w:t>
      </w:r>
      <w:proofErr w:type="spellStart"/>
      <w:r w:rsidRPr="00F679E0">
        <w:rPr>
          <w:rFonts w:ascii="Cambria" w:hAnsi="Cambria" w:cs="Arial"/>
          <w:color w:val="000000"/>
          <w:lang w:eastAsia="fr-FR"/>
        </w:rPr>
        <w:t>Opu</w:t>
      </w:r>
      <w:proofErr w:type="spellEnd"/>
      <w:r w:rsidRPr="00F679E0">
        <w:rPr>
          <w:rFonts w:ascii="Cambria" w:hAnsi="Cambria" w:cs="Arial"/>
          <w:color w:val="000000"/>
          <w:lang w:eastAsia="fr-FR"/>
        </w:rPr>
        <w:t xml:space="preserve"> Nui</w:t>
      </w:r>
      <w:r>
        <w:rPr>
          <w:rFonts w:ascii="Cambria" w:hAnsi="Cambria" w:cs="Arial"/>
          <w:color w:val="000000"/>
          <w:lang w:eastAsia="fr-FR"/>
        </w:rPr>
        <w:t xml:space="preserve"> </w:t>
      </w:r>
      <w:r w:rsidRPr="00F679E0">
        <w:rPr>
          <w:rFonts w:ascii="Cambria" w:hAnsi="Cambria" w:cs="Arial"/>
          <w:color w:val="000000"/>
          <w:lang w:eastAsia="fr-FR"/>
        </w:rPr>
        <w:t>» d’un montant total de 2</w:t>
      </w:r>
      <w:r w:rsidR="00760529">
        <w:rPr>
          <w:rFonts w:ascii="Cambria" w:hAnsi="Cambria" w:cs="Arial"/>
          <w:color w:val="000000"/>
          <w:lang w:eastAsia="fr-FR"/>
        </w:rPr>
        <w:t xml:space="preserve"> millions</w:t>
      </w:r>
      <w:r w:rsidRPr="00F679E0">
        <w:rPr>
          <w:rFonts w:ascii="Cambria" w:hAnsi="Cambria" w:cs="Arial"/>
          <w:color w:val="000000"/>
          <w:lang w:eastAsia="fr-FR"/>
        </w:rPr>
        <w:t xml:space="preserve"> </w:t>
      </w:r>
      <w:r>
        <w:rPr>
          <w:rFonts w:ascii="Cambria" w:hAnsi="Cambria" w:cs="Arial"/>
          <w:color w:val="000000"/>
          <w:lang w:eastAsia="fr-FR"/>
        </w:rPr>
        <w:t>Fcfp</w:t>
      </w:r>
      <w:r w:rsidRPr="00F679E0">
        <w:rPr>
          <w:rFonts w:ascii="Cambria" w:hAnsi="Cambria" w:cs="Arial"/>
          <w:color w:val="000000"/>
          <w:lang w:eastAsia="fr-FR"/>
        </w:rPr>
        <w:t xml:space="preserve"> pour financer son activité générale pour l'année 2021.</w:t>
      </w:r>
    </w:p>
    <w:p w14:paraId="7088CF59" w14:textId="63C342D4" w:rsidR="00A5686D" w:rsidRDefault="00F679E0" w:rsidP="00485816">
      <w:pPr>
        <w:jc w:val="both"/>
        <w:rPr>
          <w:rFonts w:ascii="Cambria" w:hAnsi="Cambria" w:cs="Arial"/>
          <w:color w:val="000000"/>
          <w:lang w:eastAsia="fr-FR"/>
        </w:rPr>
      </w:pPr>
      <w:r w:rsidRPr="00F679E0">
        <w:rPr>
          <w:rFonts w:ascii="Cambria" w:hAnsi="Cambria" w:cs="Arial"/>
          <w:color w:val="000000"/>
          <w:lang w:eastAsia="fr-FR"/>
        </w:rPr>
        <w:t>Cette enveloppe</w:t>
      </w:r>
      <w:r w:rsidR="004F5F17">
        <w:rPr>
          <w:rFonts w:ascii="Cambria" w:hAnsi="Cambria" w:cs="Arial"/>
          <w:color w:val="000000"/>
          <w:lang w:eastAsia="fr-FR"/>
        </w:rPr>
        <w:t xml:space="preserve"> </w:t>
      </w:r>
      <w:r w:rsidRPr="00F679E0">
        <w:rPr>
          <w:rFonts w:ascii="Cambria" w:hAnsi="Cambria" w:cs="Arial"/>
          <w:color w:val="000000"/>
          <w:lang w:eastAsia="fr-FR"/>
        </w:rPr>
        <w:t xml:space="preserve">va permettre, outre les frais inhérents au fonctionnement courant de l’association, d’animer et d’entretenir le Fare </w:t>
      </w:r>
      <w:proofErr w:type="spellStart"/>
      <w:r w:rsidRPr="00F679E0">
        <w:rPr>
          <w:rFonts w:ascii="Cambria" w:hAnsi="Cambria" w:cs="Arial"/>
          <w:color w:val="000000"/>
          <w:lang w:eastAsia="fr-FR"/>
        </w:rPr>
        <w:t>Pote’e</w:t>
      </w:r>
      <w:proofErr w:type="spellEnd"/>
      <w:r w:rsidRPr="00F679E0">
        <w:rPr>
          <w:rFonts w:ascii="Cambria" w:hAnsi="Cambria" w:cs="Arial"/>
          <w:color w:val="000000"/>
          <w:lang w:eastAsia="fr-FR"/>
        </w:rPr>
        <w:t xml:space="preserve"> de Maeva, arrêt incontournable pour les touristes de l’île de Huahine. Ce site accueille également depuis le 13 décembre </w:t>
      </w:r>
      <w:r w:rsidR="004F5F17">
        <w:rPr>
          <w:rFonts w:ascii="Cambria" w:hAnsi="Cambria" w:cs="Arial"/>
          <w:color w:val="000000"/>
          <w:lang w:eastAsia="fr-FR"/>
        </w:rPr>
        <w:t>dernier,</w:t>
      </w:r>
      <w:r w:rsidRPr="00F679E0">
        <w:rPr>
          <w:rFonts w:ascii="Cambria" w:hAnsi="Cambria" w:cs="Arial"/>
          <w:color w:val="000000"/>
          <w:lang w:eastAsia="fr-FR"/>
        </w:rPr>
        <w:t xml:space="preserve"> et ce pour une durée d’un mois</w:t>
      </w:r>
      <w:r w:rsidR="004F5F17">
        <w:rPr>
          <w:rFonts w:ascii="Cambria" w:hAnsi="Cambria" w:cs="Arial"/>
          <w:color w:val="000000"/>
          <w:lang w:eastAsia="fr-FR"/>
        </w:rPr>
        <w:t>,</w:t>
      </w:r>
      <w:r w:rsidRPr="00F679E0">
        <w:rPr>
          <w:rFonts w:ascii="Cambria" w:hAnsi="Cambria" w:cs="Arial"/>
          <w:color w:val="000000"/>
          <w:lang w:eastAsia="fr-FR"/>
        </w:rPr>
        <w:t xml:space="preserve"> la statue de l’artiste Bobby </w:t>
      </w:r>
      <w:proofErr w:type="spellStart"/>
      <w:r w:rsidRPr="00F679E0">
        <w:rPr>
          <w:rFonts w:ascii="Cambria" w:hAnsi="Cambria" w:cs="Arial"/>
          <w:color w:val="000000"/>
          <w:lang w:eastAsia="fr-FR"/>
        </w:rPr>
        <w:t>H</w:t>
      </w:r>
      <w:r w:rsidR="004F5F17" w:rsidRPr="00F679E0">
        <w:rPr>
          <w:rFonts w:ascii="Cambria" w:hAnsi="Cambria" w:cs="Arial"/>
          <w:color w:val="000000"/>
          <w:lang w:eastAsia="fr-FR"/>
        </w:rPr>
        <w:t>olcomb</w:t>
      </w:r>
      <w:proofErr w:type="spellEnd"/>
      <w:r w:rsidR="004F5F17">
        <w:rPr>
          <w:rFonts w:ascii="Cambria" w:hAnsi="Cambria" w:cs="Arial"/>
          <w:color w:val="000000"/>
          <w:lang w:eastAsia="fr-FR"/>
        </w:rPr>
        <w:t xml:space="preserve">, </w:t>
      </w:r>
      <w:r w:rsidRPr="00F679E0">
        <w:rPr>
          <w:rFonts w:ascii="Cambria" w:hAnsi="Cambria" w:cs="Arial"/>
          <w:color w:val="000000"/>
          <w:lang w:eastAsia="fr-FR"/>
        </w:rPr>
        <w:t>reconnu pour ses peintures et œuvres musicales dédiées à la culture polynésienne.</w:t>
      </w:r>
    </w:p>
    <w:p w14:paraId="54E7B6FA" w14:textId="77777777" w:rsidR="00A5686D" w:rsidRDefault="00A5686D" w:rsidP="00485816">
      <w:pPr>
        <w:jc w:val="both"/>
        <w:rPr>
          <w:rFonts w:ascii="Cambria" w:hAnsi="Cambria" w:cs="Arial"/>
          <w:color w:val="000000"/>
          <w:lang w:eastAsia="fr-FR"/>
        </w:rPr>
      </w:pPr>
    </w:p>
    <w:bookmarkEnd w:id="17"/>
    <w:p w14:paraId="435CC0A1" w14:textId="5856A772" w:rsidR="00485816" w:rsidRDefault="00485816" w:rsidP="00485816">
      <w:pPr>
        <w:jc w:val="both"/>
        <w:rPr>
          <w:rFonts w:ascii="Cambria" w:hAnsi="Cambria" w:cs="Arial"/>
          <w:color w:val="000000"/>
          <w:lang w:eastAsia="fr-FR"/>
        </w:rPr>
      </w:pPr>
    </w:p>
    <w:p w14:paraId="54D8A061" w14:textId="3D2B4070" w:rsidR="00485816" w:rsidRPr="00D077BF" w:rsidRDefault="00485816" w:rsidP="00485816">
      <w:pPr>
        <w:pStyle w:val="Titre2"/>
        <w:rPr>
          <w:rStyle w:val="lev"/>
          <w:b/>
          <w:bCs w:val="0"/>
        </w:rPr>
      </w:pPr>
      <w:bookmarkStart w:id="19" w:name="_Hlk90976294"/>
      <w:bookmarkStart w:id="20" w:name="_Toc91082760"/>
      <w:r>
        <w:rPr>
          <w:rStyle w:val="lev"/>
          <w:b/>
          <w:bCs w:val="0"/>
        </w:rPr>
        <w:t>Subvention</w:t>
      </w:r>
      <w:r w:rsidR="00760529">
        <w:rPr>
          <w:rStyle w:val="lev"/>
          <w:b/>
          <w:bCs w:val="0"/>
        </w:rPr>
        <w:t xml:space="preserve"> en faveur de l’association </w:t>
      </w:r>
      <w:proofErr w:type="spellStart"/>
      <w:r w:rsidR="00760529">
        <w:rPr>
          <w:rStyle w:val="lev"/>
          <w:b/>
          <w:bCs w:val="0"/>
        </w:rPr>
        <w:t>Diadorim</w:t>
      </w:r>
      <w:bookmarkEnd w:id="20"/>
      <w:proofErr w:type="spellEnd"/>
    </w:p>
    <w:p w14:paraId="158D8C26" w14:textId="77777777" w:rsidR="00485816" w:rsidRPr="00D077BF" w:rsidRDefault="00485816" w:rsidP="00485816">
      <w:pPr>
        <w:jc w:val="both"/>
        <w:rPr>
          <w:rFonts w:ascii="Cambria" w:hAnsi="Cambria" w:cs="Arial"/>
          <w:color w:val="000000"/>
          <w:lang w:eastAsia="fr-FR"/>
        </w:rPr>
      </w:pPr>
    </w:p>
    <w:p w14:paraId="6B5A8323" w14:textId="77777777" w:rsidR="00A2793F" w:rsidRDefault="00760529" w:rsidP="00485816">
      <w:pPr>
        <w:jc w:val="both"/>
        <w:rPr>
          <w:rFonts w:ascii="Cambria" w:hAnsi="Cambria" w:cs="Arial"/>
          <w:color w:val="000000"/>
          <w:lang w:eastAsia="fr-FR"/>
        </w:rPr>
      </w:pPr>
      <w:r w:rsidRPr="00760529">
        <w:rPr>
          <w:rFonts w:ascii="Cambria" w:hAnsi="Cambria" w:cs="Arial"/>
          <w:color w:val="000000"/>
          <w:lang w:eastAsia="fr-FR"/>
        </w:rPr>
        <w:t xml:space="preserve">Le </w:t>
      </w:r>
      <w:r>
        <w:rPr>
          <w:rFonts w:ascii="Cambria" w:hAnsi="Cambria" w:cs="Arial"/>
          <w:color w:val="000000"/>
          <w:lang w:eastAsia="fr-FR"/>
        </w:rPr>
        <w:t>C</w:t>
      </w:r>
      <w:r w:rsidRPr="00760529">
        <w:rPr>
          <w:rFonts w:ascii="Cambria" w:hAnsi="Cambria" w:cs="Arial"/>
          <w:color w:val="000000"/>
          <w:lang w:eastAsia="fr-FR"/>
        </w:rPr>
        <w:t xml:space="preserve">onseil des ministres a approuvé l’octroi d’une subvention en faveur de l’association </w:t>
      </w:r>
      <w:proofErr w:type="spellStart"/>
      <w:r w:rsidRPr="00760529">
        <w:rPr>
          <w:rFonts w:ascii="Cambria" w:hAnsi="Cambria" w:cs="Arial"/>
          <w:color w:val="000000"/>
          <w:lang w:eastAsia="fr-FR"/>
        </w:rPr>
        <w:t>Diadorim</w:t>
      </w:r>
      <w:proofErr w:type="spellEnd"/>
      <w:r w:rsidRPr="00760529">
        <w:rPr>
          <w:rFonts w:ascii="Cambria" w:hAnsi="Cambria" w:cs="Arial"/>
          <w:color w:val="000000"/>
          <w:lang w:eastAsia="fr-FR"/>
        </w:rPr>
        <w:t xml:space="preserve"> d’un montant de 2</w:t>
      </w:r>
      <w:r>
        <w:rPr>
          <w:rFonts w:ascii="Cambria" w:hAnsi="Cambria" w:cs="Arial"/>
          <w:color w:val="000000"/>
          <w:lang w:eastAsia="fr-FR"/>
        </w:rPr>
        <w:t>,</w:t>
      </w:r>
      <w:r w:rsidRPr="00760529">
        <w:rPr>
          <w:rFonts w:ascii="Cambria" w:hAnsi="Cambria" w:cs="Arial"/>
          <w:color w:val="000000"/>
          <w:lang w:eastAsia="fr-FR"/>
        </w:rPr>
        <w:t xml:space="preserve">5 millions </w:t>
      </w:r>
      <w:r>
        <w:rPr>
          <w:rFonts w:ascii="Cambria" w:hAnsi="Cambria" w:cs="Arial"/>
          <w:color w:val="000000"/>
          <w:lang w:eastAsia="fr-FR"/>
        </w:rPr>
        <w:t>Fcfp</w:t>
      </w:r>
      <w:r w:rsidRPr="00760529">
        <w:rPr>
          <w:rFonts w:ascii="Cambria" w:hAnsi="Cambria" w:cs="Arial"/>
          <w:color w:val="000000"/>
          <w:lang w:eastAsia="fr-FR"/>
        </w:rPr>
        <w:t xml:space="preserve"> pour le financement de son projet « Escales en Polynésie ». </w:t>
      </w:r>
    </w:p>
    <w:p w14:paraId="1DC9DB5D" w14:textId="77777777" w:rsidR="00A2793F" w:rsidRDefault="00760529" w:rsidP="00485816">
      <w:pPr>
        <w:jc w:val="both"/>
        <w:rPr>
          <w:rFonts w:ascii="Cambria" w:hAnsi="Cambria" w:cs="Arial"/>
          <w:color w:val="000000"/>
          <w:lang w:eastAsia="fr-FR"/>
        </w:rPr>
      </w:pPr>
      <w:r>
        <w:rPr>
          <w:rFonts w:ascii="Cambria" w:hAnsi="Cambria" w:cs="Arial"/>
          <w:color w:val="000000"/>
          <w:lang w:eastAsia="fr-FR"/>
        </w:rPr>
        <w:t xml:space="preserve">Cette opération est </w:t>
      </w:r>
      <w:proofErr w:type="spellStart"/>
      <w:r>
        <w:rPr>
          <w:rFonts w:ascii="Cambria" w:hAnsi="Cambria" w:cs="Arial"/>
          <w:color w:val="000000"/>
          <w:lang w:eastAsia="fr-FR"/>
        </w:rPr>
        <w:t>c</w:t>
      </w:r>
      <w:r w:rsidRPr="00760529">
        <w:rPr>
          <w:rFonts w:ascii="Cambria" w:hAnsi="Cambria" w:cs="Arial"/>
          <w:color w:val="000000"/>
          <w:lang w:eastAsia="fr-FR"/>
        </w:rPr>
        <w:t>o</w:t>
      </w:r>
      <w:proofErr w:type="spellEnd"/>
      <w:r w:rsidRPr="00760529">
        <w:rPr>
          <w:rFonts w:ascii="Cambria" w:hAnsi="Cambria" w:cs="Arial"/>
          <w:color w:val="000000"/>
          <w:lang w:eastAsia="fr-FR"/>
        </w:rPr>
        <w:t>-porté</w:t>
      </w:r>
      <w:r>
        <w:rPr>
          <w:rFonts w:ascii="Cambria" w:hAnsi="Cambria" w:cs="Arial"/>
          <w:color w:val="000000"/>
          <w:lang w:eastAsia="fr-FR"/>
        </w:rPr>
        <w:t>e</w:t>
      </w:r>
      <w:r w:rsidRPr="00760529">
        <w:rPr>
          <w:rFonts w:ascii="Cambria" w:hAnsi="Cambria" w:cs="Arial"/>
          <w:color w:val="000000"/>
          <w:lang w:eastAsia="fr-FR"/>
        </w:rPr>
        <w:t xml:space="preserve"> par Titouan Lamazou</w:t>
      </w:r>
      <w:r>
        <w:rPr>
          <w:rFonts w:ascii="Cambria" w:hAnsi="Cambria" w:cs="Arial"/>
          <w:color w:val="000000"/>
          <w:lang w:eastAsia="fr-FR"/>
        </w:rPr>
        <w:t>,</w:t>
      </w:r>
      <w:r w:rsidRPr="00760529">
        <w:rPr>
          <w:rFonts w:ascii="Cambria" w:hAnsi="Cambria" w:cs="Arial"/>
          <w:color w:val="000000"/>
          <w:lang w:eastAsia="fr-FR"/>
        </w:rPr>
        <w:t xml:space="preserve"> navigateur, artiste et écrivain français nommé « Artiste de l’</w:t>
      </w:r>
      <w:r>
        <w:rPr>
          <w:rFonts w:ascii="Cambria" w:hAnsi="Cambria" w:cs="Arial"/>
          <w:color w:val="000000"/>
          <w:lang w:eastAsia="fr-FR"/>
        </w:rPr>
        <w:t>U</w:t>
      </w:r>
      <w:r w:rsidRPr="00760529">
        <w:rPr>
          <w:rFonts w:ascii="Cambria" w:hAnsi="Cambria" w:cs="Arial"/>
          <w:color w:val="000000"/>
          <w:lang w:eastAsia="fr-FR"/>
        </w:rPr>
        <w:t>nesco pour la Paix » en 2003 et Jean de Loisy, Directeur de l’École nationale des Beaux-arts</w:t>
      </w:r>
      <w:r>
        <w:rPr>
          <w:rFonts w:ascii="Cambria" w:hAnsi="Cambria" w:cs="Arial"/>
          <w:color w:val="000000"/>
          <w:lang w:eastAsia="fr-FR"/>
        </w:rPr>
        <w:t>. Elle</w:t>
      </w:r>
      <w:r w:rsidRPr="00760529">
        <w:rPr>
          <w:rFonts w:ascii="Cambria" w:hAnsi="Cambria" w:cs="Arial"/>
          <w:color w:val="000000"/>
          <w:lang w:eastAsia="fr-FR"/>
        </w:rPr>
        <w:t xml:space="preserve"> consiste en la production d’œuvres originales (textes, peintures, photographies) réalisé</w:t>
      </w:r>
      <w:r>
        <w:rPr>
          <w:rFonts w:ascii="Cambria" w:hAnsi="Cambria" w:cs="Arial"/>
          <w:color w:val="000000"/>
          <w:lang w:eastAsia="fr-FR"/>
        </w:rPr>
        <w:t>e</w:t>
      </w:r>
      <w:r w:rsidRPr="00760529">
        <w:rPr>
          <w:rFonts w:ascii="Cambria" w:hAnsi="Cambria" w:cs="Arial"/>
          <w:color w:val="000000"/>
          <w:lang w:eastAsia="fr-FR"/>
        </w:rPr>
        <w:t xml:space="preserve">s au gré de voyages dans les îles des 5 archipels par Titouan, la réalisation d’un ouvrage regroupant ses œuvres et la réalisation d’un film documentaire. </w:t>
      </w:r>
    </w:p>
    <w:p w14:paraId="2DBE8E94" w14:textId="1C20ECA8" w:rsidR="00485816" w:rsidRDefault="00760529" w:rsidP="00485816">
      <w:pPr>
        <w:jc w:val="both"/>
        <w:rPr>
          <w:rFonts w:ascii="Cambria" w:hAnsi="Cambria" w:cs="Arial"/>
          <w:color w:val="000000"/>
          <w:lang w:eastAsia="fr-FR"/>
        </w:rPr>
      </w:pPr>
      <w:r w:rsidRPr="00760529">
        <w:rPr>
          <w:rFonts w:ascii="Cambria" w:hAnsi="Cambria" w:cs="Arial"/>
          <w:color w:val="000000"/>
          <w:lang w:eastAsia="fr-FR"/>
        </w:rPr>
        <w:t xml:space="preserve">L’association souhaite déployer auprès du plus grande nombre ce projet qui va </w:t>
      </w:r>
      <w:r w:rsidR="00A2793F" w:rsidRPr="00760529">
        <w:rPr>
          <w:rFonts w:ascii="Cambria" w:hAnsi="Cambria" w:cs="Arial"/>
          <w:color w:val="000000"/>
          <w:lang w:eastAsia="fr-FR"/>
        </w:rPr>
        <w:t>révéler</w:t>
      </w:r>
      <w:r w:rsidRPr="00760529">
        <w:rPr>
          <w:rFonts w:ascii="Cambria" w:hAnsi="Cambria" w:cs="Arial"/>
          <w:color w:val="000000"/>
          <w:lang w:eastAsia="fr-FR"/>
        </w:rPr>
        <w:t xml:space="preserve"> la beauté et la diversité des îles, mais aussi sensibiliser et éduquer </w:t>
      </w:r>
      <w:r w:rsidR="00A2793F">
        <w:rPr>
          <w:rFonts w:ascii="Cambria" w:hAnsi="Cambria" w:cs="Arial"/>
          <w:color w:val="000000"/>
          <w:lang w:eastAsia="fr-FR"/>
        </w:rPr>
        <w:t>la</w:t>
      </w:r>
      <w:r w:rsidRPr="00760529">
        <w:rPr>
          <w:rFonts w:ascii="Cambria" w:hAnsi="Cambria" w:cs="Arial"/>
          <w:color w:val="000000"/>
          <w:lang w:eastAsia="fr-FR"/>
        </w:rPr>
        <w:t xml:space="preserve"> jeunesse polynésienne sur la culture et l’environnement. D’un point de vue touristique, la notoriété de Titouan viendra appuyer la promotion de Tahiti et ses îles dans les régions francophones et de la France hexagonale grâce à l’édition de l’ouvrage et la diffusion du documentaire à l’aide d’un réseau de presse important.</w:t>
      </w:r>
      <w:r w:rsidR="00A2793F">
        <w:rPr>
          <w:rFonts w:ascii="Cambria" w:hAnsi="Cambria" w:cs="Arial"/>
          <w:color w:val="000000"/>
          <w:lang w:eastAsia="fr-FR"/>
        </w:rPr>
        <w:t xml:space="preserve"> </w:t>
      </w:r>
      <w:r w:rsidRPr="00760529">
        <w:rPr>
          <w:rFonts w:ascii="Cambria" w:hAnsi="Cambria" w:cs="Arial"/>
          <w:color w:val="000000"/>
          <w:lang w:eastAsia="fr-FR"/>
        </w:rPr>
        <w:t>Aussi dans ce cadre, une exposition à vocation itinérante au musée de Tahiti et des îles a démarré fin novembre et devrait se poursuivre jusqu’en juin 2022.</w:t>
      </w:r>
      <w:bookmarkEnd w:id="19"/>
    </w:p>
    <w:p w14:paraId="3623B2B0" w14:textId="1E879629" w:rsidR="00104462" w:rsidRDefault="00104462" w:rsidP="00485816">
      <w:pPr>
        <w:jc w:val="both"/>
        <w:rPr>
          <w:rFonts w:ascii="Cambria" w:hAnsi="Cambria" w:cs="Arial"/>
          <w:color w:val="000000"/>
          <w:lang w:eastAsia="fr-FR"/>
        </w:rPr>
      </w:pPr>
    </w:p>
    <w:p w14:paraId="5298680D" w14:textId="3BDCADAA" w:rsidR="00104462" w:rsidRDefault="00104462" w:rsidP="00485816">
      <w:pPr>
        <w:jc w:val="both"/>
        <w:rPr>
          <w:rFonts w:ascii="Cambria" w:hAnsi="Cambria" w:cs="Arial"/>
          <w:color w:val="000000"/>
          <w:lang w:eastAsia="fr-FR"/>
        </w:rPr>
      </w:pPr>
    </w:p>
    <w:p w14:paraId="2548134F" w14:textId="77777777" w:rsidR="00104462" w:rsidRDefault="00104462" w:rsidP="00104462">
      <w:pPr>
        <w:pStyle w:val="Titre2"/>
        <w:rPr>
          <w:rStyle w:val="lev"/>
          <w:b/>
          <w:bCs w:val="0"/>
        </w:rPr>
      </w:pPr>
      <w:bookmarkStart w:id="21" w:name="_Toc91082761"/>
      <w:r>
        <w:rPr>
          <w:rStyle w:val="lev"/>
          <w:b/>
          <w:bCs w:val="0"/>
        </w:rPr>
        <w:t>Indice des prix à la consommation</w:t>
      </w:r>
      <w:bookmarkEnd w:id="21"/>
    </w:p>
    <w:p w14:paraId="59199657" w14:textId="77777777" w:rsidR="00104462" w:rsidRDefault="00104462" w:rsidP="00104462"/>
    <w:p w14:paraId="45A95CE0" w14:textId="77777777" w:rsidR="00104462" w:rsidRDefault="00104462" w:rsidP="00104462">
      <w:pPr>
        <w:jc w:val="both"/>
        <w:rPr>
          <w:rFonts w:ascii="Cambria" w:hAnsi="Cambria" w:cs="Arial"/>
          <w:color w:val="000000"/>
          <w:lang w:eastAsia="fr-FR"/>
        </w:rPr>
      </w:pPr>
      <w:r w:rsidRPr="001E6B5C">
        <w:rPr>
          <w:rFonts w:ascii="Cambria" w:hAnsi="Cambria" w:cs="Arial"/>
          <w:color w:val="000000"/>
          <w:lang w:eastAsia="fr-FR"/>
        </w:rPr>
        <w:t xml:space="preserve">En novembre 2021, l'indice des prix à la consommation progresse de 0,3 % et s'établit à 100,54, essentiellement en raison de la hausse des prix de 1,9 % de la division Transports et de 0,4 % de la division Logement, eau, électricité, gaz et autres combustibles.  Sur douze mois, l'indice général des prix à la consommation augmente de 1,8 %. L’indice ouvrier progresse de 0,3 % sur le mois (+1,6 % en glissement annuel). L'indice général hors Transport aérien international est en hausse de 0,4 % en novembre 2021 (+ 1,6 % en </w:t>
      </w:r>
      <w:r w:rsidRPr="001E6B5C">
        <w:rPr>
          <w:rFonts w:ascii="Cambria" w:hAnsi="Cambria" w:cs="Arial"/>
          <w:color w:val="000000"/>
          <w:lang w:eastAsia="fr-FR"/>
        </w:rPr>
        <w:lastRenderedPageBreak/>
        <w:t>glissement sur douze mois). L'évolution de l'IPC au cours du mois s'explique principalement par l'augmentation de 1,9 % des prix des transports, tirés vers le haut par le prix des carburants et lubrifiants pour les véhicules personnels (+ 7,5 %) et par l'augmentation de 0,4 % du prix du logement, eau, électricité</w:t>
      </w:r>
      <w:r>
        <w:rPr>
          <w:rFonts w:ascii="Cambria" w:hAnsi="Cambria" w:cs="Arial"/>
          <w:color w:val="000000"/>
          <w:lang w:eastAsia="fr-FR"/>
        </w:rPr>
        <w:t xml:space="preserve">, </w:t>
      </w:r>
      <w:r w:rsidRPr="001E6B5C">
        <w:rPr>
          <w:rFonts w:ascii="Cambria" w:hAnsi="Cambria" w:cs="Arial"/>
          <w:color w:val="000000"/>
          <w:lang w:eastAsia="fr-FR"/>
        </w:rPr>
        <w:t>gaz et autres combustibles, tirés par le prix des loyers (+ 1,0 %). D'autres prix de produits et services évoluent également à la hausse comme les services de restauration (+ 0,1 %), les articles d'habillement et les articles chaussants (+ 0,4 %), les huiles et les graisses (+ 1,9 %), les thés, cafés et cacao (+ 1,7 %) et les légumes (+ 2,8 %). Ces tendances sont en partie compensées par la baisse des prix des loisirs et de la culture (- 0,4 %), des produits de la mer (- 4,4 %), de la viande (- 0,6 %) et des fruits (- 0,5 %).</w:t>
      </w:r>
    </w:p>
    <w:p w14:paraId="1BFF1EAA" w14:textId="3CD262F5" w:rsidR="00104462" w:rsidRDefault="00104462" w:rsidP="00485816">
      <w:pPr>
        <w:jc w:val="both"/>
        <w:rPr>
          <w:rFonts w:ascii="Cambria" w:hAnsi="Cambria" w:cs="Arial"/>
          <w:color w:val="000000"/>
          <w:lang w:eastAsia="fr-FR"/>
        </w:rPr>
      </w:pPr>
    </w:p>
    <w:p w14:paraId="6E2B2572" w14:textId="08487B75" w:rsidR="00104462" w:rsidRDefault="00104462" w:rsidP="00485816">
      <w:pPr>
        <w:jc w:val="both"/>
        <w:rPr>
          <w:rFonts w:ascii="Cambria" w:hAnsi="Cambria" w:cs="Arial"/>
          <w:color w:val="000000"/>
          <w:lang w:eastAsia="fr-FR"/>
        </w:rPr>
      </w:pPr>
    </w:p>
    <w:p w14:paraId="391502F6" w14:textId="77777777" w:rsidR="00104462" w:rsidRDefault="00104462" w:rsidP="00104462">
      <w:pPr>
        <w:pStyle w:val="Titre2"/>
        <w:rPr>
          <w:rStyle w:val="lev"/>
          <w:b/>
          <w:bCs w:val="0"/>
        </w:rPr>
      </w:pPr>
      <w:bookmarkStart w:id="22" w:name="_Toc91082762"/>
      <w:r>
        <w:rPr>
          <w:rStyle w:val="lev"/>
          <w:b/>
          <w:bCs w:val="0"/>
        </w:rPr>
        <w:t>Prix des hydrocarbures au 1</w:t>
      </w:r>
      <w:r w:rsidRPr="001E6B5C">
        <w:rPr>
          <w:rStyle w:val="lev"/>
          <w:b/>
          <w:bCs w:val="0"/>
          <w:vertAlign w:val="superscript"/>
        </w:rPr>
        <w:t>er</w:t>
      </w:r>
      <w:r>
        <w:rPr>
          <w:rStyle w:val="lev"/>
          <w:b/>
          <w:bCs w:val="0"/>
        </w:rPr>
        <w:t xml:space="preserve"> janvier 2022</w:t>
      </w:r>
      <w:bookmarkEnd w:id="22"/>
    </w:p>
    <w:p w14:paraId="761F7241" w14:textId="77777777" w:rsidR="00104462" w:rsidRDefault="00104462" w:rsidP="00104462"/>
    <w:p w14:paraId="2F6F0E1E" w14:textId="13FEFE35" w:rsidR="00104462" w:rsidRDefault="00104462" w:rsidP="00104462">
      <w:pPr>
        <w:jc w:val="both"/>
        <w:rPr>
          <w:rFonts w:ascii="Cambria" w:hAnsi="Cambria" w:cs="Arial"/>
          <w:color w:val="000000"/>
          <w:lang w:eastAsia="fr-FR"/>
        </w:rPr>
      </w:pPr>
      <w:r w:rsidRPr="001E6B5C">
        <w:rPr>
          <w:rFonts w:ascii="Cambria" w:hAnsi="Cambria" w:cs="Arial"/>
          <w:color w:val="000000"/>
          <w:lang w:eastAsia="fr-FR"/>
        </w:rPr>
        <w:t xml:space="preserve">Compte tenu de l’augmentation de 69% du prix à l’importation du gaz butane depuis le </w:t>
      </w:r>
      <w:r>
        <w:rPr>
          <w:rFonts w:ascii="Cambria" w:hAnsi="Cambria" w:cs="Arial"/>
          <w:color w:val="000000"/>
          <w:lang w:eastAsia="fr-FR"/>
        </w:rPr>
        <w:t xml:space="preserve">1er </w:t>
      </w:r>
      <w:r w:rsidRPr="001E6B5C">
        <w:rPr>
          <w:rFonts w:ascii="Cambria" w:hAnsi="Cambria" w:cs="Arial"/>
          <w:color w:val="000000"/>
          <w:lang w:eastAsia="fr-FR"/>
        </w:rPr>
        <w:t xml:space="preserve"> janvier 2021, ainsi que du coût de son acheminement (+29%), le Conseil des </w:t>
      </w:r>
      <w:r>
        <w:rPr>
          <w:rFonts w:ascii="Cambria" w:hAnsi="Cambria" w:cs="Arial"/>
          <w:color w:val="000000"/>
          <w:lang w:eastAsia="fr-FR"/>
        </w:rPr>
        <w:t>m</w:t>
      </w:r>
      <w:r w:rsidRPr="001E6B5C">
        <w:rPr>
          <w:rFonts w:ascii="Cambria" w:hAnsi="Cambria" w:cs="Arial"/>
          <w:color w:val="000000"/>
          <w:lang w:eastAsia="fr-FR"/>
        </w:rPr>
        <w:t xml:space="preserve">inistres a décidé de revaloriser de + </w:t>
      </w:r>
      <w:r>
        <w:rPr>
          <w:rFonts w:ascii="Cambria" w:hAnsi="Cambria" w:cs="Arial"/>
          <w:color w:val="000000"/>
          <w:lang w:eastAsia="fr-FR"/>
        </w:rPr>
        <w:t>5</w:t>
      </w:r>
      <w:r w:rsidRPr="001E6B5C">
        <w:rPr>
          <w:rFonts w:ascii="Cambria" w:hAnsi="Cambria" w:cs="Arial"/>
          <w:color w:val="000000"/>
          <w:lang w:eastAsia="fr-FR"/>
        </w:rPr>
        <w:t xml:space="preserve"> </w:t>
      </w:r>
      <w:r>
        <w:rPr>
          <w:rFonts w:ascii="Cambria" w:hAnsi="Cambria" w:cs="Arial"/>
          <w:color w:val="000000"/>
          <w:lang w:eastAsia="fr-FR"/>
        </w:rPr>
        <w:t>F</w:t>
      </w:r>
      <w:r w:rsidRPr="001E6B5C">
        <w:rPr>
          <w:rFonts w:ascii="Cambria" w:hAnsi="Cambria" w:cs="Arial"/>
          <w:color w:val="000000"/>
          <w:lang w:eastAsia="fr-FR"/>
        </w:rPr>
        <w:t xml:space="preserve">cfp/kilo le prix de vente au 1er janvier 2022. </w:t>
      </w:r>
      <w:r w:rsidR="00FB4868">
        <w:rPr>
          <w:rFonts w:ascii="Cambria" w:hAnsi="Cambria" w:cs="Arial"/>
          <w:color w:val="000000"/>
          <w:lang w:eastAsia="fr-FR"/>
        </w:rPr>
        <w:t>Ce qui représente une augmentation de + 65 Fcfp sur la bouteille de 13 k</w:t>
      </w:r>
      <w:r w:rsidR="00EF472C">
        <w:rPr>
          <w:rFonts w:ascii="Cambria" w:hAnsi="Cambria" w:cs="Arial"/>
          <w:color w:val="000000"/>
          <w:lang w:eastAsia="fr-FR"/>
        </w:rPr>
        <w:t xml:space="preserve">g qui passe de </w:t>
      </w:r>
      <w:r w:rsidR="00FB4868">
        <w:rPr>
          <w:rFonts w:ascii="Cambria" w:hAnsi="Cambria" w:cs="Arial"/>
          <w:color w:val="000000"/>
          <w:lang w:eastAsia="fr-FR"/>
        </w:rPr>
        <w:t>2</w:t>
      </w:r>
      <w:r w:rsidR="00EF472C">
        <w:rPr>
          <w:rFonts w:ascii="Cambria" w:hAnsi="Cambria" w:cs="Arial"/>
          <w:color w:val="000000"/>
          <w:lang w:eastAsia="fr-FR"/>
        </w:rPr>
        <w:t xml:space="preserve">899 </w:t>
      </w:r>
      <w:r w:rsidR="00FB4868">
        <w:rPr>
          <w:rFonts w:ascii="Cambria" w:hAnsi="Cambria" w:cs="Arial"/>
          <w:color w:val="000000"/>
          <w:lang w:eastAsia="fr-FR"/>
        </w:rPr>
        <w:t xml:space="preserve">Fcfp </w:t>
      </w:r>
      <w:r w:rsidR="00EF472C">
        <w:rPr>
          <w:rFonts w:ascii="Cambria" w:hAnsi="Cambria" w:cs="Arial"/>
          <w:color w:val="000000"/>
          <w:lang w:eastAsia="fr-FR"/>
        </w:rPr>
        <w:t>à 2964 Fcfp.</w:t>
      </w:r>
      <w:r w:rsidR="00FB4868">
        <w:rPr>
          <w:rFonts w:ascii="Cambria" w:hAnsi="Cambria" w:cs="Arial"/>
          <w:color w:val="000000"/>
          <w:lang w:eastAsia="fr-FR"/>
        </w:rPr>
        <w:t xml:space="preserve"> </w:t>
      </w:r>
      <w:r w:rsidRPr="001E6B5C">
        <w:rPr>
          <w:rFonts w:ascii="Cambria" w:hAnsi="Cambria" w:cs="Arial"/>
          <w:color w:val="000000"/>
          <w:lang w:eastAsia="fr-FR"/>
        </w:rPr>
        <w:t xml:space="preserve">Malgré les fortes hausses qui ont prévalues sur les marchés à l’international aux dates de chargements, le Conseil des </w:t>
      </w:r>
      <w:r>
        <w:rPr>
          <w:rFonts w:ascii="Cambria" w:hAnsi="Cambria" w:cs="Arial"/>
          <w:color w:val="000000"/>
          <w:lang w:eastAsia="fr-FR"/>
        </w:rPr>
        <w:t>m</w:t>
      </w:r>
      <w:r w:rsidRPr="001E6B5C">
        <w:rPr>
          <w:rFonts w:ascii="Cambria" w:hAnsi="Cambria" w:cs="Arial"/>
          <w:color w:val="000000"/>
          <w:lang w:eastAsia="fr-FR"/>
        </w:rPr>
        <w:t>inistres a décidé de maintenir les prix de vente de tous les autres hydrocarbures à leur niveaux actuels pour le mois de janvier 2022, grâce au soutien du fonds de régulation du prix des hydrocarbures.</w:t>
      </w:r>
    </w:p>
    <w:p w14:paraId="5FB4E07D" w14:textId="77777777" w:rsidR="00104462" w:rsidRDefault="00104462" w:rsidP="00485816">
      <w:pPr>
        <w:jc w:val="both"/>
        <w:rPr>
          <w:rFonts w:ascii="Cambria" w:hAnsi="Cambria" w:cs="Arial"/>
          <w:color w:val="000000"/>
          <w:lang w:eastAsia="fr-FR"/>
        </w:rPr>
      </w:pPr>
    </w:p>
    <w:p w14:paraId="35DF4F08" w14:textId="52E7C18C" w:rsidR="00485816" w:rsidRDefault="00485816" w:rsidP="00485816">
      <w:pPr>
        <w:jc w:val="both"/>
        <w:rPr>
          <w:rFonts w:ascii="Cambria" w:hAnsi="Cambria" w:cs="Arial"/>
          <w:color w:val="000000"/>
          <w:lang w:eastAsia="fr-FR"/>
        </w:rPr>
      </w:pPr>
    </w:p>
    <w:p w14:paraId="2AE78283" w14:textId="7833F82F" w:rsidR="00485816" w:rsidRPr="00D077BF" w:rsidRDefault="00485816" w:rsidP="00485816">
      <w:pPr>
        <w:pStyle w:val="Titre2"/>
        <w:rPr>
          <w:rStyle w:val="lev"/>
          <w:b/>
          <w:bCs w:val="0"/>
        </w:rPr>
      </w:pPr>
      <w:bookmarkStart w:id="23" w:name="_Hlk90976625"/>
      <w:bookmarkStart w:id="24" w:name="_Toc91082763"/>
      <w:r>
        <w:rPr>
          <w:rStyle w:val="lev"/>
          <w:b/>
          <w:bCs w:val="0"/>
        </w:rPr>
        <w:t xml:space="preserve">Prolongation </w:t>
      </w:r>
      <w:r w:rsidR="00A2793F">
        <w:rPr>
          <w:rStyle w:val="lev"/>
          <w:b/>
          <w:bCs w:val="0"/>
        </w:rPr>
        <w:t xml:space="preserve">de la durée permettant la </w:t>
      </w:r>
      <w:r>
        <w:rPr>
          <w:rStyle w:val="lev"/>
          <w:b/>
          <w:bCs w:val="0"/>
        </w:rPr>
        <w:t>résolution sans pénalité des contrats</w:t>
      </w:r>
      <w:r w:rsidR="004A635B">
        <w:rPr>
          <w:rStyle w:val="lev"/>
          <w:b/>
          <w:bCs w:val="0"/>
        </w:rPr>
        <w:t xml:space="preserve"> </w:t>
      </w:r>
      <w:r>
        <w:rPr>
          <w:rStyle w:val="lev"/>
          <w:b/>
          <w:bCs w:val="0"/>
        </w:rPr>
        <w:t>touristiques</w:t>
      </w:r>
      <w:bookmarkEnd w:id="24"/>
    </w:p>
    <w:p w14:paraId="0E86B3A2" w14:textId="77777777" w:rsidR="00485816" w:rsidRPr="00D077BF" w:rsidRDefault="00485816" w:rsidP="00485816">
      <w:pPr>
        <w:jc w:val="both"/>
        <w:rPr>
          <w:rFonts w:ascii="Cambria" w:hAnsi="Cambria" w:cs="Arial"/>
          <w:color w:val="000000"/>
          <w:lang w:eastAsia="fr-FR"/>
        </w:rPr>
      </w:pPr>
    </w:p>
    <w:p w14:paraId="0FB2EB9C" w14:textId="77777777" w:rsidR="004A635B" w:rsidRDefault="004A635B" w:rsidP="00485816">
      <w:pPr>
        <w:jc w:val="both"/>
        <w:rPr>
          <w:rFonts w:ascii="Cambria" w:hAnsi="Cambria" w:cs="Arial"/>
          <w:color w:val="000000"/>
          <w:lang w:eastAsia="fr-FR"/>
        </w:rPr>
      </w:pPr>
      <w:r w:rsidRPr="004A635B">
        <w:rPr>
          <w:rFonts w:ascii="Cambria" w:hAnsi="Cambria" w:cs="Arial"/>
          <w:color w:val="000000"/>
          <w:lang w:eastAsia="fr-FR"/>
        </w:rPr>
        <w:t xml:space="preserve">La </w:t>
      </w:r>
      <w:r>
        <w:rPr>
          <w:rFonts w:ascii="Cambria" w:hAnsi="Cambria" w:cs="Arial"/>
          <w:color w:val="000000"/>
          <w:lang w:eastAsia="fr-FR"/>
        </w:rPr>
        <w:t>L</w:t>
      </w:r>
      <w:r w:rsidRPr="004A635B">
        <w:rPr>
          <w:rFonts w:ascii="Cambria" w:hAnsi="Cambria" w:cs="Arial"/>
          <w:color w:val="000000"/>
          <w:lang w:eastAsia="fr-FR"/>
        </w:rPr>
        <w:t xml:space="preserve">oi du </w:t>
      </w:r>
      <w:r>
        <w:rPr>
          <w:rFonts w:ascii="Cambria" w:hAnsi="Cambria" w:cs="Arial"/>
          <w:color w:val="000000"/>
          <w:lang w:eastAsia="fr-FR"/>
        </w:rPr>
        <w:t>P</w:t>
      </w:r>
      <w:r w:rsidRPr="004A635B">
        <w:rPr>
          <w:rFonts w:ascii="Cambria" w:hAnsi="Cambria" w:cs="Arial"/>
          <w:color w:val="000000"/>
          <w:lang w:eastAsia="fr-FR"/>
        </w:rPr>
        <w:t>ays du 21 avril 2020 a mis en place diverses mesures en matière économique, dont celle permettant l’aménagement des modalités de résolution des contrats portant sur les opérations touristiques. De nombreux voyageurs ayant dû annuler leur séjour en Polynésie, des dispositions particulières ont été prises afin de permettre aux professionnels de leur proposer un report de la prestation ou du séjour prévu sans frais avec, à défaut d’accord, le remboursement intégral des sommes versées par le client à l’issue d’une période de 12 mois.</w:t>
      </w:r>
    </w:p>
    <w:p w14:paraId="71CB4CE5" w14:textId="77777777" w:rsidR="004A635B" w:rsidRDefault="004A635B" w:rsidP="00485816">
      <w:pPr>
        <w:jc w:val="both"/>
        <w:rPr>
          <w:rFonts w:ascii="Cambria" w:hAnsi="Cambria" w:cs="Arial"/>
          <w:color w:val="000000"/>
          <w:lang w:eastAsia="fr-FR"/>
        </w:rPr>
      </w:pPr>
      <w:r w:rsidRPr="004A635B">
        <w:rPr>
          <w:rFonts w:ascii="Cambria" w:hAnsi="Cambria" w:cs="Arial"/>
          <w:color w:val="000000"/>
          <w:lang w:eastAsia="fr-FR"/>
        </w:rPr>
        <w:t xml:space="preserve">A l’heure actuelle, les voyageurs sont encore soumis à des mesures sanitaires telles que les tests exigés avant leur départ. En cas de résultat positif, ils ne peuvent venir séjourner en Polynésie aux dates prévues. L’exécution des prestations touristiques est donc toujours susceptible d’être rendue impossible par ces mesures. </w:t>
      </w:r>
    </w:p>
    <w:p w14:paraId="24049957" w14:textId="77777777" w:rsidR="004A635B" w:rsidRDefault="004A635B" w:rsidP="00485816">
      <w:pPr>
        <w:jc w:val="both"/>
        <w:rPr>
          <w:rFonts w:ascii="Cambria" w:hAnsi="Cambria" w:cs="Arial"/>
          <w:color w:val="000000"/>
          <w:lang w:eastAsia="fr-FR"/>
        </w:rPr>
      </w:pPr>
      <w:r w:rsidRPr="004A635B">
        <w:rPr>
          <w:rFonts w:ascii="Cambria" w:hAnsi="Cambria" w:cs="Arial"/>
          <w:color w:val="000000"/>
          <w:lang w:eastAsia="fr-FR"/>
        </w:rPr>
        <w:t>Pour ces raisons, et notamment celles liées aux mesures nationales et internationales de tests sanitaires obligatoires avant le départ, la prolongation de six mois de l’aménagement des conditions de résolution des contrats de voyage et séjour</w:t>
      </w:r>
      <w:r>
        <w:rPr>
          <w:rFonts w:ascii="Cambria" w:hAnsi="Cambria" w:cs="Arial"/>
          <w:color w:val="000000"/>
          <w:lang w:eastAsia="fr-FR"/>
        </w:rPr>
        <w:t>s</w:t>
      </w:r>
      <w:r w:rsidRPr="004A635B">
        <w:rPr>
          <w:rFonts w:ascii="Cambria" w:hAnsi="Cambria" w:cs="Arial"/>
          <w:color w:val="000000"/>
          <w:lang w:eastAsia="fr-FR"/>
        </w:rPr>
        <w:t xml:space="preserve"> touristiques prévues par la </w:t>
      </w:r>
      <w:r>
        <w:rPr>
          <w:rFonts w:ascii="Cambria" w:hAnsi="Cambria" w:cs="Arial"/>
          <w:color w:val="000000"/>
          <w:lang w:eastAsia="fr-FR"/>
        </w:rPr>
        <w:t>L</w:t>
      </w:r>
      <w:r w:rsidRPr="004A635B">
        <w:rPr>
          <w:rFonts w:ascii="Cambria" w:hAnsi="Cambria" w:cs="Arial"/>
          <w:color w:val="000000"/>
          <w:lang w:eastAsia="fr-FR"/>
        </w:rPr>
        <w:t xml:space="preserve">oi du </w:t>
      </w:r>
      <w:r>
        <w:rPr>
          <w:rFonts w:ascii="Cambria" w:hAnsi="Cambria" w:cs="Arial"/>
          <w:color w:val="000000"/>
          <w:lang w:eastAsia="fr-FR"/>
        </w:rPr>
        <w:t>P</w:t>
      </w:r>
      <w:r w:rsidRPr="004A635B">
        <w:rPr>
          <w:rFonts w:ascii="Cambria" w:hAnsi="Cambria" w:cs="Arial"/>
          <w:color w:val="000000"/>
          <w:lang w:eastAsia="fr-FR"/>
        </w:rPr>
        <w:t xml:space="preserve">ays du 21 avril 2020 modifiée a été approuvé par le </w:t>
      </w:r>
      <w:r>
        <w:rPr>
          <w:rFonts w:ascii="Cambria" w:hAnsi="Cambria" w:cs="Arial"/>
          <w:color w:val="000000"/>
          <w:lang w:eastAsia="fr-FR"/>
        </w:rPr>
        <w:t>C</w:t>
      </w:r>
      <w:r w:rsidRPr="004A635B">
        <w:rPr>
          <w:rFonts w:ascii="Cambria" w:hAnsi="Cambria" w:cs="Arial"/>
          <w:color w:val="000000"/>
          <w:lang w:eastAsia="fr-FR"/>
        </w:rPr>
        <w:t xml:space="preserve">onseil des ministres. </w:t>
      </w:r>
    </w:p>
    <w:p w14:paraId="5930038E" w14:textId="1AC7AD06" w:rsidR="00485816" w:rsidRDefault="004A635B" w:rsidP="00485816">
      <w:pPr>
        <w:jc w:val="both"/>
        <w:rPr>
          <w:rFonts w:ascii="Cambria" w:hAnsi="Cambria" w:cs="Arial"/>
          <w:color w:val="000000"/>
          <w:lang w:eastAsia="fr-FR"/>
        </w:rPr>
      </w:pPr>
      <w:r w:rsidRPr="004A635B">
        <w:rPr>
          <w:rFonts w:ascii="Cambria" w:hAnsi="Cambria" w:cs="Arial"/>
          <w:color w:val="000000"/>
          <w:lang w:eastAsia="fr-FR"/>
        </w:rPr>
        <w:t>Celle-ci va permettre aux voyageurs de faire de la Polynésie française une destination vers laquelle les réservations pourront encore se faire de manière sereine avec la possibilité d’un report. Ce dispositif exceptionnel prendra fin au 30 juin 2022.</w:t>
      </w:r>
      <w:bookmarkEnd w:id="23"/>
    </w:p>
    <w:p w14:paraId="794570EE" w14:textId="0ABB642B" w:rsidR="00A4351D" w:rsidRDefault="00A4351D" w:rsidP="00485816">
      <w:pPr>
        <w:jc w:val="both"/>
        <w:rPr>
          <w:rFonts w:ascii="Cambria" w:hAnsi="Cambria" w:cs="Arial"/>
          <w:color w:val="000000"/>
          <w:lang w:eastAsia="fr-FR"/>
        </w:rPr>
      </w:pPr>
    </w:p>
    <w:p w14:paraId="51FE7221" w14:textId="73BF869F" w:rsidR="00A4351D" w:rsidRDefault="00A4351D" w:rsidP="00485816">
      <w:pPr>
        <w:jc w:val="both"/>
        <w:rPr>
          <w:rFonts w:ascii="Cambria" w:hAnsi="Cambria" w:cs="Arial"/>
          <w:color w:val="000000"/>
          <w:lang w:eastAsia="fr-FR"/>
        </w:rPr>
      </w:pPr>
    </w:p>
    <w:p w14:paraId="159C8018" w14:textId="2FEAD5C9" w:rsidR="00886C47" w:rsidRDefault="00886C47" w:rsidP="00485816">
      <w:pPr>
        <w:jc w:val="both"/>
        <w:rPr>
          <w:rFonts w:ascii="Cambria" w:hAnsi="Cambria" w:cs="Arial"/>
          <w:color w:val="000000"/>
          <w:lang w:eastAsia="fr-FR"/>
        </w:rPr>
      </w:pPr>
    </w:p>
    <w:p w14:paraId="5F185B48" w14:textId="77777777" w:rsidR="00886C47" w:rsidRDefault="00886C47" w:rsidP="00485816">
      <w:pPr>
        <w:jc w:val="both"/>
        <w:rPr>
          <w:rFonts w:ascii="Cambria" w:hAnsi="Cambria" w:cs="Arial"/>
          <w:color w:val="000000"/>
          <w:lang w:eastAsia="fr-FR"/>
        </w:rPr>
      </w:pPr>
    </w:p>
    <w:p w14:paraId="07A2FE3C" w14:textId="77777777" w:rsidR="00A4351D" w:rsidRDefault="00A4351D" w:rsidP="00A4351D">
      <w:pPr>
        <w:pStyle w:val="Titre2"/>
        <w:rPr>
          <w:rStyle w:val="lev"/>
          <w:b/>
          <w:bCs w:val="0"/>
        </w:rPr>
      </w:pPr>
      <w:bookmarkStart w:id="25" w:name="_Hlk91077953"/>
      <w:bookmarkStart w:id="26" w:name="_Toc91082764"/>
      <w:r>
        <w:rPr>
          <w:rStyle w:val="lev"/>
          <w:b/>
          <w:bCs w:val="0"/>
        </w:rPr>
        <w:lastRenderedPageBreak/>
        <w:t>Avenant 19 au contrat de concession Tahiti Nord</w:t>
      </w:r>
      <w:bookmarkEnd w:id="26"/>
    </w:p>
    <w:p w14:paraId="12FFFDCB" w14:textId="77777777" w:rsidR="00A4351D" w:rsidRDefault="00A4351D" w:rsidP="00A4351D"/>
    <w:p w14:paraId="01B81EDB" w14:textId="2B1181CD" w:rsidR="00A4351D" w:rsidRDefault="00A4351D" w:rsidP="00A4351D">
      <w:pPr>
        <w:jc w:val="both"/>
        <w:rPr>
          <w:rFonts w:ascii="Cambria" w:hAnsi="Cambria" w:cs="Arial"/>
          <w:color w:val="000000"/>
          <w:lang w:eastAsia="fr-FR"/>
        </w:rPr>
      </w:pPr>
      <w:r w:rsidRPr="00E70529">
        <w:rPr>
          <w:rFonts w:ascii="Cambria" w:hAnsi="Cambria" w:cs="Arial"/>
          <w:color w:val="000000"/>
          <w:lang w:eastAsia="fr-FR"/>
        </w:rPr>
        <w:t>Annoncé depuis plusieurs mois, le dispositif de péréquation des tarifs de l'électricité entrera en vigueur au 1er janvier 2022. A compter de ce jour, tous les usagers d’un service public de distribution d’électricité en Polynésie française contribueront</w:t>
      </w:r>
      <w:r>
        <w:rPr>
          <w:rFonts w:ascii="Cambria" w:hAnsi="Cambria" w:cs="Arial"/>
          <w:color w:val="000000"/>
          <w:lang w:eastAsia="fr-FR"/>
        </w:rPr>
        <w:t>, comme par le passé,</w:t>
      </w:r>
      <w:r w:rsidRPr="00E70529">
        <w:rPr>
          <w:rFonts w:ascii="Cambria" w:hAnsi="Cambria" w:cs="Arial"/>
          <w:color w:val="000000"/>
          <w:lang w:eastAsia="fr-FR"/>
        </w:rPr>
        <w:t xml:space="preserve"> au dispositif de solidarité à hauteur de 6,3 </w:t>
      </w:r>
      <w:r w:rsidRPr="00E70529">
        <w:rPr>
          <w:rFonts w:ascii="Cambria" w:hAnsi="Cambria" w:cs="Arial"/>
          <w:color w:val="000000"/>
          <w:lang w:eastAsia="fr-FR"/>
        </w:rPr>
        <w:t>F</w:t>
      </w:r>
      <w:r>
        <w:rPr>
          <w:rFonts w:ascii="Cambria" w:hAnsi="Cambria" w:cs="Arial"/>
          <w:color w:val="000000"/>
          <w:lang w:eastAsia="fr-FR"/>
        </w:rPr>
        <w:t>cfp</w:t>
      </w:r>
      <w:r w:rsidRPr="00E70529">
        <w:rPr>
          <w:rFonts w:ascii="Cambria" w:hAnsi="Cambria" w:cs="Arial"/>
          <w:color w:val="000000"/>
          <w:lang w:eastAsia="fr-FR"/>
        </w:rPr>
        <w:t>/kWh. Cette contribution alimentera un fonds dédié géré par le Pays puis sera redistribué</w:t>
      </w:r>
      <w:r>
        <w:rPr>
          <w:rFonts w:ascii="Cambria" w:hAnsi="Cambria" w:cs="Arial"/>
          <w:color w:val="000000"/>
          <w:lang w:eastAsia="fr-FR"/>
        </w:rPr>
        <w:t>e</w:t>
      </w:r>
      <w:r w:rsidRPr="00E70529">
        <w:rPr>
          <w:rFonts w:ascii="Cambria" w:hAnsi="Cambria" w:cs="Arial"/>
          <w:color w:val="000000"/>
          <w:lang w:eastAsia="fr-FR"/>
        </w:rPr>
        <w:t xml:space="preserve"> intégralement au travers de montants de compensation de péréquation versés à tous les gestionnaires de réseaux. </w:t>
      </w:r>
    </w:p>
    <w:p w14:paraId="0F845D53" w14:textId="77777777" w:rsidR="00A4351D" w:rsidRDefault="00A4351D" w:rsidP="00A4351D">
      <w:pPr>
        <w:jc w:val="both"/>
        <w:rPr>
          <w:rFonts w:ascii="Cambria" w:hAnsi="Cambria" w:cs="Arial"/>
          <w:color w:val="000000"/>
          <w:lang w:eastAsia="fr-FR"/>
        </w:rPr>
      </w:pPr>
      <w:r w:rsidRPr="00E70529">
        <w:rPr>
          <w:rFonts w:ascii="Cambria" w:hAnsi="Cambria" w:cs="Arial"/>
          <w:color w:val="000000"/>
          <w:lang w:eastAsia="fr-FR"/>
        </w:rPr>
        <w:t xml:space="preserve">Les deux principaux objectifs poursuivis par le Pays sont d’une part, de garantir une équité d’accès au service public de l’électricité entre tous les usagers de Polynésie française, et d’autre part, d’équilibrer les comptes d’exploitation des services publics de l’électricité, hélas souvent déficitaires dans les archipels éloignés. </w:t>
      </w:r>
    </w:p>
    <w:p w14:paraId="5D1B9EAB" w14:textId="56D8D0C0" w:rsidR="00A4351D" w:rsidRDefault="00A4351D" w:rsidP="00485816">
      <w:pPr>
        <w:jc w:val="both"/>
        <w:rPr>
          <w:rFonts w:ascii="Cambria" w:hAnsi="Cambria" w:cs="Arial"/>
          <w:color w:val="000000"/>
          <w:lang w:eastAsia="fr-FR"/>
        </w:rPr>
      </w:pPr>
      <w:r w:rsidRPr="00E70529">
        <w:rPr>
          <w:rFonts w:ascii="Cambria" w:hAnsi="Cambria" w:cs="Arial"/>
          <w:color w:val="000000"/>
          <w:lang w:eastAsia="fr-FR"/>
        </w:rPr>
        <w:t>Par ailleurs, en raison de son taux de dépendance aux importations, la Polynésie française subit de plein fouet l’envolée du cours mondial des hydrocarbures depuis le mois de janvier 2021. En effet, le cours a bondi de 60% entre le mois de janvier et de décembre 2021. Malgré l’outil de stabilisation des prix des hydrocarbures (FRPH) dont le Pays dispose pour contenir la hausse des hydrocarbures, la répercussion sur les tarifs de l’électricité est inévitable.  Le réajustement tarifaire induit par les deux raisons évoquées s’établit à 5%</w:t>
      </w:r>
      <w:r>
        <w:rPr>
          <w:rFonts w:ascii="Cambria" w:hAnsi="Cambria" w:cs="Arial"/>
          <w:color w:val="000000"/>
          <w:lang w:eastAsia="fr-FR"/>
        </w:rPr>
        <w:t xml:space="preserve">, soit 1,8 Fcfp/kWh, </w:t>
      </w:r>
      <w:r w:rsidRPr="00E70529">
        <w:rPr>
          <w:rFonts w:ascii="Cambria" w:hAnsi="Cambria" w:cs="Arial"/>
          <w:color w:val="000000"/>
          <w:lang w:eastAsia="fr-FR"/>
        </w:rPr>
        <w:t>pour les usagers de la concession de Tahiti Nord et des concessions des îles gérées par EDT.</w:t>
      </w:r>
      <w:bookmarkEnd w:id="25"/>
    </w:p>
    <w:p w14:paraId="63352397" w14:textId="419F01D4" w:rsidR="00A4351D" w:rsidRDefault="00A4351D" w:rsidP="00485816">
      <w:pPr>
        <w:jc w:val="both"/>
        <w:rPr>
          <w:rFonts w:ascii="Cambria" w:hAnsi="Cambria" w:cs="Arial"/>
          <w:color w:val="000000"/>
          <w:lang w:eastAsia="fr-FR"/>
        </w:rPr>
      </w:pPr>
    </w:p>
    <w:p w14:paraId="0C160B5E" w14:textId="77777777" w:rsidR="00A4351D" w:rsidRDefault="00A4351D" w:rsidP="00485816">
      <w:pPr>
        <w:jc w:val="both"/>
        <w:rPr>
          <w:rFonts w:ascii="Cambria" w:hAnsi="Cambria" w:cs="Arial"/>
          <w:color w:val="000000"/>
          <w:lang w:eastAsia="fr-FR"/>
        </w:rPr>
      </w:pPr>
    </w:p>
    <w:p w14:paraId="3FD408E8" w14:textId="4BCDBED5" w:rsidR="00485816" w:rsidRPr="00D077BF" w:rsidRDefault="00485816" w:rsidP="00485816">
      <w:pPr>
        <w:pStyle w:val="Titre2"/>
        <w:rPr>
          <w:rStyle w:val="lev"/>
          <w:b/>
          <w:bCs w:val="0"/>
        </w:rPr>
      </w:pPr>
      <w:bookmarkStart w:id="27" w:name="_Hlk90975717"/>
      <w:bookmarkStart w:id="28" w:name="_Toc91082765"/>
      <w:r>
        <w:rPr>
          <w:rStyle w:val="lev"/>
          <w:b/>
          <w:bCs w:val="0"/>
        </w:rPr>
        <w:t xml:space="preserve">Prorogation </w:t>
      </w:r>
      <w:r w:rsidR="00E0588F">
        <w:rPr>
          <w:rStyle w:val="lev"/>
          <w:b/>
          <w:bCs w:val="0"/>
        </w:rPr>
        <w:t xml:space="preserve">des </w:t>
      </w:r>
      <w:r>
        <w:rPr>
          <w:rStyle w:val="lev"/>
          <w:b/>
          <w:bCs w:val="0"/>
        </w:rPr>
        <w:t>dispositif</w:t>
      </w:r>
      <w:r w:rsidR="00E0588F">
        <w:rPr>
          <w:rStyle w:val="lev"/>
          <w:b/>
          <w:bCs w:val="0"/>
        </w:rPr>
        <w:t>s</w:t>
      </w:r>
      <w:r>
        <w:rPr>
          <w:rStyle w:val="lev"/>
          <w:b/>
          <w:bCs w:val="0"/>
        </w:rPr>
        <w:t xml:space="preserve"> particulier</w:t>
      </w:r>
      <w:r w:rsidR="00E0588F">
        <w:rPr>
          <w:rStyle w:val="lev"/>
          <w:b/>
          <w:bCs w:val="0"/>
        </w:rPr>
        <w:t>s pour le</w:t>
      </w:r>
      <w:r>
        <w:rPr>
          <w:rStyle w:val="lev"/>
          <w:b/>
          <w:bCs w:val="0"/>
        </w:rPr>
        <w:t xml:space="preserve"> suivi des malades </w:t>
      </w:r>
      <w:r w:rsidR="00E0588F">
        <w:rPr>
          <w:rStyle w:val="lev"/>
          <w:b/>
          <w:bCs w:val="0"/>
        </w:rPr>
        <w:t xml:space="preserve">de la </w:t>
      </w:r>
      <w:r>
        <w:rPr>
          <w:rStyle w:val="lev"/>
          <w:b/>
          <w:bCs w:val="0"/>
        </w:rPr>
        <w:t>Covid-19</w:t>
      </w:r>
      <w:bookmarkEnd w:id="28"/>
      <w:r>
        <w:rPr>
          <w:rStyle w:val="lev"/>
          <w:b/>
          <w:bCs w:val="0"/>
        </w:rPr>
        <w:t xml:space="preserve"> </w:t>
      </w:r>
    </w:p>
    <w:p w14:paraId="44667DCE" w14:textId="77777777" w:rsidR="00485816" w:rsidRPr="00D077BF" w:rsidRDefault="00485816" w:rsidP="00485816">
      <w:pPr>
        <w:jc w:val="both"/>
        <w:rPr>
          <w:rFonts w:ascii="Cambria" w:hAnsi="Cambria" w:cs="Arial"/>
          <w:color w:val="000000"/>
          <w:lang w:eastAsia="fr-FR"/>
        </w:rPr>
      </w:pPr>
    </w:p>
    <w:p w14:paraId="05E8D914" w14:textId="77777777" w:rsidR="0029423B" w:rsidRDefault="0029423B" w:rsidP="00485816">
      <w:pPr>
        <w:jc w:val="both"/>
        <w:rPr>
          <w:rFonts w:ascii="Cambria" w:hAnsi="Cambria" w:cs="Arial"/>
          <w:color w:val="000000"/>
          <w:lang w:eastAsia="fr-FR"/>
        </w:rPr>
      </w:pPr>
      <w:r w:rsidRPr="0029423B">
        <w:rPr>
          <w:rFonts w:ascii="Cambria" w:hAnsi="Cambria" w:cs="Arial"/>
          <w:color w:val="000000"/>
          <w:lang w:eastAsia="fr-FR"/>
        </w:rPr>
        <w:t xml:space="preserve">En prévision d’une nouvelle vague pandémique liée au variant « Omicron » et dans le souci de garantir la continuité des soins à domicile aux personnes atteintes de </w:t>
      </w:r>
      <w:r>
        <w:rPr>
          <w:rFonts w:ascii="Cambria" w:hAnsi="Cambria" w:cs="Arial"/>
          <w:color w:val="000000"/>
          <w:lang w:eastAsia="fr-FR"/>
        </w:rPr>
        <w:t>la C</w:t>
      </w:r>
      <w:r w:rsidRPr="0029423B">
        <w:rPr>
          <w:rFonts w:ascii="Cambria" w:hAnsi="Cambria" w:cs="Arial"/>
          <w:color w:val="000000"/>
          <w:lang w:eastAsia="fr-FR"/>
        </w:rPr>
        <w:t>ovid-19 et prévenir les formes graves de la maladie, le pays proroge jusqu’au 31 mars 2022, des mesures dérogatoires de prise en charge en tiers-payant et à 100% par les régimes de protection sociale pour les actes rappelés ci-dessous :</w:t>
      </w:r>
    </w:p>
    <w:p w14:paraId="77BAA6BB" w14:textId="36FBCE11" w:rsidR="0029423B" w:rsidRDefault="0029423B" w:rsidP="00BF30A0">
      <w:pPr>
        <w:pStyle w:val="Paragraphedeliste"/>
        <w:numPr>
          <w:ilvl w:val="0"/>
          <w:numId w:val="10"/>
        </w:numPr>
        <w:jc w:val="both"/>
        <w:rPr>
          <w:rFonts w:ascii="Cambria" w:hAnsi="Cambria" w:cs="Arial"/>
          <w:color w:val="000000"/>
          <w:lang w:eastAsia="fr-FR"/>
        </w:rPr>
      </w:pPr>
      <w:proofErr w:type="gramStart"/>
      <w:r w:rsidRPr="0029423B">
        <w:rPr>
          <w:rFonts w:ascii="Cambria" w:hAnsi="Cambria" w:cs="Arial"/>
          <w:color w:val="000000"/>
          <w:lang w:eastAsia="fr-FR"/>
        </w:rPr>
        <w:t>les</w:t>
      </w:r>
      <w:proofErr w:type="gramEnd"/>
      <w:r w:rsidRPr="0029423B">
        <w:rPr>
          <w:rFonts w:ascii="Cambria" w:hAnsi="Cambria" w:cs="Arial"/>
          <w:color w:val="000000"/>
          <w:lang w:eastAsia="fr-FR"/>
        </w:rPr>
        <w:t xml:space="preserve"> visites à domicile du médecin libéral pour le suivi d’un patient atteint de</w:t>
      </w:r>
      <w:r>
        <w:rPr>
          <w:rFonts w:ascii="Cambria" w:hAnsi="Cambria" w:cs="Arial"/>
          <w:color w:val="000000"/>
          <w:lang w:eastAsia="fr-FR"/>
        </w:rPr>
        <w:t xml:space="preserve"> la</w:t>
      </w:r>
      <w:r w:rsidRPr="0029423B">
        <w:rPr>
          <w:rFonts w:ascii="Cambria" w:hAnsi="Cambria" w:cs="Arial"/>
          <w:color w:val="000000"/>
          <w:lang w:eastAsia="fr-FR"/>
        </w:rPr>
        <w:t xml:space="preserve"> </w:t>
      </w:r>
      <w:r>
        <w:rPr>
          <w:rFonts w:ascii="Cambria" w:hAnsi="Cambria" w:cs="Arial"/>
          <w:color w:val="000000"/>
          <w:lang w:eastAsia="fr-FR"/>
        </w:rPr>
        <w:t>C</w:t>
      </w:r>
      <w:r w:rsidRPr="0029423B">
        <w:rPr>
          <w:rFonts w:ascii="Cambria" w:hAnsi="Cambria" w:cs="Arial"/>
          <w:color w:val="000000"/>
          <w:lang w:eastAsia="fr-FR"/>
        </w:rPr>
        <w:t>ovid-19</w:t>
      </w:r>
      <w:r>
        <w:rPr>
          <w:rFonts w:ascii="Cambria" w:hAnsi="Cambria" w:cs="Arial"/>
          <w:color w:val="000000"/>
          <w:lang w:eastAsia="fr-FR"/>
        </w:rPr>
        <w:t> ;</w:t>
      </w:r>
    </w:p>
    <w:p w14:paraId="39731420" w14:textId="77777777" w:rsidR="0029423B" w:rsidRDefault="0029423B" w:rsidP="00BF30A0">
      <w:pPr>
        <w:pStyle w:val="Paragraphedeliste"/>
        <w:numPr>
          <w:ilvl w:val="0"/>
          <w:numId w:val="10"/>
        </w:numPr>
        <w:jc w:val="both"/>
        <w:rPr>
          <w:rFonts w:ascii="Cambria" w:hAnsi="Cambria" w:cs="Arial"/>
          <w:color w:val="000000"/>
          <w:lang w:eastAsia="fr-FR"/>
        </w:rPr>
      </w:pPr>
      <w:proofErr w:type="gramStart"/>
      <w:r w:rsidRPr="0029423B">
        <w:rPr>
          <w:rFonts w:ascii="Cambria" w:hAnsi="Cambria" w:cs="Arial"/>
          <w:color w:val="000000"/>
          <w:lang w:eastAsia="fr-FR"/>
        </w:rPr>
        <w:t>les</w:t>
      </w:r>
      <w:proofErr w:type="gramEnd"/>
      <w:r w:rsidRPr="0029423B">
        <w:rPr>
          <w:rFonts w:ascii="Cambria" w:hAnsi="Cambria" w:cs="Arial"/>
          <w:color w:val="000000"/>
          <w:lang w:eastAsia="fr-FR"/>
        </w:rPr>
        <w:t xml:space="preserve"> actes de soins infirmiers prescrit par un médecin pour la surveillance clinique de prévention à domicile pour les patients atteints de </w:t>
      </w:r>
      <w:r>
        <w:rPr>
          <w:rFonts w:ascii="Cambria" w:hAnsi="Cambria" w:cs="Arial"/>
          <w:color w:val="000000"/>
          <w:lang w:eastAsia="fr-FR"/>
        </w:rPr>
        <w:t>la C</w:t>
      </w:r>
      <w:r w:rsidRPr="0029423B">
        <w:rPr>
          <w:rFonts w:ascii="Cambria" w:hAnsi="Cambria" w:cs="Arial"/>
          <w:color w:val="000000"/>
          <w:lang w:eastAsia="fr-FR"/>
        </w:rPr>
        <w:t>ovid-19 ;</w:t>
      </w:r>
    </w:p>
    <w:p w14:paraId="700A38E6" w14:textId="77777777" w:rsidR="0029423B" w:rsidRDefault="0029423B" w:rsidP="00BF30A0">
      <w:pPr>
        <w:pStyle w:val="Paragraphedeliste"/>
        <w:numPr>
          <w:ilvl w:val="0"/>
          <w:numId w:val="10"/>
        </w:numPr>
        <w:jc w:val="both"/>
        <w:rPr>
          <w:rFonts w:ascii="Cambria" w:hAnsi="Cambria" w:cs="Arial"/>
          <w:color w:val="000000"/>
          <w:lang w:eastAsia="fr-FR"/>
        </w:rPr>
      </w:pPr>
      <w:proofErr w:type="gramStart"/>
      <w:r w:rsidRPr="0029423B">
        <w:rPr>
          <w:rFonts w:ascii="Cambria" w:hAnsi="Cambria" w:cs="Arial"/>
          <w:color w:val="000000"/>
          <w:lang w:eastAsia="fr-FR"/>
        </w:rPr>
        <w:t>la</w:t>
      </w:r>
      <w:proofErr w:type="gramEnd"/>
      <w:r w:rsidRPr="0029423B">
        <w:rPr>
          <w:rFonts w:ascii="Cambria" w:hAnsi="Cambria" w:cs="Arial"/>
          <w:color w:val="000000"/>
          <w:lang w:eastAsia="fr-FR"/>
        </w:rPr>
        <w:t xml:space="preserve"> surveillance à distance pour le suivi de patients atteints de </w:t>
      </w:r>
      <w:r>
        <w:rPr>
          <w:rFonts w:ascii="Cambria" w:hAnsi="Cambria" w:cs="Arial"/>
          <w:color w:val="000000"/>
          <w:lang w:eastAsia="fr-FR"/>
        </w:rPr>
        <w:t>la C</w:t>
      </w:r>
      <w:r w:rsidRPr="0029423B">
        <w:rPr>
          <w:rFonts w:ascii="Cambria" w:hAnsi="Cambria" w:cs="Arial"/>
          <w:color w:val="000000"/>
          <w:lang w:eastAsia="fr-FR"/>
        </w:rPr>
        <w:t>ovid-19 par tout moyen y compris téléphonique afin de pouvoir interpréter à distance les informations nécessaires à l’évolution de la maladie et ainsi pouvoir adapter la prise en charge ;</w:t>
      </w:r>
    </w:p>
    <w:p w14:paraId="7E449CFE" w14:textId="77777777" w:rsidR="0029423B" w:rsidRDefault="0029423B" w:rsidP="00BF30A0">
      <w:pPr>
        <w:pStyle w:val="Paragraphedeliste"/>
        <w:numPr>
          <w:ilvl w:val="0"/>
          <w:numId w:val="10"/>
        </w:numPr>
        <w:jc w:val="both"/>
        <w:rPr>
          <w:rFonts w:ascii="Cambria" w:hAnsi="Cambria" w:cs="Arial"/>
          <w:color w:val="000000"/>
          <w:lang w:eastAsia="fr-FR"/>
        </w:rPr>
      </w:pPr>
      <w:proofErr w:type="gramStart"/>
      <w:r w:rsidRPr="0029423B">
        <w:rPr>
          <w:rFonts w:ascii="Cambria" w:hAnsi="Cambria" w:cs="Arial"/>
          <w:color w:val="000000"/>
          <w:lang w:eastAsia="fr-FR"/>
        </w:rPr>
        <w:t>la</w:t>
      </w:r>
      <w:proofErr w:type="gramEnd"/>
      <w:r w:rsidRPr="0029423B">
        <w:rPr>
          <w:rFonts w:ascii="Cambria" w:hAnsi="Cambria" w:cs="Arial"/>
          <w:color w:val="000000"/>
          <w:lang w:eastAsia="fr-FR"/>
        </w:rPr>
        <w:t xml:space="preserve"> consultation à distance dans la limite d’une consultation par mois de patients placés en longue</w:t>
      </w:r>
      <w:r>
        <w:rPr>
          <w:rFonts w:ascii="Cambria" w:hAnsi="Cambria" w:cs="Arial"/>
          <w:color w:val="000000"/>
          <w:lang w:eastAsia="fr-FR"/>
        </w:rPr>
        <w:t xml:space="preserve"> </w:t>
      </w:r>
      <w:r w:rsidRPr="0029423B">
        <w:rPr>
          <w:rFonts w:ascii="Cambria" w:hAnsi="Cambria" w:cs="Arial"/>
          <w:color w:val="000000"/>
          <w:lang w:eastAsia="fr-FR"/>
        </w:rPr>
        <w:t>maladie pour un motif de consultation lié à leur pathologie.</w:t>
      </w:r>
    </w:p>
    <w:p w14:paraId="71FABDE8" w14:textId="77777777" w:rsidR="0029423B" w:rsidRDefault="0029423B" w:rsidP="0029423B">
      <w:pPr>
        <w:jc w:val="both"/>
        <w:rPr>
          <w:rFonts w:ascii="Cambria" w:hAnsi="Cambria" w:cs="Arial"/>
          <w:color w:val="000000"/>
          <w:lang w:eastAsia="fr-FR"/>
        </w:rPr>
      </w:pPr>
    </w:p>
    <w:p w14:paraId="40DED667" w14:textId="71E4D492" w:rsidR="00485816" w:rsidRPr="0029423B" w:rsidRDefault="0029423B" w:rsidP="0029423B">
      <w:pPr>
        <w:jc w:val="both"/>
        <w:rPr>
          <w:rFonts w:ascii="Cambria" w:hAnsi="Cambria" w:cs="Arial"/>
          <w:color w:val="000000"/>
          <w:lang w:eastAsia="fr-FR"/>
        </w:rPr>
      </w:pPr>
      <w:r w:rsidRPr="0029423B">
        <w:rPr>
          <w:rFonts w:ascii="Cambria" w:hAnsi="Cambria" w:cs="Arial"/>
          <w:color w:val="000000"/>
          <w:lang w:eastAsia="fr-FR"/>
        </w:rPr>
        <w:t xml:space="preserve">Ces mesures dérogatoires pourront être reconduites pour une durée de trois mois supplémentaires, en fonction de l’évolution de la pandémie </w:t>
      </w:r>
      <w:r>
        <w:rPr>
          <w:rFonts w:ascii="Cambria" w:hAnsi="Cambria" w:cs="Arial"/>
          <w:color w:val="000000"/>
          <w:lang w:eastAsia="fr-FR"/>
        </w:rPr>
        <w:t>de la C</w:t>
      </w:r>
      <w:r w:rsidRPr="0029423B">
        <w:rPr>
          <w:rFonts w:ascii="Cambria" w:hAnsi="Cambria" w:cs="Arial"/>
          <w:color w:val="000000"/>
          <w:lang w:eastAsia="fr-FR"/>
        </w:rPr>
        <w:t>ovid-19 et de la situation sanitaire du pays.</w:t>
      </w:r>
    </w:p>
    <w:bookmarkEnd w:id="15"/>
    <w:bookmarkEnd w:id="27"/>
    <w:p w14:paraId="3450D375" w14:textId="56CD2B51" w:rsidR="00913F5E" w:rsidRDefault="00913F5E" w:rsidP="0049706D">
      <w:pPr>
        <w:pStyle w:val="NormalWeb"/>
        <w:jc w:val="both"/>
        <w:rPr>
          <w:rFonts w:ascii="Cambria" w:hAnsi="Cambria" w:cs="Arial"/>
        </w:rPr>
      </w:pPr>
    </w:p>
    <w:p w14:paraId="1803B85E" w14:textId="7129E4F7" w:rsidR="00886C47" w:rsidRDefault="00886C47" w:rsidP="0049706D">
      <w:pPr>
        <w:pStyle w:val="NormalWeb"/>
        <w:jc w:val="both"/>
        <w:rPr>
          <w:rFonts w:ascii="Cambria" w:hAnsi="Cambria" w:cs="Arial"/>
        </w:rPr>
      </w:pPr>
    </w:p>
    <w:p w14:paraId="6F41B996" w14:textId="77777777" w:rsidR="00886C47" w:rsidRPr="00D077BF" w:rsidRDefault="00886C47" w:rsidP="0049706D">
      <w:pPr>
        <w:pStyle w:val="NormalWeb"/>
        <w:jc w:val="both"/>
        <w:rPr>
          <w:rFonts w:ascii="Cambria" w:hAnsi="Cambria" w:cs="Arial"/>
        </w:rPr>
      </w:pPr>
    </w:p>
    <w:p w14:paraId="3F3CD179" w14:textId="609375CD" w:rsidR="0006201F" w:rsidRDefault="0006201F" w:rsidP="0006201F">
      <w:pPr>
        <w:pStyle w:val="Titre1"/>
      </w:pPr>
      <w:bookmarkStart w:id="29" w:name="_Toc91082766"/>
      <w:r w:rsidRPr="00D077BF">
        <w:lastRenderedPageBreak/>
        <w:t>- MED-</w:t>
      </w:r>
      <w:bookmarkEnd w:id="29"/>
    </w:p>
    <w:p w14:paraId="141B1C62" w14:textId="77777777" w:rsidR="00913F5E" w:rsidRPr="00913F5E" w:rsidRDefault="00913F5E" w:rsidP="00913F5E"/>
    <w:p w14:paraId="42B6D8EA" w14:textId="77777777" w:rsidR="0006201F" w:rsidRPr="00D077BF" w:rsidRDefault="0006201F" w:rsidP="0006201F">
      <w:pPr>
        <w:rPr>
          <w:rFonts w:ascii="Cambria" w:hAnsi="Cambria"/>
        </w:rPr>
      </w:pPr>
    </w:p>
    <w:p w14:paraId="62BFF0D7" w14:textId="69C20863" w:rsidR="0006201F" w:rsidRPr="00D077BF" w:rsidRDefault="00485816" w:rsidP="0006201F">
      <w:pPr>
        <w:pStyle w:val="Titre2"/>
        <w:rPr>
          <w:lang w:eastAsia="fr-FR"/>
        </w:rPr>
      </w:pPr>
      <w:bookmarkStart w:id="30" w:name="_Hlk90393437"/>
      <w:bookmarkStart w:id="31" w:name="_Hlk90980152"/>
      <w:bookmarkStart w:id="32" w:name="_Toc91082767"/>
      <w:r>
        <w:rPr>
          <w:lang w:eastAsia="fr-FR"/>
        </w:rPr>
        <w:t>Opérations de dépollution des lagons perlicoles</w:t>
      </w:r>
      <w:bookmarkEnd w:id="32"/>
    </w:p>
    <w:p w14:paraId="5840906F" w14:textId="3FF1D9A7" w:rsidR="00723D84" w:rsidRPr="00D077BF" w:rsidRDefault="00723D84" w:rsidP="00723D84">
      <w:pPr>
        <w:rPr>
          <w:rFonts w:ascii="Cambria" w:hAnsi="Cambria"/>
          <w:lang w:eastAsia="fr-FR"/>
        </w:rPr>
      </w:pPr>
    </w:p>
    <w:bookmarkEnd w:id="30"/>
    <w:p w14:paraId="77B2F65E" w14:textId="3AAEB0F3" w:rsidR="004347C9" w:rsidRPr="004347C9" w:rsidRDefault="004347C9" w:rsidP="004347C9">
      <w:pPr>
        <w:pStyle w:val="NormalWeb"/>
        <w:jc w:val="both"/>
        <w:rPr>
          <w:rFonts w:ascii="Cambria" w:hAnsi="Cambria" w:cs="Arial"/>
        </w:rPr>
      </w:pPr>
      <w:r w:rsidRPr="004347C9">
        <w:rPr>
          <w:rFonts w:ascii="Cambria" w:hAnsi="Cambria" w:cs="Arial"/>
        </w:rPr>
        <w:t xml:space="preserve">A la suite d’un séminaire mené en décembre 2020 dans le cadre du Conseil de la perliculture, la Direction des ressources marines </w:t>
      </w:r>
      <w:r>
        <w:rPr>
          <w:rFonts w:ascii="Cambria" w:hAnsi="Cambria" w:cs="Arial"/>
        </w:rPr>
        <w:t xml:space="preserve">(DRM) </w:t>
      </w:r>
      <w:r w:rsidRPr="004347C9">
        <w:rPr>
          <w:rFonts w:ascii="Cambria" w:hAnsi="Cambria" w:cs="Arial"/>
        </w:rPr>
        <w:t xml:space="preserve">a lancé ses premières opérations de dépollution liées à l’activité perlicoles. Elle a notamment renforcé ses équipes avec l’arrivée d’un ingénieur spécialisé dans la gestion des déchets en juin 2021. </w:t>
      </w:r>
    </w:p>
    <w:p w14:paraId="27A26119" w14:textId="0C516F61" w:rsidR="004347C9" w:rsidRPr="004347C9" w:rsidRDefault="004347C9" w:rsidP="004347C9">
      <w:pPr>
        <w:pStyle w:val="NormalWeb"/>
        <w:jc w:val="both"/>
        <w:rPr>
          <w:rFonts w:ascii="Cambria" w:hAnsi="Cambria" w:cs="Arial"/>
        </w:rPr>
      </w:pPr>
      <w:r w:rsidRPr="004347C9">
        <w:rPr>
          <w:rFonts w:ascii="Cambria" w:hAnsi="Cambria" w:cs="Arial"/>
        </w:rPr>
        <w:t xml:space="preserve">Ainsi, ce sont plus de 500 m3 de déchets perlicoles principalement composés de cordages, ombrières, collecteurs, grillages qui ont été rapatriés cette année sur Tahiti en vue d’être traités au centre d’enfouissement technique de </w:t>
      </w:r>
      <w:r>
        <w:rPr>
          <w:rFonts w:ascii="Cambria" w:hAnsi="Cambria" w:cs="Arial"/>
        </w:rPr>
        <w:t xml:space="preserve">la </w:t>
      </w:r>
      <w:r w:rsidRPr="004347C9">
        <w:rPr>
          <w:rFonts w:ascii="Cambria" w:hAnsi="Cambria" w:cs="Arial"/>
        </w:rPr>
        <w:t>Punaruu. Les perliculteurs, les associations environnementales et les communes de Apataki, Takume, Rikitea, Tahaa, Raiatea et Fakarava</w:t>
      </w:r>
      <w:r>
        <w:rPr>
          <w:rFonts w:ascii="Cambria" w:hAnsi="Cambria" w:cs="Arial"/>
        </w:rPr>
        <w:t>,</w:t>
      </w:r>
      <w:r w:rsidRPr="004347C9">
        <w:rPr>
          <w:rFonts w:ascii="Cambria" w:hAnsi="Cambria" w:cs="Arial"/>
        </w:rPr>
        <w:t xml:space="preserve"> ont participé de manière active dans l’organisation de la collecte, du stockage et du transfert de ces déchets. Afin de coordonner les opérations, des agents de la DRM se sont déplacés sur certaines îles. Ces actions de collecte de déchets se poursuivront en 2022</w:t>
      </w:r>
      <w:r>
        <w:rPr>
          <w:rFonts w:ascii="Cambria" w:hAnsi="Cambria" w:cs="Arial"/>
        </w:rPr>
        <w:t>,</w:t>
      </w:r>
      <w:r w:rsidRPr="004347C9">
        <w:rPr>
          <w:rFonts w:ascii="Cambria" w:hAnsi="Cambria" w:cs="Arial"/>
        </w:rPr>
        <w:t xml:space="preserve"> avec une tournée spéciale du Tahiti Nui en partenariat avec la flottille administrative</w:t>
      </w:r>
      <w:r>
        <w:rPr>
          <w:rFonts w:ascii="Cambria" w:hAnsi="Cambria" w:cs="Arial"/>
        </w:rPr>
        <w:t>,</w:t>
      </w:r>
      <w:r w:rsidRPr="004347C9">
        <w:rPr>
          <w:rFonts w:ascii="Cambria" w:hAnsi="Cambria" w:cs="Arial"/>
        </w:rPr>
        <w:t xml:space="preserve"> pour les îles de Takaroa, Takapoto, Arutua, Apataki, Manihi, Ahe, Kaukura et Aratika. </w:t>
      </w:r>
    </w:p>
    <w:p w14:paraId="790D0FC0" w14:textId="1BCD04DA" w:rsidR="00F355D0" w:rsidRDefault="004347C9" w:rsidP="00485816">
      <w:pPr>
        <w:pStyle w:val="NormalWeb"/>
        <w:jc w:val="both"/>
        <w:rPr>
          <w:rFonts w:ascii="Cambria" w:hAnsi="Cambria" w:cs="Arial"/>
        </w:rPr>
      </w:pPr>
      <w:r w:rsidRPr="004347C9">
        <w:rPr>
          <w:rFonts w:ascii="Cambria" w:hAnsi="Cambria" w:cs="Arial"/>
        </w:rPr>
        <w:t xml:space="preserve">Dépourvue de gestion de déchets jusqu’à présent, la filière perlicole hérite d’un gisement de déchets « historiques » qu’il est impératif de collecter afin de préserver la santé des lagons et de ses habitants. En parallèle, et afin d’éviter que cela se reproduise, la DRM travail sur la mise en place d’une filière de gestion de déchets perlicoles ainsi que sur le développement de dispositifs de prévention et de réduction de ces déchets à la source. </w:t>
      </w:r>
      <w:bookmarkEnd w:id="31"/>
    </w:p>
    <w:p w14:paraId="2B5B1723" w14:textId="77777777" w:rsidR="00913F5E" w:rsidRDefault="00913F5E" w:rsidP="00485816">
      <w:pPr>
        <w:pStyle w:val="NormalWeb"/>
        <w:jc w:val="both"/>
        <w:rPr>
          <w:rFonts w:ascii="Cambria" w:hAnsi="Cambria" w:cs="Arial"/>
        </w:rPr>
      </w:pPr>
    </w:p>
    <w:p w14:paraId="41668DE5" w14:textId="45049911" w:rsidR="00485816" w:rsidRPr="00D077BF" w:rsidRDefault="00F355D0" w:rsidP="00485816">
      <w:pPr>
        <w:pStyle w:val="Titre2"/>
        <w:rPr>
          <w:lang w:eastAsia="fr-FR"/>
        </w:rPr>
      </w:pPr>
      <w:bookmarkStart w:id="33" w:name="_Hlk90989443"/>
      <w:bookmarkStart w:id="34" w:name="_Toc91082768"/>
      <w:r>
        <w:rPr>
          <w:lang w:eastAsia="fr-FR"/>
        </w:rPr>
        <w:t>Emprise foncière destinée à accueillir le futur Institut polynésien du cancer et ses annexes</w:t>
      </w:r>
      <w:bookmarkEnd w:id="34"/>
    </w:p>
    <w:p w14:paraId="165E67A1" w14:textId="77777777" w:rsidR="00485816" w:rsidRPr="00D077BF" w:rsidRDefault="00485816" w:rsidP="00485816">
      <w:pPr>
        <w:rPr>
          <w:rFonts w:ascii="Cambria" w:hAnsi="Cambria"/>
          <w:lang w:eastAsia="fr-FR"/>
        </w:rPr>
      </w:pPr>
    </w:p>
    <w:p w14:paraId="1BAEFDA7" w14:textId="487A5612" w:rsidR="00480E24" w:rsidRDefault="00F355D0" w:rsidP="00F355D0">
      <w:pPr>
        <w:pStyle w:val="NormalWeb"/>
        <w:jc w:val="both"/>
        <w:rPr>
          <w:rFonts w:ascii="Cambria" w:hAnsi="Cambria" w:cs="Arial"/>
        </w:rPr>
      </w:pPr>
      <w:r w:rsidRPr="00F355D0">
        <w:rPr>
          <w:rFonts w:ascii="Cambria" w:hAnsi="Cambria" w:cs="Arial"/>
        </w:rPr>
        <w:t xml:space="preserve">Dans le cadre </w:t>
      </w:r>
      <w:r w:rsidR="00A4351D">
        <w:rPr>
          <w:rFonts w:ascii="Cambria" w:hAnsi="Cambria" w:cs="Arial"/>
        </w:rPr>
        <w:t>de</w:t>
      </w:r>
      <w:r w:rsidRPr="00F355D0">
        <w:rPr>
          <w:rFonts w:ascii="Cambria" w:hAnsi="Cambria" w:cs="Arial"/>
        </w:rPr>
        <w:t xml:space="preserve"> la politique de santé en Polynésie française, orientée notamment vers une amélioration de la prise en charge des patients polynésiens atteints du cancer aux fins de leur permettre de bénéficier de traitements de pointe et de meilleure qualité, un marché dédié à l’acquisition et l’installation </w:t>
      </w:r>
      <w:r w:rsidR="00480E24">
        <w:rPr>
          <w:rFonts w:ascii="Cambria" w:hAnsi="Cambria" w:cs="Arial"/>
        </w:rPr>
        <w:t>de matériels spécialisés</w:t>
      </w:r>
      <w:r w:rsidRPr="00F355D0">
        <w:rPr>
          <w:rFonts w:ascii="Cambria" w:hAnsi="Cambria" w:cs="Arial"/>
        </w:rPr>
        <w:t xml:space="preserve"> </w:t>
      </w:r>
      <w:r w:rsidR="00986C18">
        <w:rPr>
          <w:rFonts w:ascii="Cambria" w:hAnsi="Cambria" w:cs="Arial"/>
        </w:rPr>
        <w:t xml:space="preserve">(TEP scan et son cyclotron) </w:t>
      </w:r>
      <w:r w:rsidRPr="00F355D0">
        <w:rPr>
          <w:rFonts w:ascii="Cambria" w:hAnsi="Cambria" w:cs="Arial"/>
        </w:rPr>
        <w:t xml:space="preserve">a été signé au titre de la convention oncologie Etat-Pays 2019. </w:t>
      </w:r>
    </w:p>
    <w:p w14:paraId="44332EC9" w14:textId="57E8D143" w:rsidR="00480E24" w:rsidRDefault="00F355D0" w:rsidP="00F355D0">
      <w:pPr>
        <w:pStyle w:val="NormalWeb"/>
        <w:jc w:val="both"/>
        <w:rPr>
          <w:rFonts w:ascii="Cambria" w:hAnsi="Cambria" w:cs="Arial"/>
        </w:rPr>
      </w:pPr>
      <w:r w:rsidRPr="00F355D0">
        <w:rPr>
          <w:rFonts w:ascii="Cambria" w:hAnsi="Cambria" w:cs="Arial"/>
        </w:rPr>
        <w:t>L’implantation de ces différent</w:t>
      </w:r>
      <w:r w:rsidR="00986C18">
        <w:rPr>
          <w:rFonts w:ascii="Cambria" w:hAnsi="Cambria" w:cs="Arial"/>
        </w:rPr>
        <w:t>e</w:t>
      </w:r>
      <w:r w:rsidRPr="00F355D0">
        <w:rPr>
          <w:rFonts w:ascii="Cambria" w:hAnsi="Cambria" w:cs="Arial"/>
        </w:rPr>
        <w:t xml:space="preserve">s structures a </w:t>
      </w:r>
      <w:r w:rsidR="00480E24" w:rsidRPr="00F355D0">
        <w:rPr>
          <w:rFonts w:ascii="Cambria" w:hAnsi="Cambria" w:cs="Arial"/>
        </w:rPr>
        <w:t>nécessité</w:t>
      </w:r>
      <w:r w:rsidRPr="00F355D0">
        <w:rPr>
          <w:rFonts w:ascii="Cambria" w:hAnsi="Cambria" w:cs="Arial"/>
        </w:rPr>
        <w:t xml:space="preserve"> la recherche d’emprises foncières adéquates sur la Commune de Pirae, à proximité du Centre Hospitalier de Polynésie française (CHPF). Aussi, le </w:t>
      </w:r>
      <w:r w:rsidR="00480E24">
        <w:rPr>
          <w:rFonts w:ascii="Cambria" w:hAnsi="Cambria" w:cs="Arial"/>
        </w:rPr>
        <w:t>m</w:t>
      </w:r>
      <w:r w:rsidRPr="00F355D0">
        <w:rPr>
          <w:rFonts w:ascii="Cambria" w:hAnsi="Cambria" w:cs="Arial"/>
        </w:rPr>
        <w:t xml:space="preserve">inistère de la </w:t>
      </w:r>
      <w:r w:rsidR="00480E24">
        <w:rPr>
          <w:rFonts w:ascii="Cambria" w:hAnsi="Cambria" w:cs="Arial"/>
        </w:rPr>
        <w:t>S</w:t>
      </w:r>
      <w:r w:rsidRPr="00F355D0">
        <w:rPr>
          <w:rFonts w:ascii="Cambria" w:hAnsi="Cambria" w:cs="Arial"/>
        </w:rPr>
        <w:t>anté, avec l’aide de la Direction des affaires foncières (DAF)</w:t>
      </w:r>
      <w:r w:rsidR="00480E24">
        <w:rPr>
          <w:rFonts w:ascii="Cambria" w:hAnsi="Cambria" w:cs="Arial"/>
        </w:rPr>
        <w:t>,</w:t>
      </w:r>
      <w:r w:rsidRPr="00F355D0">
        <w:rPr>
          <w:rFonts w:ascii="Cambria" w:hAnsi="Cambria" w:cs="Arial"/>
        </w:rPr>
        <w:t xml:space="preserve"> sous la tutelle du </w:t>
      </w:r>
      <w:r w:rsidR="00480E24">
        <w:rPr>
          <w:rFonts w:ascii="Cambria" w:hAnsi="Cambria" w:cs="Arial"/>
        </w:rPr>
        <w:t>m</w:t>
      </w:r>
      <w:r w:rsidRPr="00F355D0">
        <w:rPr>
          <w:rFonts w:ascii="Cambria" w:hAnsi="Cambria" w:cs="Arial"/>
        </w:rPr>
        <w:t>inistre de l’</w:t>
      </w:r>
      <w:r w:rsidR="00480E24">
        <w:rPr>
          <w:rFonts w:ascii="Cambria" w:hAnsi="Cambria" w:cs="Arial"/>
        </w:rPr>
        <w:t>A</w:t>
      </w:r>
      <w:r w:rsidRPr="00F355D0">
        <w:rPr>
          <w:rFonts w:ascii="Cambria" w:hAnsi="Cambria" w:cs="Arial"/>
        </w:rPr>
        <w:t>griculture, de l’économie bleue et du domaine, en charge de la recherche, a identifié la parcelle cadastrée</w:t>
      </w:r>
      <w:r w:rsidR="00480E24">
        <w:rPr>
          <w:rFonts w:ascii="Cambria" w:hAnsi="Cambria" w:cs="Arial"/>
        </w:rPr>
        <w:t xml:space="preserve"> </w:t>
      </w:r>
      <w:r w:rsidRPr="00F355D0">
        <w:rPr>
          <w:rFonts w:ascii="Cambria" w:hAnsi="Cambria" w:cs="Arial"/>
        </w:rPr>
        <w:t xml:space="preserve">anciennement dénommée « Princesse </w:t>
      </w:r>
      <w:proofErr w:type="spellStart"/>
      <w:r w:rsidRPr="00F355D0">
        <w:rPr>
          <w:rFonts w:ascii="Cambria" w:hAnsi="Cambria" w:cs="Arial"/>
        </w:rPr>
        <w:t>Heiata</w:t>
      </w:r>
      <w:proofErr w:type="spellEnd"/>
      <w:r w:rsidRPr="00F355D0">
        <w:rPr>
          <w:rFonts w:ascii="Cambria" w:hAnsi="Cambria" w:cs="Arial"/>
        </w:rPr>
        <w:t> », disposant d’une superficie suffisante de</w:t>
      </w:r>
      <w:r w:rsidR="00480E24">
        <w:rPr>
          <w:rFonts w:ascii="Cambria" w:hAnsi="Cambria" w:cs="Arial"/>
        </w:rPr>
        <w:t xml:space="preserve"> </w:t>
      </w:r>
      <w:r w:rsidRPr="00F355D0">
        <w:rPr>
          <w:rFonts w:ascii="Cambria" w:hAnsi="Cambria" w:cs="Arial"/>
        </w:rPr>
        <w:t>8 820 m².</w:t>
      </w:r>
    </w:p>
    <w:p w14:paraId="63ED51A6" w14:textId="4A326343" w:rsidR="00F355D0" w:rsidRPr="00F355D0" w:rsidRDefault="00F355D0" w:rsidP="00F355D0">
      <w:pPr>
        <w:pStyle w:val="NormalWeb"/>
        <w:jc w:val="both"/>
        <w:rPr>
          <w:rFonts w:ascii="Cambria" w:hAnsi="Cambria" w:cs="Arial"/>
        </w:rPr>
      </w:pPr>
      <w:r w:rsidRPr="00F355D0">
        <w:rPr>
          <w:rFonts w:ascii="Cambria" w:hAnsi="Cambria" w:cs="Arial"/>
        </w:rPr>
        <w:t xml:space="preserve">Après une visite sur le site le mercredi 15 décembre </w:t>
      </w:r>
      <w:r w:rsidR="00480E24">
        <w:rPr>
          <w:rFonts w:ascii="Cambria" w:hAnsi="Cambria" w:cs="Arial"/>
        </w:rPr>
        <w:t>dernier,</w:t>
      </w:r>
      <w:r w:rsidRPr="00F355D0">
        <w:rPr>
          <w:rFonts w:ascii="Cambria" w:hAnsi="Cambria" w:cs="Arial"/>
        </w:rPr>
        <w:t xml:space="preserve"> en présence du </w:t>
      </w:r>
      <w:r w:rsidR="00480E24">
        <w:rPr>
          <w:rFonts w:ascii="Cambria" w:hAnsi="Cambria" w:cs="Arial"/>
        </w:rPr>
        <w:t>m</w:t>
      </w:r>
      <w:r w:rsidRPr="00F355D0">
        <w:rPr>
          <w:rFonts w:ascii="Cambria" w:hAnsi="Cambria" w:cs="Arial"/>
        </w:rPr>
        <w:t xml:space="preserve">inistère de la </w:t>
      </w:r>
      <w:r w:rsidR="00480E24">
        <w:rPr>
          <w:rFonts w:ascii="Cambria" w:hAnsi="Cambria" w:cs="Arial"/>
        </w:rPr>
        <w:t>S</w:t>
      </w:r>
      <w:r w:rsidRPr="00F355D0">
        <w:rPr>
          <w:rFonts w:ascii="Cambria" w:hAnsi="Cambria" w:cs="Arial"/>
        </w:rPr>
        <w:t xml:space="preserve">anté, de la DAF, du CHPF et de l’Institut du cancer, la solution retenue est d’affecter une emprise de 1 000 m² au profit du CHPF pour l’installation du </w:t>
      </w:r>
      <w:r w:rsidR="00480E24">
        <w:rPr>
          <w:rFonts w:ascii="Cambria" w:hAnsi="Cambria" w:cs="Arial"/>
        </w:rPr>
        <w:t>matériels spécialisés</w:t>
      </w:r>
      <w:r w:rsidRPr="00F355D0">
        <w:rPr>
          <w:rFonts w:ascii="Cambria" w:hAnsi="Cambria" w:cs="Arial"/>
        </w:rPr>
        <w:t> et le surplus au profit de l’Institut du cancer.</w:t>
      </w:r>
    </w:p>
    <w:p w14:paraId="22623096" w14:textId="151ABA9D" w:rsidR="00F355D0" w:rsidRPr="00F355D0" w:rsidRDefault="00F355D0" w:rsidP="00F355D0">
      <w:pPr>
        <w:pStyle w:val="NormalWeb"/>
        <w:jc w:val="both"/>
        <w:rPr>
          <w:rFonts w:ascii="Cambria" w:hAnsi="Cambria" w:cs="Arial"/>
        </w:rPr>
      </w:pPr>
      <w:r w:rsidRPr="00F355D0">
        <w:rPr>
          <w:rFonts w:ascii="Cambria" w:hAnsi="Cambria" w:cs="Arial"/>
        </w:rPr>
        <w:t>Pour rappel, ce site domanial était occupé par plusieurs familles dont les constructions</w:t>
      </w:r>
      <w:r w:rsidR="00480E24">
        <w:rPr>
          <w:rFonts w:ascii="Cambria" w:hAnsi="Cambria" w:cs="Arial"/>
        </w:rPr>
        <w:t>,</w:t>
      </w:r>
      <w:r w:rsidRPr="00F355D0">
        <w:rPr>
          <w:rFonts w:ascii="Cambria" w:hAnsi="Cambria" w:cs="Arial"/>
        </w:rPr>
        <w:t xml:space="preserve"> âgées d’une trentaine d’années</w:t>
      </w:r>
      <w:r w:rsidR="00480E24">
        <w:rPr>
          <w:rFonts w:ascii="Cambria" w:hAnsi="Cambria" w:cs="Arial"/>
        </w:rPr>
        <w:t>,</w:t>
      </w:r>
      <w:r w:rsidRPr="00F355D0">
        <w:rPr>
          <w:rFonts w:ascii="Cambria" w:hAnsi="Cambria" w:cs="Arial"/>
        </w:rPr>
        <w:t xml:space="preserve"> étaient devenues vétustes et insalubres créant une situation de dangerosité importante pour les occupants.</w:t>
      </w:r>
    </w:p>
    <w:p w14:paraId="2AF4B208" w14:textId="233FCE67" w:rsidR="00913F5E" w:rsidRDefault="00F355D0" w:rsidP="00485816">
      <w:pPr>
        <w:pStyle w:val="NormalWeb"/>
        <w:jc w:val="both"/>
        <w:rPr>
          <w:rFonts w:ascii="Cambria" w:hAnsi="Cambria" w:cs="Arial"/>
        </w:rPr>
      </w:pPr>
      <w:r w:rsidRPr="00F355D0">
        <w:rPr>
          <w:rFonts w:ascii="Cambria" w:hAnsi="Cambria" w:cs="Arial"/>
        </w:rPr>
        <w:lastRenderedPageBreak/>
        <w:t>Aujourd’hui, le site est quasiment libéré par les anciens occupants et la DAF s’est chargée de lancer les marchés publics afférents aux études, au désamiantage et à la déconstruction des 16 habi</w:t>
      </w:r>
      <w:r w:rsidR="00913F5E">
        <w:rPr>
          <w:rFonts w:ascii="Cambria" w:hAnsi="Cambria" w:cs="Arial"/>
        </w:rPr>
        <w:t>t</w:t>
      </w:r>
      <w:r w:rsidRPr="00F355D0">
        <w:rPr>
          <w:rFonts w:ascii="Cambria" w:hAnsi="Cambria" w:cs="Arial"/>
        </w:rPr>
        <w:t xml:space="preserve">ations. </w:t>
      </w:r>
      <w:bookmarkEnd w:id="33"/>
    </w:p>
    <w:p w14:paraId="4D2B4352" w14:textId="0FC27F6D" w:rsidR="00485816" w:rsidRDefault="00485816" w:rsidP="00485816">
      <w:pPr>
        <w:pStyle w:val="NormalWeb"/>
        <w:jc w:val="both"/>
        <w:rPr>
          <w:rFonts w:ascii="Cambria" w:hAnsi="Cambria" w:cs="Arial"/>
        </w:rPr>
      </w:pPr>
    </w:p>
    <w:p w14:paraId="7EC92B48" w14:textId="3BAA78E8" w:rsidR="00485816" w:rsidRPr="00D077BF" w:rsidRDefault="00485816" w:rsidP="00485816">
      <w:pPr>
        <w:pStyle w:val="Titre2"/>
        <w:rPr>
          <w:lang w:eastAsia="fr-FR"/>
        </w:rPr>
      </w:pPr>
      <w:bookmarkStart w:id="35" w:name="_Toc91082769"/>
      <w:r>
        <w:rPr>
          <w:lang w:eastAsia="fr-FR"/>
        </w:rPr>
        <w:t xml:space="preserve">Tarif </w:t>
      </w:r>
      <w:r w:rsidR="002D3604">
        <w:rPr>
          <w:lang w:eastAsia="fr-FR"/>
        </w:rPr>
        <w:t xml:space="preserve">pour la </w:t>
      </w:r>
      <w:r>
        <w:rPr>
          <w:lang w:eastAsia="fr-FR"/>
        </w:rPr>
        <w:t xml:space="preserve">formation </w:t>
      </w:r>
      <w:r w:rsidR="002D3604">
        <w:rPr>
          <w:lang w:eastAsia="fr-FR"/>
        </w:rPr>
        <w:t xml:space="preserve">des </w:t>
      </w:r>
      <w:r>
        <w:rPr>
          <w:lang w:eastAsia="fr-FR"/>
        </w:rPr>
        <w:t>préparat</w:t>
      </w:r>
      <w:r w:rsidR="002D3604">
        <w:rPr>
          <w:lang w:eastAsia="fr-FR"/>
        </w:rPr>
        <w:t>eurs</w:t>
      </w:r>
      <w:r>
        <w:rPr>
          <w:lang w:eastAsia="fr-FR"/>
        </w:rPr>
        <w:t xml:space="preserve"> de vanille</w:t>
      </w:r>
      <w:bookmarkEnd w:id="35"/>
    </w:p>
    <w:p w14:paraId="068E75BA" w14:textId="77777777" w:rsidR="00485816" w:rsidRPr="00D077BF" w:rsidRDefault="00485816" w:rsidP="00485816">
      <w:pPr>
        <w:rPr>
          <w:rFonts w:ascii="Cambria" w:hAnsi="Cambria"/>
          <w:lang w:eastAsia="fr-FR"/>
        </w:rPr>
      </w:pPr>
    </w:p>
    <w:p w14:paraId="7DC9752A" w14:textId="6E93BB16" w:rsidR="002D3604" w:rsidRPr="002D3604" w:rsidRDefault="002D3604" w:rsidP="002D3604">
      <w:pPr>
        <w:pStyle w:val="NormalWeb"/>
        <w:jc w:val="both"/>
        <w:rPr>
          <w:rFonts w:ascii="Cambria" w:hAnsi="Cambria" w:cs="Arial"/>
        </w:rPr>
      </w:pPr>
      <w:r w:rsidRPr="002D3604">
        <w:rPr>
          <w:rFonts w:ascii="Cambria" w:hAnsi="Cambria" w:cs="Arial"/>
        </w:rPr>
        <w:t>Conformément à la Loi du Pays du 30 avril 2021 relative à l’organisation de la filière vanille, « </w:t>
      </w:r>
      <w:r w:rsidRPr="002D3604">
        <w:rPr>
          <w:rFonts w:ascii="Cambria" w:hAnsi="Cambria" w:cs="Arial"/>
          <w:i/>
          <w:iCs/>
        </w:rPr>
        <w:t>nul ne peut se livrer à la préparation de vanille s’il n’est pas titulaire du brevet de préparateur en vanille</w:t>
      </w:r>
      <w:r w:rsidRPr="002D3604">
        <w:rPr>
          <w:rFonts w:ascii="Cambria" w:hAnsi="Cambria" w:cs="Arial"/>
        </w:rPr>
        <w:t> ».</w:t>
      </w:r>
    </w:p>
    <w:p w14:paraId="34A0B7C8" w14:textId="04393A84" w:rsidR="002D3604" w:rsidRPr="002D3604" w:rsidRDefault="002D3604" w:rsidP="002D3604">
      <w:pPr>
        <w:pStyle w:val="NormalWeb"/>
        <w:jc w:val="both"/>
        <w:rPr>
          <w:rFonts w:ascii="Cambria" w:hAnsi="Cambria" w:cs="Arial"/>
        </w:rPr>
      </w:pPr>
      <w:r w:rsidRPr="002D3604">
        <w:rPr>
          <w:rFonts w:ascii="Cambria" w:hAnsi="Cambria" w:cs="Arial"/>
        </w:rPr>
        <w:t>L’établissement public Vanille de Tahiti, par arrêté du 3 décembre 2021, est habilité à assurer</w:t>
      </w:r>
      <w:r w:rsidRPr="002D3604">
        <w:rPr>
          <w:rFonts w:ascii="Cambria" w:hAnsi="Cambria" w:cs="Arial"/>
          <w:b/>
          <w:bCs/>
        </w:rPr>
        <w:t xml:space="preserve"> </w:t>
      </w:r>
      <w:r w:rsidRPr="002D3604">
        <w:rPr>
          <w:rFonts w:ascii="Cambria" w:hAnsi="Cambria" w:cs="Arial"/>
        </w:rPr>
        <w:t>directement la formation des préparateurs de vanille et de ce fait, organisera à compter de juin 2022, les prochaines sessions de formation dont le calendrier, les modalités d’organisation et le déroulement de l’examen seront fixés par arrêté du ministre de l’</w:t>
      </w:r>
      <w:r>
        <w:rPr>
          <w:rFonts w:ascii="Cambria" w:hAnsi="Cambria" w:cs="Arial"/>
        </w:rPr>
        <w:t>A</w:t>
      </w:r>
      <w:r w:rsidRPr="002D3604">
        <w:rPr>
          <w:rFonts w:ascii="Cambria" w:hAnsi="Cambria" w:cs="Arial"/>
        </w:rPr>
        <w:t>griculture ultérieurement.</w:t>
      </w:r>
    </w:p>
    <w:p w14:paraId="14B74050" w14:textId="77777777" w:rsidR="002D3604" w:rsidRPr="002D3604" w:rsidRDefault="002D3604" w:rsidP="002D3604">
      <w:pPr>
        <w:pStyle w:val="NormalWeb"/>
        <w:jc w:val="both"/>
        <w:rPr>
          <w:rFonts w:ascii="Cambria" w:hAnsi="Cambria" w:cs="Arial"/>
        </w:rPr>
      </w:pPr>
      <w:r w:rsidRPr="002D3604">
        <w:rPr>
          <w:rFonts w:ascii="Cambria" w:hAnsi="Cambria" w:cs="Arial"/>
        </w:rPr>
        <w:t>L’accessibilité à cette formation est basée sur des critères prioritaires permettant ainsi aux opérateurs exerçant déjà dans la filière vanille, d’améliorer la professionnalisation de leur métier et de conforter leur activité.</w:t>
      </w:r>
    </w:p>
    <w:p w14:paraId="552AE992" w14:textId="28DD03CD" w:rsidR="002D3604" w:rsidRPr="002D3604" w:rsidRDefault="002D3604" w:rsidP="002D3604">
      <w:pPr>
        <w:pStyle w:val="NormalWeb"/>
        <w:jc w:val="both"/>
        <w:rPr>
          <w:rFonts w:ascii="Cambria" w:hAnsi="Cambria" w:cs="Arial"/>
        </w:rPr>
      </w:pPr>
      <w:r w:rsidRPr="002D3604">
        <w:rPr>
          <w:rFonts w:ascii="Cambria" w:hAnsi="Cambria" w:cs="Arial"/>
        </w:rPr>
        <w:t>Le coût de la formation s’élève à 25 779 F</w:t>
      </w:r>
      <w:r>
        <w:rPr>
          <w:rFonts w:ascii="Cambria" w:hAnsi="Cambria" w:cs="Arial"/>
        </w:rPr>
        <w:t>cfp</w:t>
      </w:r>
      <w:r w:rsidRPr="002D3604">
        <w:rPr>
          <w:rFonts w:ascii="Cambria" w:hAnsi="Cambria" w:cs="Arial"/>
        </w:rPr>
        <w:t xml:space="preserve"> HT par personne. Il est augmenté de 25% pour les sessions organisées aux Marquises, Tuamotu-Gambiers et Australes.</w:t>
      </w:r>
    </w:p>
    <w:p w14:paraId="5F197085" w14:textId="45FAFCCD" w:rsidR="00986C18" w:rsidRDefault="002D3604" w:rsidP="00485816">
      <w:pPr>
        <w:pStyle w:val="NormalWeb"/>
        <w:jc w:val="both"/>
        <w:rPr>
          <w:rFonts w:ascii="Cambria" w:hAnsi="Cambria" w:cs="Arial"/>
        </w:rPr>
      </w:pPr>
      <w:r w:rsidRPr="002D3604">
        <w:rPr>
          <w:rFonts w:ascii="Cambria" w:hAnsi="Cambria" w:cs="Arial"/>
        </w:rPr>
        <w:t>L’inscription à l’examen en candidature libre, est exclue.</w:t>
      </w:r>
    </w:p>
    <w:p w14:paraId="027DA4B9" w14:textId="77777777" w:rsidR="00861B45" w:rsidRDefault="00861B45" w:rsidP="00485816">
      <w:pPr>
        <w:pStyle w:val="NormalWeb"/>
        <w:jc w:val="both"/>
        <w:rPr>
          <w:rFonts w:ascii="Cambria" w:hAnsi="Cambria" w:cs="Arial"/>
        </w:rPr>
      </w:pPr>
    </w:p>
    <w:p w14:paraId="6281AB60" w14:textId="0CEAA3D7" w:rsidR="00485816" w:rsidRDefault="00485816" w:rsidP="00485816">
      <w:pPr>
        <w:pStyle w:val="Titre2"/>
        <w:rPr>
          <w:rStyle w:val="lev"/>
          <w:b/>
          <w:bCs w:val="0"/>
        </w:rPr>
      </w:pPr>
      <w:bookmarkStart w:id="36" w:name="_Hlk90975290"/>
      <w:bookmarkStart w:id="37" w:name="_Toc91082770"/>
      <w:r>
        <w:rPr>
          <w:rStyle w:val="lev"/>
          <w:b/>
          <w:bCs w:val="0"/>
        </w:rPr>
        <w:t>Réglementation</w:t>
      </w:r>
      <w:r w:rsidR="00653B9D">
        <w:rPr>
          <w:rStyle w:val="lev"/>
          <w:b/>
          <w:bCs w:val="0"/>
        </w:rPr>
        <w:t>s</w:t>
      </w:r>
      <w:r>
        <w:rPr>
          <w:rStyle w:val="lev"/>
          <w:b/>
          <w:bCs w:val="0"/>
        </w:rPr>
        <w:t xml:space="preserve"> de</w:t>
      </w:r>
      <w:r w:rsidR="00653B9D">
        <w:rPr>
          <w:rStyle w:val="lev"/>
          <w:b/>
          <w:bCs w:val="0"/>
        </w:rPr>
        <w:t>s zones de pêche</w:t>
      </w:r>
      <w:bookmarkEnd w:id="37"/>
    </w:p>
    <w:p w14:paraId="140AC360" w14:textId="77777777" w:rsidR="00485816" w:rsidRPr="00D077BF" w:rsidRDefault="00485816" w:rsidP="00485816">
      <w:pPr>
        <w:rPr>
          <w:rFonts w:ascii="Cambria" w:hAnsi="Cambria"/>
          <w:lang w:eastAsia="fr-FR"/>
        </w:rPr>
      </w:pPr>
    </w:p>
    <w:p w14:paraId="7BF5E9FA" w14:textId="19EC6D43" w:rsidR="00485816" w:rsidRPr="000C3358" w:rsidRDefault="000C3358" w:rsidP="00BF30A0">
      <w:pPr>
        <w:pStyle w:val="NormalWeb"/>
        <w:numPr>
          <w:ilvl w:val="0"/>
          <w:numId w:val="8"/>
        </w:numPr>
        <w:jc w:val="both"/>
        <w:rPr>
          <w:rFonts w:ascii="Cambria" w:hAnsi="Cambria" w:cs="Arial"/>
          <w:u w:val="single"/>
        </w:rPr>
      </w:pPr>
      <w:r w:rsidRPr="000C3358">
        <w:rPr>
          <w:rFonts w:ascii="Cambria" w:hAnsi="Cambria" w:cs="Arial"/>
          <w:u w:val="single"/>
        </w:rPr>
        <w:t>Puohine, commune de Taputapuatea</w:t>
      </w:r>
      <w:r>
        <w:rPr>
          <w:rFonts w:ascii="Cambria" w:hAnsi="Cambria" w:cs="Arial"/>
          <w:u w:val="single"/>
        </w:rPr>
        <w:t>, Raiatea</w:t>
      </w:r>
    </w:p>
    <w:p w14:paraId="0CD31845" w14:textId="77777777" w:rsidR="00725534" w:rsidRDefault="000C3358" w:rsidP="000C3358">
      <w:pPr>
        <w:pStyle w:val="NormalWeb"/>
        <w:jc w:val="both"/>
        <w:rPr>
          <w:rFonts w:ascii="Cambria" w:hAnsi="Cambria" w:cs="Arial"/>
        </w:rPr>
      </w:pPr>
      <w:r w:rsidRPr="000C3358">
        <w:rPr>
          <w:rFonts w:ascii="Cambria" w:hAnsi="Cambria" w:cs="Arial"/>
        </w:rPr>
        <w:t xml:space="preserve">Le Conseil des </w:t>
      </w:r>
      <w:r>
        <w:rPr>
          <w:rFonts w:ascii="Cambria" w:hAnsi="Cambria" w:cs="Arial"/>
        </w:rPr>
        <w:t>m</w:t>
      </w:r>
      <w:r w:rsidRPr="000C3358">
        <w:rPr>
          <w:rFonts w:ascii="Cambria" w:hAnsi="Cambria" w:cs="Arial"/>
        </w:rPr>
        <w:t xml:space="preserve">inistres a approuvé la modification de l’arrêté de classement de la </w:t>
      </w:r>
      <w:r>
        <w:rPr>
          <w:rFonts w:ascii="Cambria" w:hAnsi="Cambria" w:cs="Arial"/>
        </w:rPr>
        <w:t>Z</w:t>
      </w:r>
      <w:r w:rsidRPr="000C3358">
        <w:rPr>
          <w:rFonts w:ascii="Cambria" w:hAnsi="Cambria" w:cs="Arial"/>
        </w:rPr>
        <w:t xml:space="preserve">one de </w:t>
      </w:r>
      <w:r>
        <w:rPr>
          <w:rFonts w:ascii="Cambria" w:hAnsi="Cambria" w:cs="Arial"/>
        </w:rPr>
        <w:t>p</w:t>
      </w:r>
      <w:r w:rsidRPr="000C3358">
        <w:rPr>
          <w:rFonts w:ascii="Cambria" w:hAnsi="Cambria" w:cs="Arial"/>
        </w:rPr>
        <w:t xml:space="preserve">êche </w:t>
      </w:r>
      <w:r>
        <w:rPr>
          <w:rFonts w:ascii="Cambria" w:hAnsi="Cambria" w:cs="Arial"/>
        </w:rPr>
        <w:t>r</w:t>
      </w:r>
      <w:r w:rsidRPr="000C3358">
        <w:rPr>
          <w:rFonts w:ascii="Cambria" w:hAnsi="Cambria" w:cs="Arial"/>
        </w:rPr>
        <w:t xml:space="preserve">èglementée (ZPR) de Puohine, située sur l’île de Raiatea. </w:t>
      </w:r>
      <w:r>
        <w:rPr>
          <w:rFonts w:ascii="Cambria" w:hAnsi="Cambria" w:cs="Arial"/>
        </w:rPr>
        <w:t>Cette ZPR</w:t>
      </w:r>
      <w:r w:rsidRPr="000C3358">
        <w:rPr>
          <w:rFonts w:ascii="Cambria" w:hAnsi="Cambria" w:cs="Arial"/>
        </w:rPr>
        <w:t xml:space="preserve"> avait été créée en janvier 2020 avec pour objectifs de reconstituer les ressources, plus particulièrement celles des crabes verts, des bénitiers et des langoustes, et de régler certains conflits d’usages. Après deux années d’existence, la population de Puohine et les membres du comité de gestion de la ZPR ont constaté des effets positifs, avec notamment l’augmentation des captures de crabes verts en dehors des zones fermées à la pêche. Au vu de ces résultats encourageants, ils ont souhaité revoir certaines mesures et en prolonger d’autres dans le temps. En effet, pour des espèces telles que les bénitiers et les langoustes, les résultats ne sont pas encore visibles car la ZPR est trop récente. Ainsi, conformément aux propositions du comité de gestion de cette ZPR et après validation de la population de Puohine, les règles suivantes s’appliquent : </w:t>
      </w:r>
    </w:p>
    <w:p w14:paraId="0907398C" w14:textId="77777777" w:rsidR="00725534" w:rsidRDefault="000C3358" w:rsidP="00BF30A0">
      <w:pPr>
        <w:pStyle w:val="NormalWeb"/>
        <w:numPr>
          <w:ilvl w:val="0"/>
          <w:numId w:val="9"/>
        </w:numPr>
        <w:jc w:val="both"/>
        <w:rPr>
          <w:rFonts w:ascii="Cambria" w:hAnsi="Cambria" w:cs="Arial"/>
        </w:rPr>
      </w:pPr>
      <w:r w:rsidRPr="000C3358">
        <w:rPr>
          <w:rFonts w:ascii="Cambria" w:hAnsi="Cambria" w:cs="Arial"/>
        </w:rPr>
        <w:t xml:space="preserve">Toute pêche est interdite dans l’aire marine éducative et le Jardin de Corail pour une durée indéterminée, à l’exception de la pêche à la ligne pour les </w:t>
      </w:r>
      <w:proofErr w:type="spellStart"/>
      <w:r w:rsidRPr="000C3358">
        <w:rPr>
          <w:rFonts w:ascii="Cambria" w:hAnsi="Cambria" w:cs="Arial"/>
        </w:rPr>
        <w:t>Ature</w:t>
      </w:r>
      <w:proofErr w:type="spellEnd"/>
      <w:r w:rsidRPr="000C3358">
        <w:rPr>
          <w:rFonts w:ascii="Cambria" w:hAnsi="Cambria" w:cs="Arial"/>
        </w:rPr>
        <w:t xml:space="preserve"> dans l’aire marine éducativ</w:t>
      </w:r>
      <w:r w:rsidR="00725534">
        <w:rPr>
          <w:rFonts w:ascii="Cambria" w:hAnsi="Cambria" w:cs="Arial"/>
        </w:rPr>
        <w:t>e ;</w:t>
      </w:r>
    </w:p>
    <w:p w14:paraId="73ECB544" w14:textId="77777777" w:rsidR="00725534" w:rsidRDefault="000C3358" w:rsidP="00BF30A0">
      <w:pPr>
        <w:pStyle w:val="NormalWeb"/>
        <w:numPr>
          <w:ilvl w:val="0"/>
          <w:numId w:val="9"/>
        </w:numPr>
        <w:jc w:val="both"/>
        <w:rPr>
          <w:rFonts w:ascii="Cambria" w:hAnsi="Cambria" w:cs="Arial"/>
        </w:rPr>
      </w:pPr>
      <w:r w:rsidRPr="00725534">
        <w:rPr>
          <w:rFonts w:ascii="Cambria" w:hAnsi="Cambria" w:cs="Arial"/>
        </w:rPr>
        <w:t xml:space="preserve">La pêche au moyen d’un parc à poissons, d’un </w:t>
      </w:r>
      <w:proofErr w:type="spellStart"/>
      <w:r w:rsidRPr="00725534">
        <w:rPr>
          <w:rFonts w:ascii="Cambria" w:hAnsi="Cambria" w:cs="Arial"/>
        </w:rPr>
        <w:t>fa’a</w:t>
      </w:r>
      <w:proofErr w:type="spellEnd"/>
      <w:r w:rsidRPr="00725534">
        <w:rPr>
          <w:rFonts w:ascii="Cambria" w:hAnsi="Cambria" w:cs="Arial"/>
        </w:rPr>
        <w:t xml:space="preserve"> et d’un tata est interdite dans toute la ZPR pour une durée indéterminée ;</w:t>
      </w:r>
    </w:p>
    <w:p w14:paraId="1F3F49E4" w14:textId="77777777" w:rsidR="00725534" w:rsidRDefault="000C3358" w:rsidP="00BF30A0">
      <w:pPr>
        <w:pStyle w:val="NormalWeb"/>
        <w:numPr>
          <w:ilvl w:val="0"/>
          <w:numId w:val="9"/>
        </w:numPr>
        <w:jc w:val="both"/>
        <w:rPr>
          <w:rFonts w:ascii="Cambria" w:hAnsi="Cambria" w:cs="Arial"/>
        </w:rPr>
      </w:pPr>
      <w:r w:rsidRPr="00725534">
        <w:rPr>
          <w:rFonts w:ascii="Cambria" w:hAnsi="Cambria" w:cs="Arial"/>
        </w:rPr>
        <w:t>La pêche sous-marine au niveau de la crête récifale et de la pente externe est interdite pour cinq années supplémentaires (jusqu’au 31 décembre 2026) ;</w:t>
      </w:r>
    </w:p>
    <w:p w14:paraId="7ACB8C0E" w14:textId="77777777" w:rsidR="00725534" w:rsidRDefault="000C3358" w:rsidP="00BF30A0">
      <w:pPr>
        <w:pStyle w:val="NormalWeb"/>
        <w:numPr>
          <w:ilvl w:val="0"/>
          <w:numId w:val="9"/>
        </w:numPr>
        <w:jc w:val="both"/>
        <w:rPr>
          <w:rFonts w:ascii="Cambria" w:hAnsi="Cambria" w:cs="Arial"/>
        </w:rPr>
      </w:pPr>
      <w:r w:rsidRPr="00725534">
        <w:rPr>
          <w:rFonts w:ascii="Cambria" w:hAnsi="Cambria" w:cs="Arial"/>
        </w:rPr>
        <w:lastRenderedPageBreak/>
        <w:t xml:space="preserve">La pêche dans les baies de </w:t>
      </w:r>
      <w:proofErr w:type="spellStart"/>
      <w:r w:rsidRPr="00725534">
        <w:rPr>
          <w:rFonts w:ascii="Cambria" w:hAnsi="Cambria" w:cs="Arial"/>
        </w:rPr>
        <w:t>Vaianae</w:t>
      </w:r>
      <w:proofErr w:type="spellEnd"/>
      <w:r w:rsidRPr="00725534">
        <w:rPr>
          <w:rFonts w:ascii="Cambria" w:hAnsi="Cambria" w:cs="Arial"/>
        </w:rPr>
        <w:t xml:space="preserve"> et </w:t>
      </w:r>
      <w:proofErr w:type="spellStart"/>
      <w:r w:rsidRPr="00725534">
        <w:rPr>
          <w:rFonts w:ascii="Cambria" w:hAnsi="Cambria" w:cs="Arial"/>
        </w:rPr>
        <w:t>Faarahi</w:t>
      </w:r>
      <w:proofErr w:type="spellEnd"/>
      <w:r w:rsidRPr="00725534">
        <w:rPr>
          <w:rFonts w:ascii="Cambria" w:hAnsi="Cambria" w:cs="Arial"/>
        </w:rPr>
        <w:t xml:space="preserve"> est interdite pour cinq années supplémentaires (jusqu’au 31 décembre 2026) ;</w:t>
      </w:r>
    </w:p>
    <w:p w14:paraId="215A1F2D" w14:textId="77777777" w:rsidR="00725534" w:rsidRDefault="000C3358" w:rsidP="00BF30A0">
      <w:pPr>
        <w:pStyle w:val="NormalWeb"/>
        <w:numPr>
          <w:ilvl w:val="0"/>
          <w:numId w:val="9"/>
        </w:numPr>
        <w:jc w:val="both"/>
        <w:rPr>
          <w:rFonts w:ascii="Cambria" w:hAnsi="Cambria" w:cs="Arial"/>
        </w:rPr>
      </w:pPr>
      <w:r w:rsidRPr="00725534">
        <w:rPr>
          <w:rFonts w:ascii="Cambria" w:hAnsi="Cambria" w:cs="Arial"/>
        </w:rPr>
        <w:t xml:space="preserve">La pêche au filet est réglementée dans une bande de quinze mètres à la sortie des baies de </w:t>
      </w:r>
      <w:proofErr w:type="spellStart"/>
      <w:r w:rsidRPr="00725534">
        <w:rPr>
          <w:rFonts w:ascii="Cambria" w:hAnsi="Cambria" w:cs="Arial"/>
        </w:rPr>
        <w:t>Vaianae</w:t>
      </w:r>
      <w:proofErr w:type="spellEnd"/>
      <w:r w:rsidRPr="00725534">
        <w:rPr>
          <w:rFonts w:ascii="Cambria" w:hAnsi="Cambria" w:cs="Arial"/>
        </w:rPr>
        <w:t xml:space="preserve"> et </w:t>
      </w:r>
      <w:proofErr w:type="spellStart"/>
      <w:r w:rsidRPr="00725534">
        <w:rPr>
          <w:rFonts w:ascii="Cambria" w:hAnsi="Cambria" w:cs="Arial"/>
        </w:rPr>
        <w:t>Faarahi</w:t>
      </w:r>
      <w:proofErr w:type="spellEnd"/>
      <w:r w:rsidRPr="00725534">
        <w:rPr>
          <w:rFonts w:ascii="Cambria" w:hAnsi="Cambria" w:cs="Arial"/>
        </w:rPr>
        <w:t xml:space="preserve"> pour cinq années (jusqu’au 31 décembre 2026) ; </w:t>
      </w:r>
    </w:p>
    <w:p w14:paraId="46BC7740" w14:textId="57F44D50" w:rsidR="000C3358" w:rsidRPr="00725534" w:rsidRDefault="000C3358" w:rsidP="00BF30A0">
      <w:pPr>
        <w:pStyle w:val="NormalWeb"/>
        <w:numPr>
          <w:ilvl w:val="0"/>
          <w:numId w:val="9"/>
        </w:numPr>
        <w:jc w:val="both"/>
        <w:rPr>
          <w:rFonts w:ascii="Cambria" w:hAnsi="Cambria" w:cs="Arial"/>
        </w:rPr>
      </w:pPr>
      <w:r w:rsidRPr="00725534">
        <w:rPr>
          <w:rFonts w:ascii="Cambria" w:hAnsi="Cambria" w:cs="Arial"/>
        </w:rPr>
        <w:t xml:space="preserve">La pêche à la ligne aux lieux-dits « Ligne droite de </w:t>
      </w:r>
      <w:proofErr w:type="spellStart"/>
      <w:r w:rsidRPr="00725534">
        <w:rPr>
          <w:rFonts w:ascii="Cambria" w:hAnsi="Cambria" w:cs="Arial"/>
        </w:rPr>
        <w:t>Vaianae</w:t>
      </w:r>
      <w:proofErr w:type="spellEnd"/>
      <w:r w:rsidRPr="00725534">
        <w:rPr>
          <w:rFonts w:ascii="Cambria" w:hAnsi="Cambria" w:cs="Arial"/>
        </w:rPr>
        <w:t xml:space="preserve"> » et « Belleville » est permise à certaines heures et le nombre de lignes </w:t>
      </w:r>
      <w:r w:rsidR="00A4351D">
        <w:rPr>
          <w:rFonts w:ascii="Cambria" w:hAnsi="Cambria" w:cs="Arial"/>
        </w:rPr>
        <w:t xml:space="preserve">est fixé </w:t>
      </w:r>
      <w:r w:rsidR="00725534">
        <w:rPr>
          <w:rFonts w:ascii="Cambria" w:hAnsi="Cambria" w:cs="Arial"/>
        </w:rPr>
        <w:t>à</w:t>
      </w:r>
      <w:r w:rsidRPr="00725534">
        <w:rPr>
          <w:rFonts w:ascii="Cambria" w:hAnsi="Cambria" w:cs="Arial"/>
        </w:rPr>
        <w:t xml:space="preserve"> 5 lignes pour cinq années supplémentaires (jusqu’au 31 décembre 2026).</w:t>
      </w:r>
    </w:p>
    <w:p w14:paraId="41F7186B" w14:textId="450FEAC0" w:rsidR="000C3358" w:rsidRDefault="000C3358" w:rsidP="000C3358">
      <w:pPr>
        <w:pStyle w:val="NormalWeb"/>
        <w:jc w:val="both"/>
        <w:rPr>
          <w:rFonts w:ascii="Cambria" w:hAnsi="Cambria" w:cs="Arial"/>
        </w:rPr>
      </w:pPr>
      <w:r w:rsidRPr="000C3358">
        <w:rPr>
          <w:rFonts w:ascii="Cambria" w:hAnsi="Cambria" w:cs="Arial"/>
        </w:rPr>
        <w:t>L’ensemble des informations sur cette ZPR est disponible sur le site internet de la Direction des Ressources Marines (</w:t>
      </w:r>
      <w:hyperlink r:id="rId9" w:history="1">
        <w:r w:rsidR="00725534" w:rsidRPr="00C9310A">
          <w:rPr>
            <w:rStyle w:val="Lienhypertexte"/>
            <w:rFonts w:ascii="Cambria" w:hAnsi="Cambria" w:cs="Arial"/>
          </w:rPr>
          <w:t>http://ressources-marines.gov.pf</w:t>
        </w:r>
      </w:hyperlink>
      <w:r w:rsidR="00725534">
        <w:rPr>
          <w:rFonts w:ascii="Cambria" w:hAnsi="Cambria" w:cs="Arial"/>
        </w:rPr>
        <w:t>)</w:t>
      </w:r>
      <w:r w:rsidRPr="000C3358">
        <w:rPr>
          <w:rFonts w:ascii="Cambria" w:hAnsi="Cambria" w:cs="Arial"/>
        </w:rPr>
        <w:t xml:space="preserve"> ou auprès de la commune associée de Puohine.</w:t>
      </w:r>
    </w:p>
    <w:p w14:paraId="0EAD8FE9" w14:textId="33768E0D" w:rsidR="00725534" w:rsidRDefault="00725534" w:rsidP="000C3358">
      <w:pPr>
        <w:pStyle w:val="NormalWeb"/>
        <w:jc w:val="both"/>
        <w:rPr>
          <w:rFonts w:ascii="Cambria" w:hAnsi="Cambria" w:cs="Arial"/>
        </w:rPr>
      </w:pPr>
    </w:p>
    <w:p w14:paraId="7EEA6BB1" w14:textId="7417D04C" w:rsidR="00725534" w:rsidRPr="000C3358" w:rsidRDefault="00725534" w:rsidP="00BF30A0">
      <w:pPr>
        <w:pStyle w:val="NormalWeb"/>
        <w:numPr>
          <w:ilvl w:val="0"/>
          <w:numId w:val="8"/>
        </w:numPr>
        <w:jc w:val="both"/>
        <w:rPr>
          <w:rFonts w:ascii="Cambria" w:hAnsi="Cambria" w:cs="Arial"/>
          <w:u w:val="single"/>
        </w:rPr>
      </w:pPr>
      <w:r>
        <w:rPr>
          <w:rFonts w:ascii="Cambria" w:hAnsi="Cambria" w:cs="Arial"/>
          <w:u w:val="single"/>
        </w:rPr>
        <w:t xml:space="preserve">Papara, de la passe Te </w:t>
      </w:r>
      <w:proofErr w:type="spellStart"/>
      <w:r>
        <w:rPr>
          <w:rFonts w:ascii="Cambria" w:hAnsi="Cambria" w:cs="Arial"/>
          <w:u w:val="single"/>
        </w:rPr>
        <w:t>Avaraa</w:t>
      </w:r>
      <w:proofErr w:type="spellEnd"/>
      <w:r>
        <w:rPr>
          <w:rFonts w:ascii="Cambria" w:hAnsi="Cambria" w:cs="Arial"/>
          <w:u w:val="single"/>
        </w:rPr>
        <w:t xml:space="preserve"> à la limite de la commune côté Teva I Uta</w:t>
      </w:r>
    </w:p>
    <w:p w14:paraId="41DE0DDD" w14:textId="7A3C5D7A" w:rsidR="00725534" w:rsidRPr="00725534" w:rsidRDefault="00725534" w:rsidP="00725534">
      <w:pPr>
        <w:pStyle w:val="NormalWeb"/>
        <w:jc w:val="both"/>
        <w:rPr>
          <w:rFonts w:ascii="Cambria" w:hAnsi="Cambria" w:cs="Arial"/>
        </w:rPr>
      </w:pPr>
      <w:r w:rsidRPr="00725534">
        <w:rPr>
          <w:rFonts w:ascii="Cambria" w:hAnsi="Cambria" w:cs="Arial"/>
        </w:rPr>
        <w:t xml:space="preserve">Le Conseil des </w:t>
      </w:r>
      <w:r>
        <w:rPr>
          <w:rFonts w:ascii="Cambria" w:hAnsi="Cambria" w:cs="Arial"/>
        </w:rPr>
        <w:t>m</w:t>
      </w:r>
      <w:r w:rsidRPr="00725534">
        <w:rPr>
          <w:rFonts w:ascii="Cambria" w:hAnsi="Cambria" w:cs="Arial"/>
        </w:rPr>
        <w:t>inistres a approuvé la création d’une nouvelle Zone de Pêche Règlementée (ZPR) sur l’espace mar</w:t>
      </w:r>
      <w:r>
        <w:rPr>
          <w:rFonts w:ascii="Cambria" w:hAnsi="Cambria" w:cs="Arial"/>
        </w:rPr>
        <w:t>i</w:t>
      </w:r>
      <w:r w:rsidRPr="00725534">
        <w:rPr>
          <w:rFonts w:ascii="Cambria" w:hAnsi="Cambria" w:cs="Arial"/>
        </w:rPr>
        <w:t>time de la commune de Papara, sur l’île de Tahiti.</w:t>
      </w:r>
    </w:p>
    <w:p w14:paraId="289CBDC1" w14:textId="77777777" w:rsidR="00725534" w:rsidRPr="00725534" w:rsidRDefault="00725534" w:rsidP="00725534">
      <w:pPr>
        <w:pStyle w:val="NormalWeb"/>
        <w:jc w:val="both"/>
        <w:rPr>
          <w:rFonts w:ascii="Cambria" w:hAnsi="Cambria" w:cs="Arial"/>
        </w:rPr>
      </w:pPr>
      <w:r w:rsidRPr="00725534">
        <w:rPr>
          <w:rFonts w:ascii="Cambria" w:hAnsi="Cambria" w:cs="Arial"/>
        </w:rPr>
        <w:t xml:space="preserve">En novembre 2019, une ZPR a été créée sur les espaces maritimes des communes de Papara et de Teva I Uta, au niveau du domaine de Atimaono. La pêche y a été réglementée jusqu’au 31 décembre 2021. Une consultation des populations des communes de Papara et de Teva I Uta a été menée afin de recueillir leurs avis sur le devenir de cette ZPR. Suite à cette consultation, le comité de gestion de la commune de Teva I Uta s’est prononcé pour l’ouverture de la ZPR alors que celui de Papara a souhaité reconduire les règles de pêche jusqu’au 31 décembre 2023. </w:t>
      </w:r>
    </w:p>
    <w:p w14:paraId="47BCF4C4" w14:textId="75EC6451" w:rsidR="00725534" w:rsidRPr="00725534" w:rsidRDefault="00725534" w:rsidP="00725534">
      <w:pPr>
        <w:pStyle w:val="NormalWeb"/>
        <w:jc w:val="both"/>
        <w:rPr>
          <w:rFonts w:ascii="Cambria" w:hAnsi="Cambria" w:cs="Arial"/>
        </w:rPr>
      </w:pPr>
      <w:r w:rsidRPr="00725534">
        <w:rPr>
          <w:rFonts w:ascii="Cambria" w:hAnsi="Cambria" w:cs="Arial"/>
        </w:rPr>
        <w:t xml:space="preserve">Ainsi, une nouvelle ZPR d’une superficie de 379 hectares a été créée de la passe Te </w:t>
      </w:r>
      <w:proofErr w:type="spellStart"/>
      <w:r w:rsidRPr="00725534">
        <w:rPr>
          <w:rFonts w:ascii="Cambria" w:hAnsi="Cambria" w:cs="Arial"/>
        </w:rPr>
        <w:t>Avaraa</w:t>
      </w:r>
      <w:proofErr w:type="spellEnd"/>
      <w:r w:rsidRPr="00725534">
        <w:rPr>
          <w:rFonts w:ascii="Cambria" w:hAnsi="Cambria" w:cs="Arial"/>
        </w:rPr>
        <w:t xml:space="preserve"> jusqu’à la limite de </w:t>
      </w:r>
      <w:r w:rsidR="002F5174">
        <w:rPr>
          <w:rFonts w:ascii="Cambria" w:hAnsi="Cambria" w:cs="Arial"/>
        </w:rPr>
        <w:t xml:space="preserve">la </w:t>
      </w:r>
      <w:r w:rsidRPr="00725534">
        <w:rPr>
          <w:rFonts w:ascii="Cambria" w:hAnsi="Cambria" w:cs="Arial"/>
        </w:rPr>
        <w:t xml:space="preserve">commune côté Teva I Uta. Les règles applicables sont identiques à celles de l’ancienne ZPR.    </w:t>
      </w:r>
    </w:p>
    <w:p w14:paraId="6634493C" w14:textId="4FD13C25" w:rsidR="00725534" w:rsidRDefault="00725534" w:rsidP="00725534">
      <w:pPr>
        <w:pStyle w:val="NormalWeb"/>
        <w:jc w:val="both"/>
        <w:rPr>
          <w:rFonts w:ascii="Cambria" w:hAnsi="Cambria" w:cs="Arial"/>
        </w:rPr>
      </w:pPr>
      <w:r w:rsidRPr="00725534">
        <w:rPr>
          <w:rFonts w:ascii="Cambria" w:hAnsi="Cambria" w:cs="Arial"/>
        </w:rPr>
        <w:t>L’ensemble des informations sur cette ZPR est disponible sur le site internet de la Direction des Ressources Marines (</w:t>
      </w:r>
      <w:hyperlink r:id="rId10" w:history="1">
        <w:r w:rsidR="002F5174" w:rsidRPr="00C9310A">
          <w:rPr>
            <w:rStyle w:val="Lienhypertexte"/>
            <w:rFonts w:ascii="Cambria" w:hAnsi="Cambria" w:cs="Arial"/>
          </w:rPr>
          <w:t>http://ressources-marines.gov.pf</w:t>
        </w:r>
      </w:hyperlink>
      <w:r w:rsidR="002F5174">
        <w:rPr>
          <w:rFonts w:ascii="Cambria" w:hAnsi="Cambria" w:cs="Arial"/>
        </w:rPr>
        <w:t>)</w:t>
      </w:r>
      <w:r w:rsidRPr="00725534">
        <w:rPr>
          <w:rFonts w:ascii="Cambria" w:hAnsi="Cambria" w:cs="Arial"/>
        </w:rPr>
        <w:t xml:space="preserve"> ou auprès de la commune associée de Papara.</w:t>
      </w:r>
    </w:p>
    <w:p w14:paraId="28FD401E" w14:textId="16918F39" w:rsidR="002F5174" w:rsidRDefault="002F5174" w:rsidP="00725534">
      <w:pPr>
        <w:pStyle w:val="NormalWeb"/>
        <w:jc w:val="both"/>
        <w:rPr>
          <w:rFonts w:ascii="Cambria" w:hAnsi="Cambria" w:cs="Arial"/>
        </w:rPr>
      </w:pPr>
    </w:p>
    <w:p w14:paraId="7CFD7A27" w14:textId="20457267" w:rsidR="002F5174" w:rsidRPr="000C3358" w:rsidRDefault="002F5174" w:rsidP="00BF30A0">
      <w:pPr>
        <w:pStyle w:val="NormalWeb"/>
        <w:numPr>
          <w:ilvl w:val="0"/>
          <w:numId w:val="8"/>
        </w:numPr>
        <w:jc w:val="both"/>
        <w:rPr>
          <w:rFonts w:ascii="Cambria" w:hAnsi="Cambria" w:cs="Arial"/>
          <w:u w:val="single"/>
        </w:rPr>
      </w:pPr>
      <w:r>
        <w:rPr>
          <w:rFonts w:ascii="Cambria" w:hAnsi="Cambria" w:cs="Arial"/>
          <w:u w:val="single"/>
        </w:rPr>
        <w:t>Reconduction des règles de pêche de la ZPR « </w:t>
      </w:r>
      <w:proofErr w:type="spellStart"/>
      <w:r>
        <w:rPr>
          <w:rFonts w:ascii="Cambria" w:hAnsi="Cambria" w:cs="Arial"/>
          <w:u w:val="single"/>
        </w:rPr>
        <w:t>Rahui</w:t>
      </w:r>
      <w:proofErr w:type="spellEnd"/>
      <w:r>
        <w:rPr>
          <w:rFonts w:ascii="Cambria" w:hAnsi="Cambria" w:cs="Arial"/>
          <w:u w:val="single"/>
        </w:rPr>
        <w:t xml:space="preserve"> No </w:t>
      </w:r>
      <w:proofErr w:type="spellStart"/>
      <w:r>
        <w:rPr>
          <w:rFonts w:ascii="Cambria" w:hAnsi="Cambria" w:cs="Arial"/>
          <w:u w:val="single"/>
        </w:rPr>
        <w:t>Patere</w:t>
      </w:r>
      <w:proofErr w:type="spellEnd"/>
      <w:r>
        <w:rPr>
          <w:rFonts w:ascii="Cambria" w:hAnsi="Cambria" w:cs="Arial"/>
          <w:u w:val="single"/>
        </w:rPr>
        <w:t xml:space="preserve"> I Papara » </w:t>
      </w:r>
    </w:p>
    <w:p w14:paraId="11015FBB" w14:textId="5D2C42DE" w:rsidR="002F5174" w:rsidRPr="002F5174" w:rsidRDefault="002F5174" w:rsidP="002F5174">
      <w:pPr>
        <w:pStyle w:val="NormalWeb"/>
        <w:jc w:val="both"/>
        <w:rPr>
          <w:rFonts w:ascii="Cambria" w:hAnsi="Cambria" w:cs="Arial"/>
        </w:rPr>
      </w:pPr>
      <w:r w:rsidRPr="002F5174">
        <w:rPr>
          <w:rFonts w:ascii="Cambria" w:hAnsi="Cambria" w:cs="Arial"/>
        </w:rPr>
        <w:t xml:space="preserve">Le Conseil des </w:t>
      </w:r>
      <w:r>
        <w:rPr>
          <w:rFonts w:ascii="Cambria" w:hAnsi="Cambria" w:cs="Arial"/>
        </w:rPr>
        <w:t>m</w:t>
      </w:r>
      <w:r w:rsidRPr="002F5174">
        <w:rPr>
          <w:rFonts w:ascii="Cambria" w:hAnsi="Cambria" w:cs="Arial"/>
        </w:rPr>
        <w:t xml:space="preserve">inistres a adopté la reconduction des règles de pêche de la ZPR « </w:t>
      </w:r>
      <w:proofErr w:type="spellStart"/>
      <w:r w:rsidRPr="002F5174">
        <w:rPr>
          <w:rFonts w:ascii="Cambria" w:hAnsi="Cambria" w:cs="Arial"/>
        </w:rPr>
        <w:t>Rahui</w:t>
      </w:r>
      <w:proofErr w:type="spellEnd"/>
      <w:r w:rsidRPr="002F5174">
        <w:rPr>
          <w:rFonts w:ascii="Cambria" w:hAnsi="Cambria" w:cs="Arial"/>
        </w:rPr>
        <w:t xml:space="preserve"> No </w:t>
      </w:r>
      <w:proofErr w:type="spellStart"/>
      <w:r w:rsidRPr="002F5174">
        <w:rPr>
          <w:rFonts w:ascii="Cambria" w:hAnsi="Cambria" w:cs="Arial"/>
        </w:rPr>
        <w:t>Patere</w:t>
      </w:r>
      <w:proofErr w:type="spellEnd"/>
      <w:r w:rsidRPr="002F5174">
        <w:rPr>
          <w:rFonts w:ascii="Cambria" w:hAnsi="Cambria" w:cs="Arial"/>
        </w:rPr>
        <w:t xml:space="preserve"> I Papara » jusqu’au 31 décembre 2023.</w:t>
      </w:r>
    </w:p>
    <w:p w14:paraId="7D5B3E08" w14:textId="661EC175" w:rsidR="002F5174" w:rsidRPr="002F5174" w:rsidRDefault="002F5174" w:rsidP="002F5174">
      <w:pPr>
        <w:pStyle w:val="NormalWeb"/>
        <w:jc w:val="both"/>
        <w:rPr>
          <w:rFonts w:ascii="Cambria" w:hAnsi="Cambria" w:cs="Arial"/>
        </w:rPr>
      </w:pPr>
      <w:r w:rsidRPr="002F5174">
        <w:rPr>
          <w:rFonts w:ascii="Cambria" w:hAnsi="Cambria" w:cs="Arial"/>
        </w:rPr>
        <w:t>Les règles de pêche de cette ZPR d’une superficie de 315 hectares ont été initialement mises en place jusqu’au 31 décembre 2021.</w:t>
      </w:r>
      <w:r>
        <w:rPr>
          <w:rFonts w:ascii="Cambria" w:hAnsi="Cambria" w:cs="Arial"/>
        </w:rPr>
        <w:t xml:space="preserve"> </w:t>
      </w:r>
      <w:r w:rsidRPr="002F5174">
        <w:rPr>
          <w:rFonts w:ascii="Cambria" w:hAnsi="Cambria" w:cs="Arial"/>
        </w:rPr>
        <w:t>Or, l’étude qui a été menée afin d’évaluer les mesures de gestion a montré que la durée de fermeture (2 ans) est insuffisante pour voir des résultats significatifs mais que néanmoins, il y a une évolution qui tend à être positive.</w:t>
      </w:r>
    </w:p>
    <w:p w14:paraId="25C1DFF0" w14:textId="77777777" w:rsidR="00AC374B" w:rsidRDefault="002F5174" w:rsidP="002F5174">
      <w:pPr>
        <w:pStyle w:val="NormalWeb"/>
        <w:jc w:val="both"/>
        <w:rPr>
          <w:rFonts w:ascii="Cambria" w:hAnsi="Cambria" w:cs="Arial"/>
        </w:rPr>
      </w:pPr>
      <w:r w:rsidRPr="002F5174">
        <w:rPr>
          <w:rFonts w:ascii="Cambria" w:hAnsi="Cambria" w:cs="Arial"/>
        </w:rPr>
        <w:t>Par conséquent, le comité de gestion</w:t>
      </w:r>
      <w:r>
        <w:rPr>
          <w:rFonts w:ascii="Cambria" w:hAnsi="Cambria" w:cs="Arial"/>
        </w:rPr>
        <w:t>,</w:t>
      </w:r>
      <w:r w:rsidRPr="002F5174">
        <w:rPr>
          <w:rFonts w:ascii="Cambria" w:hAnsi="Cambria" w:cs="Arial"/>
        </w:rPr>
        <w:t xml:space="preserve"> après avoir consulté la population grâce à un registre mis à disposition dans le</w:t>
      </w:r>
      <w:r w:rsidR="00AC374B">
        <w:rPr>
          <w:rFonts w:ascii="Cambria" w:hAnsi="Cambria" w:cs="Arial"/>
        </w:rPr>
        <w:t>s</w:t>
      </w:r>
      <w:r w:rsidRPr="002F5174">
        <w:rPr>
          <w:rFonts w:ascii="Cambria" w:hAnsi="Cambria" w:cs="Arial"/>
        </w:rPr>
        <w:t xml:space="preserve"> locaux de la commune, a acté la demande de reconduction des </w:t>
      </w:r>
      <w:r w:rsidR="00AC374B" w:rsidRPr="002F5174">
        <w:rPr>
          <w:rFonts w:ascii="Cambria" w:hAnsi="Cambria" w:cs="Arial"/>
        </w:rPr>
        <w:t>règles</w:t>
      </w:r>
      <w:r w:rsidRPr="002F5174">
        <w:rPr>
          <w:rFonts w:ascii="Cambria" w:hAnsi="Cambria" w:cs="Arial"/>
        </w:rPr>
        <w:t xml:space="preserve"> pour deux années supplémentaires</w:t>
      </w:r>
      <w:r w:rsidR="00AC374B">
        <w:rPr>
          <w:rFonts w:ascii="Cambria" w:hAnsi="Cambria" w:cs="Arial"/>
        </w:rPr>
        <w:t xml:space="preserve">. </w:t>
      </w:r>
      <w:r w:rsidRPr="002F5174">
        <w:rPr>
          <w:rFonts w:ascii="Cambria" w:hAnsi="Cambria" w:cs="Arial"/>
        </w:rPr>
        <w:t>Cette décision a été prise afin de permettre la régénération des stocks de poissons et de bénitiers</w:t>
      </w:r>
      <w:r w:rsidR="00AC374B">
        <w:rPr>
          <w:rFonts w:ascii="Cambria" w:hAnsi="Cambria" w:cs="Arial"/>
        </w:rPr>
        <w:t>.</w:t>
      </w:r>
    </w:p>
    <w:p w14:paraId="0B77AD37" w14:textId="7DF8C79C" w:rsidR="00886C47" w:rsidRDefault="002F5174" w:rsidP="00485816">
      <w:pPr>
        <w:pStyle w:val="NormalWeb"/>
        <w:jc w:val="both"/>
        <w:rPr>
          <w:rFonts w:ascii="Cambria" w:hAnsi="Cambria" w:cs="Arial"/>
        </w:rPr>
      </w:pPr>
      <w:r w:rsidRPr="002F5174">
        <w:rPr>
          <w:rFonts w:ascii="Cambria" w:hAnsi="Cambria" w:cs="Arial"/>
        </w:rPr>
        <w:t>L’ensemble des informations sur cette ZPR est disponible sur le site internet de la Direction des Ressources Marines (</w:t>
      </w:r>
      <w:hyperlink r:id="rId11" w:history="1">
        <w:r w:rsidR="00AC374B" w:rsidRPr="00C9310A">
          <w:rPr>
            <w:rStyle w:val="Lienhypertexte"/>
            <w:rFonts w:ascii="Cambria" w:hAnsi="Cambria" w:cs="Arial"/>
          </w:rPr>
          <w:t>http://ressources-marines.gov.pf</w:t>
        </w:r>
      </w:hyperlink>
      <w:r w:rsidR="00AC374B">
        <w:rPr>
          <w:rFonts w:ascii="Cambria" w:hAnsi="Cambria" w:cs="Arial"/>
        </w:rPr>
        <w:t>)</w:t>
      </w:r>
      <w:r w:rsidRPr="002F5174">
        <w:rPr>
          <w:rFonts w:ascii="Cambria" w:hAnsi="Cambria" w:cs="Arial"/>
        </w:rPr>
        <w:t xml:space="preserve"> ou auprès de la commune de Papara.</w:t>
      </w:r>
    </w:p>
    <w:p w14:paraId="4C0EA85A" w14:textId="77777777" w:rsidR="00886C47" w:rsidRDefault="00886C47" w:rsidP="00485816">
      <w:pPr>
        <w:pStyle w:val="NormalWeb"/>
        <w:jc w:val="both"/>
        <w:rPr>
          <w:rFonts w:ascii="Cambria" w:hAnsi="Cambria" w:cs="Arial"/>
        </w:rPr>
      </w:pPr>
    </w:p>
    <w:p w14:paraId="4E06C222" w14:textId="254C93E8" w:rsidR="00485816" w:rsidRDefault="00485816" w:rsidP="00485816">
      <w:pPr>
        <w:pStyle w:val="Titre2"/>
        <w:rPr>
          <w:rStyle w:val="lev"/>
          <w:b/>
          <w:bCs w:val="0"/>
        </w:rPr>
      </w:pPr>
      <w:bookmarkStart w:id="38" w:name="_Toc91082771"/>
      <w:r>
        <w:rPr>
          <w:rStyle w:val="lev"/>
          <w:b/>
          <w:bCs w:val="0"/>
        </w:rPr>
        <w:t xml:space="preserve">Subvention </w:t>
      </w:r>
      <w:r w:rsidR="00D35380">
        <w:rPr>
          <w:rStyle w:val="lev"/>
          <w:b/>
          <w:bCs w:val="0"/>
        </w:rPr>
        <w:t>au profit du Syndicat rhum agricole de Polynésie française</w:t>
      </w:r>
      <w:bookmarkEnd w:id="38"/>
    </w:p>
    <w:p w14:paraId="74526299" w14:textId="77777777" w:rsidR="00485816" w:rsidRPr="00D077BF" w:rsidRDefault="00485816" w:rsidP="00485816">
      <w:pPr>
        <w:rPr>
          <w:rFonts w:ascii="Cambria" w:hAnsi="Cambria"/>
          <w:lang w:eastAsia="fr-FR"/>
        </w:rPr>
      </w:pPr>
    </w:p>
    <w:p w14:paraId="20B22DCD" w14:textId="620E1029" w:rsidR="00B00AE7" w:rsidRPr="00B00AE7" w:rsidRDefault="00B00AE7" w:rsidP="00B00AE7">
      <w:pPr>
        <w:pStyle w:val="NormalWeb"/>
        <w:jc w:val="both"/>
        <w:rPr>
          <w:rFonts w:ascii="Cambria" w:hAnsi="Cambria" w:cs="Arial"/>
        </w:rPr>
      </w:pPr>
      <w:r w:rsidRPr="00B00AE7">
        <w:rPr>
          <w:rFonts w:ascii="Cambria" w:hAnsi="Cambria" w:cs="Arial"/>
        </w:rPr>
        <w:t>Le conseil des ministres a attribué, au profit du « Syndicat de défense de l’Indication géographique rhum agricole de Polynésie française », une aide à la filière agricole destinée à contribuer au financement d’une dépense relative à l’obtention de l’indication géographique protégée « Rhum agricole de Polynésie française ».</w:t>
      </w:r>
    </w:p>
    <w:p w14:paraId="6E93E10B" w14:textId="4ABBF01E" w:rsidR="00B00AE7" w:rsidRPr="00B00AE7" w:rsidRDefault="00B00AE7" w:rsidP="00B00AE7">
      <w:pPr>
        <w:pStyle w:val="NormalWeb"/>
        <w:jc w:val="both"/>
        <w:rPr>
          <w:rFonts w:ascii="Cambria" w:hAnsi="Cambria" w:cs="Arial"/>
        </w:rPr>
      </w:pPr>
      <w:r w:rsidRPr="00B00AE7">
        <w:rPr>
          <w:rFonts w:ascii="Cambria" w:hAnsi="Cambria" w:cs="Arial"/>
        </w:rPr>
        <w:t xml:space="preserve">Le Syndicat de défense de l’indication géographique rhum agricole de Polynésie française, dont le siège social se situe à Maharepa sur Moorea, est présidé par monsieur Igor Jacques </w:t>
      </w:r>
      <w:proofErr w:type="spellStart"/>
      <w:r w:rsidRPr="00B00AE7">
        <w:rPr>
          <w:rFonts w:ascii="Cambria" w:hAnsi="Cambria" w:cs="Arial"/>
        </w:rPr>
        <w:t>Marotea</w:t>
      </w:r>
      <w:proofErr w:type="spellEnd"/>
      <w:r w:rsidRPr="00B00AE7">
        <w:rPr>
          <w:rFonts w:ascii="Cambria" w:hAnsi="Cambria" w:cs="Arial"/>
        </w:rPr>
        <w:t xml:space="preserve"> Vitrac.</w:t>
      </w:r>
    </w:p>
    <w:p w14:paraId="3A2D5F74" w14:textId="77777777" w:rsidR="00B00AE7" w:rsidRPr="00B00AE7" w:rsidRDefault="00B00AE7" w:rsidP="00B00AE7">
      <w:pPr>
        <w:pStyle w:val="NormalWeb"/>
        <w:jc w:val="both"/>
        <w:rPr>
          <w:rFonts w:ascii="Cambria" w:hAnsi="Cambria" w:cs="Arial"/>
        </w:rPr>
      </w:pPr>
      <w:r w:rsidRPr="00B00AE7">
        <w:rPr>
          <w:rFonts w:ascii="Cambria" w:hAnsi="Cambria" w:cs="Arial"/>
        </w:rPr>
        <w:t>Le projet du Syndicat porte sur l’ébauche de la cartographie des parcelles de production de cannes (Tahaa, Moorea, Tahiti, Rangiroa, Nuku Hiva), sur la rédaction du plan de contrôle et la réalisation des premiers audits par un organisme certificateur.</w:t>
      </w:r>
    </w:p>
    <w:p w14:paraId="121ECCF4" w14:textId="3F706EE3" w:rsidR="00485816" w:rsidRDefault="00B00AE7" w:rsidP="00B00AE7">
      <w:pPr>
        <w:pStyle w:val="NormalWeb"/>
        <w:jc w:val="both"/>
        <w:rPr>
          <w:rFonts w:ascii="Cambria" w:hAnsi="Cambria" w:cs="Arial"/>
        </w:rPr>
      </w:pPr>
      <w:r w:rsidRPr="00B00AE7">
        <w:rPr>
          <w:rFonts w:ascii="Cambria" w:hAnsi="Cambria" w:cs="Arial"/>
        </w:rPr>
        <w:t>Le montant de cette aide à la réalisation de projet «</w:t>
      </w:r>
      <w:r w:rsidR="00886C47">
        <w:rPr>
          <w:rFonts w:ascii="Cambria" w:hAnsi="Cambria" w:cs="Arial"/>
        </w:rPr>
        <w:t xml:space="preserve"> </w:t>
      </w:r>
      <w:r w:rsidRPr="00B00AE7">
        <w:rPr>
          <w:rFonts w:ascii="Cambria" w:hAnsi="Cambria" w:cs="Arial"/>
        </w:rPr>
        <w:t>qualité</w:t>
      </w:r>
      <w:r w:rsidR="00886C47">
        <w:rPr>
          <w:rFonts w:ascii="Cambria" w:hAnsi="Cambria" w:cs="Arial"/>
        </w:rPr>
        <w:t xml:space="preserve"> </w:t>
      </w:r>
      <w:r w:rsidRPr="00B00AE7">
        <w:rPr>
          <w:rFonts w:ascii="Cambria" w:hAnsi="Cambria" w:cs="Arial"/>
        </w:rPr>
        <w:t>» pour les groupements agricoles est de 1 779 805 F</w:t>
      </w:r>
      <w:r>
        <w:rPr>
          <w:rFonts w:ascii="Cambria" w:hAnsi="Cambria" w:cs="Arial"/>
        </w:rPr>
        <w:t xml:space="preserve">cfp </w:t>
      </w:r>
      <w:r w:rsidRPr="00B00AE7">
        <w:rPr>
          <w:rFonts w:ascii="Cambria" w:hAnsi="Cambria" w:cs="Arial"/>
        </w:rPr>
        <w:t>correspondant à 70% du montant des dépenses éligibles qui s’élève à 2 542 579 F</w:t>
      </w:r>
      <w:r w:rsidR="00D35380">
        <w:rPr>
          <w:rFonts w:ascii="Cambria" w:hAnsi="Cambria" w:cs="Arial"/>
        </w:rPr>
        <w:t>cfp.</w:t>
      </w:r>
    </w:p>
    <w:p w14:paraId="7D9852FB" w14:textId="77777777" w:rsidR="000C3358" w:rsidRDefault="000C3358" w:rsidP="00B00AE7">
      <w:pPr>
        <w:pStyle w:val="NormalWeb"/>
        <w:jc w:val="both"/>
        <w:rPr>
          <w:rFonts w:ascii="Cambria" w:hAnsi="Cambria" w:cs="Arial"/>
        </w:rPr>
      </w:pPr>
    </w:p>
    <w:p w14:paraId="51A511F3" w14:textId="47112686" w:rsidR="00485816" w:rsidRDefault="00485816" w:rsidP="00485816">
      <w:pPr>
        <w:pStyle w:val="Titre2"/>
        <w:rPr>
          <w:rStyle w:val="lev"/>
          <w:b/>
          <w:bCs w:val="0"/>
        </w:rPr>
      </w:pPr>
      <w:bookmarkStart w:id="39" w:name="_Toc91082772"/>
      <w:r>
        <w:rPr>
          <w:rStyle w:val="lev"/>
          <w:b/>
          <w:bCs w:val="0"/>
        </w:rPr>
        <w:t>Subvention</w:t>
      </w:r>
      <w:r w:rsidR="007227AD">
        <w:rPr>
          <w:rStyle w:val="lev"/>
          <w:b/>
          <w:bCs w:val="0"/>
        </w:rPr>
        <w:t>s</w:t>
      </w:r>
      <w:r>
        <w:rPr>
          <w:rStyle w:val="lev"/>
          <w:b/>
          <w:bCs w:val="0"/>
        </w:rPr>
        <w:t xml:space="preserve"> </w:t>
      </w:r>
      <w:r w:rsidR="007227AD">
        <w:rPr>
          <w:rStyle w:val="lev"/>
          <w:b/>
          <w:bCs w:val="0"/>
        </w:rPr>
        <w:t xml:space="preserve">en faveur de la </w:t>
      </w:r>
      <w:r>
        <w:rPr>
          <w:rStyle w:val="lev"/>
          <w:b/>
          <w:bCs w:val="0"/>
        </w:rPr>
        <w:t>CAPL</w:t>
      </w:r>
      <w:bookmarkEnd w:id="39"/>
    </w:p>
    <w:p w14:paraId="44AE7E9A" w14:textId="77777777" w:rsidR="00485816" w:rsidRPr="00D077BF" w:rsidRDefault="00485816" w:rsidP="00485816">
      <w:pPr>
        <w:rPr>
          <w:rFonts w:ascii="Cambria" w:hAnsi="Cambria"/>
          <w:lang w:eastAsia="fr-FR"/>
        </w:rPr>
      </w:pPr>
    </w:p>
    <w:p w14:paraId="01601E72" w14:textId="5F7C9DBB" w:rsidR="00186BC7" w:rsidRDefault="007227AD" w:rsidP="00485816">
      <w:pPr>
        <w:pStyle w:val="NormalWeb"/>
        <w:jc w:val="both"/>
        <w:rPr>
          <w:rFonts w:ascii="Cambria" w:hAnsi="Cambria"/>
        </w:rPr>
      </w:pPr>
      <w:r>
        <w:rPr>
          <w:rFonts w:ascii="Cambria" w:hAnsi="Cambria" w:cs="Arial"/>
        </w:rPr>
        <w:t xml:space="preserve">Le Conseil des ministre a octroyé des aides financières à la Chambre de l’agriculture et de la pêche lagonaire (CAPL) pour un montant total de 17 000 000 Fcfp. </w:t>
      </w:r>
      <w:r w:rsidRPr="00D077BF">
        <w:rPr>
          <w:rFonts w:ascii="Cambria" w:hAnsi="Cambria"/>
        </w:rPr>
        <w:t>Il a ainsi été décidé d’octroyer les subventions comme suit :</w:t>
      </w:r>
    </w:p>
    <w:p w14:paraId="11B4CF46" w14:textId="28C1E8EC" w:rsidR="007227AD" w:rsidRPr="000C3358" w:rsidRDefault="007227AD" w:rsidP="00BF30A0">
      <w:pPr>
        <w:pStyle w:val="NormalWeb"/>
        <w:numPr>
          <w:ilvl w:val="0"/>
          <w:numId w:val="7"/>
        </w:numPr>
        <w:jc w:val="both"/>
        <w:rPr>
          <w:rFonts w:ascii="Cambria" w:hAnsi="Cambria" w:cs="Arial"/>
        </w:rPr>
      </w:pPr>
      <w:r w:rsidRPr="000C3358">
        <w:rPr>
          <w:rFonts w:ascii="Cambria" w:hAnsi="Cambria" w:cs="Arial"/>
        </w:rPr>
        <w:t xml:space="preserve">15 000 000 Fcfp pour financer l’acquisition de matériels de transport et d’équipements logistiques </w:t>
      </w:r>
    </w:p>
    <w:p w14:paraId="7F733B1E" w14:textId="2EFE3345" w:rsidR="007227AD" w:rsidRPr="007227AD" w:rsidRDefault="007227AD" w:rsidP="007227AD">
      <w:pPr>
        <w:pStyle w:val="NormalWeb"/>
        <w:jc w:val="both"/>
        <w:rPr>
          <w:rFonts w:ascii="Cambria" w:hAnsi="Cambria" w:cs="Arial"/>
        </w:rPr>
      </w:pPr>
      <w:r w:rsidRPr="007227AD">
        <w:rPr>
          <w:rFonts w:ascii="Cambria" w:hAnsi="Cambria" w:cs="Arial"/>
        </w:rPr>
        <w:t>Par arrêté du 23 mars 2021, les constructions édifiées sur la parcelle HB54 à Tipaerui sont affectées à la CAPL. Les locaux disposant de plusieurs chambres froides et d’un espace de stockage sec, la CAPL souhaite assurer et proposer un service de stockage des produits agricoles arrivant des îles.</w:t>
      </w:r>
    </w:p>
    <w:p w14:paraId="453F55C7" w14:textId="5AC8DD67" w:rsidR="00835D7F" w:rsidRDefault="007227AD" w:rsidP="007227AD">
      <w:pPr>
        <w:pStyle w:val="NormalWeb"/>
        <w:jc w:val="both"/>
        <w:rPr>
          <w:rFonts w:ascii="Cambria" w:hAnsi="Cambria" w:cs="Arial"/>
        </w:rPr>
      </w:pPr>
      <w:r w:rsidRPr="007227AD">
        <w:rPr>
          <w:rFonts w:ascii="Cambria" w:hAnsi="Cambria" w:cs="Arial"/>
        </w:rPr>
        <w:t>Par ailleurs, pour permettre une meilleure gestion des produits agricoles et faciliter les livraisons des produits des quais vers ses locaux, la CAPL souhaite se doter d’un camion frigorifique et d’un élévateur.</w:t>
      </w:r>
    </w:p>
    <w:p w14:paraId="66E28D16" w14:textId="77777777" w:rsidR="00913F5E" w:rsidRDefault="00913F5E" w:rsidP="007227AD">
      <w:pPr>
        <w:pStyle w:val="NormalWeb"/>
        <w:jc w:val="both"/>
        <w:rPr>
          <w:rFonts w:ascii="Cambria" w:hAnsi="Cambria" w:cs="Arial"/>
        </w:rPr>
      </w:pPr>
    </w:p>
    <w:p w14:paraId="146AE99A" w14:textId="7E0ED753" w:rsidR="00835D7F" w:rsidRPr="000C3358" w:rsidRDefault="00835D7F" w:rsidP="00BF30A0">
      <w:pPr>
        <w:pStyle w:val="NormalWeb"/>
        <w:numPr>
          <w:ilvl w:val="0"/>
          <w:numId w:val="7"/>
        </w:numPr>
        <w:jc w:val="both"/>
        <w:rPr>
          <w:rFonts w:ascii="Cambria" w:hAnsi="Cambria" w:cs="Arial"/>
        </w:rPr>
      </w:pPr>
      <w:r w:rsidRPr="000C3358">
        <w:rPr>
          <w:rFonts w:ascii="Cambria" w:hAnsi="Cambria" w:cs="Arial"/>
        </w:rPr>
        <w:t>2 000 000 Fcfp pour financer l’acquisition de stations météo </w:t>
      </w:r>
    </w:p>
    <w:p w14:paraId="6F0D353C" w14:textId="0C365E09" w:rsidR="00835D7F" w:rsidRPr="00835D7F" w:rsidRDefault="00835D7F" w:rsidP="00835D7F">
      <w:pPr>
        <w:pStyle w:val="NormalWeb"/>
        <w:jc w:val="both"/>
        <w:rPr>
          <w:rFonts w:ascii="Cambria" w:hAnsi="Cambria" w:cs="Arial"/>
        </w:rPr>
      </w:pPr>
      <w:r w:rsidRPr="00835D7F">
        <w:rPr>
          <w:rFonts w:ascii="Cambria" w:hAnsi="Cambria" w:cs="Arial"/>
        </w:rPr>
        <w:t>La CAPL est compétente en matière de prévision des récoltes. Dans ce cadre, elle souhaite se doter de stations météo notamment pour connaître les facteurs environnementaux pouvant impacter les récoltes. Pour démarrer ce projet, l’installation de stations météo porte sur 5 zones d’importance en termes de production</w:t>
      </w:r>
      <w:r>
        <w:rPr>
          <w:rFonts w:ascii="Cambria" w:hAnsi="Cambria" w:cs="Arial"/>
        </w:rPr>
        <w:t>s</w:t>
      </w:r>
      <w:r w:rsidRPr="00835D7F">
        <w:rPr>
          <w:rFonts w:ascii="Cambria" w:hAnsi="Cambria" w:cs="Arial"/>
        </w:rPr>
        <w:t xml:space="preserve"> agricoles : 3 sur Tahiti, 1 sur Moorea et 1 sur Raiatea. Elles seront installées dans certains Fa’a’apu privés pour lesquels une convention sera prévue avec les exploitants pour poser les stations météo.</w:t>
      </w:r>
    </w:p>
    <w:p w14:paraId="1A677687" w14:textId="68C04059" w:rsidR="00835D7F" w:rsidRDefault="00835D7F" w:rsidP="00835D7F">
      <w:pPr>
        <w:pStyle w:val="NormalWeb"/>
        <w:jc w:val="both"/>
        <w:rPr>
          <w:rFonts w:ascii="Cambria" w:hAnsi="Cambria" w:cs="Arial"/>
        </w:rPr>
      </w:pPr>
      <w:r w:rsidRPr="00835D7F">
        <w:rPr>
          <w:rFonts w:ascii="Cambria" w:hAnsi="Cambria" w:cs="Arial"/>
        </w:rPr>
        <w:t>Les stations météo seront équipées d’un module télémétrique qui permet de transmettre toutes les données en ligne aux agriculteurs telles que : température, humidité, précipitations, vent, rayonnement solaire.</w:t>
      </w:r>
    </w:p>
    <w:p w14:paraId="59F4093D" w14:textId="1F72FE03" w:rsidR="00184AD7" w:rsidRDefault="00F532C7" w:rsidP="00823DDA">
      <w:pPr>
        <w:pStyle w:val="Titre1"/>
      </w:pPr>
      <w:bookmarkStart w:id="40" w:name="_Toc91082773"/>
      <w:bookmarkEnd w:id="36"/>
      <w:r w:rsidRPr="00D077BF">
        <w:lastRenderedPageBreak/>
        <w:t xml:space="preserve">- </w:t>
      </w:r>
      <w:r w:rsidR="00073530" w:rsidRPr="00D077BF">
        <w:t>MCE</w:t>
      </w:r>
      <w:r w:rsidRPr="00D077BF">
        <w:t xml:space="preserve"> </w:t>
      </w:r>
      <w:bookmarkEnd w:id="40"/>
      <w:r w:rsidR="000940D6">
        <w:t>-</w:t>
      </w:r>
    </w:p>
    <w:p w14:paraId="168FBB91" w14:textId="77777777" w:rsidR="009A645E" w:rsidRPr="009A645E" w:rsidRDefault="009A645E" w:rsidP="009A645E"/>
    <w:p w14:paraId="390F480F" w14:textId="77777777" w:rsidR="00DC33A8" w:rsidRPr="00D077BF" w:rsidRDefault="00DC33A8" w:rsidP="00184AD7">
      <w:pPr>
        <w:jc w:val="both"/>
        <w:rPr>
          <w:rFonts w:ascii="Cambria" w:hAnsi="Cambria"/>
          <w:lang w:eastAsia="fr-FR"/>
        </w:rPr>
      </w:pPr>
    </w:p>
    <w:p w14:paraId="7DBB0A3D" w14:textId="437DAB7A" w:rsidR="00DC33A8" w:rsidRPr="00D077BF" w:rsidRDefault="00680589" w:rsidP="00DC33A8">
      <w:pPr>
        <w:pStyle w:val="Titre2"/>
        <w:rPr>
          <w:lang w:eastAsia="fr-FR"/>
        </w:rPr>
      </w:pPr>
      <w:bookmarkStart w:id="41" w:name="_Hlk90362955"/>
      <w:bookmarkStart w:id="42" w:name="_Hlk90967799"/>
      <w:bookmarkStart w:id="43" w:name="_Toc91082774"/>
      <w:r>
        <w:rPr>
          <w:lang w:eastAsia="fr-FR"/>
        </w:rPr>
        <w:t>Subventions d’investissement en faveur d’un club bâtisseur</w:t>
      </w:r>
      <w:bookmarkEnd w:id="43"/>
    </w:p>
    <w:p w14:paraId="2C241B9E" w14:textId="77777777" w:rsidR="00485816" w:rsidRDefault="00485816" w:rsidP="00485816">
      <w:pPr>
        <w:jc w:val="both"/>
        <w:rPr>
          <w:rFonts w:ascii="Cambria" w:hAnsi="Cambria"/>
          <w:lang w:eastAsia="fr-FR"/>
        </w:rPr>
      </w:pPr>
    </w:p>
    <w:bookmarkEnd w:id="41"/>
    <w:p w14:paraId="13F7923E" w14:textId="76063AFF" w:rsidR="00913F5E" w:rsidRPr="000940D6" w:rsidRDefault="00680589" w:rsidP="000940D6">
      <w:pPr>
        <w:jc w:val="both"/>
        <w:rPr>
          <w:rFonts w:ascii="Cambria" w:hAnsi="Cambria"/>
          <w:lang w:eastAsia="fr-FR"/>
        </w:rPr>
      </w:pPr>
      <w:r w:rsidRPr="00680589">
        <w:rPr>
          <w:rFonts w:ascii="Cambria" w:hAnsi="Cambria"/>
          <w:lang w:eastAsia="fr-FR"/>
        </w:rPr>
        <w:t>Sur proposition d</w:t>
      </w:r>
      <w:r>
        <w:rPr>
          <w:rFonts w:ascii="Cambria" w:hAnsi="Cambria"/>
          <w:lang w:eastAsia="fr-FR"/>
        </w:rPr>
        <w:t xml:space="preserve">u ministre </w:t>
      </w:r>
      <w:r w:rsidRPr="00680589">
        <w:rPr>
          <w:rFonts w:ascii="Cambria" w:hAnsi="Cambria"/>
          <w:lang w:eastAsia="fr-FR"/>
        </w:rPr>
        <w:t xml:space="preserve">de la </w:t>
      </w:r>
      <w:r>
        <w:rPr>
          <w:rFonts w:ascii="Cambria" w:hAnsi="Cambria"/>
          <w:lang w:eastAsia="fr-FR"/>
        </w:rPr>
        <w:t>C</w:t>
      </w:r>
      <w:r w:rsidRPr="00680589">
        <w:rPr>
          <w:rFonts w:ascii="Cambria" w:hAnsi="Cambria"/>
          <w:lang w:eastAsia="fr-FR"/>
        </w:rPr>
        <w:t>ulture, de l’environnement en charge de la jeunesse et des sports et de l’artisanat</w:t>
      </w:r>
      <w:r>
        <w:rPr>
          <w:rFonts w:ascii="Cambria" w:hAnsi="Cambria"/>
          <w:lang w:eastAsia="fr-FR"/>
        </w:rPr>
        <w:t>,</w:t>
      </w:r>
      <w:r w:rsidRPr="00680589">
        <w:rPr>
          <w:rFonts w:ascii="Cambria" w:hAnsi="Cambria"/>
          <w:lang w:eastAsia="fr-FR"/>
        </w:rPr>
        <w:t xml:space="preserve"> le Conseil des </w:t>
      </w:r>
      <w:r>
        <w:rPr>
          <w:rFonts w:ascii="Cambria" w:hAnsi="Cambria"/>
          <w:lang w:eastAsia="fr-FR"/>
        </w:rPr>
        <w:t>m</w:t>
      </w:r>
      <w:r w:rsidRPr="00680589">
        <w:rPr>
          <w:rFonts w:ascii="Cambria" w:hAnsi="Cambria"/>
          <w:lang w:eastAsia="fr-FR"/>
        </w:rPr>
        <w:t>inistres a adopté l'octroi de subventions en investissement pour un montant total de 3 779 928 F</w:t>
      </w:r>
      <w:r>
        <w:rPr>
          <w:rFonts w:ascii="Cambria" w:hAnsi="Cambria"/>
          <w:lang w:eastAsia="fr-FR"/>
        </w:rPr>
        <w:t>cfp</w:t>
      </w:r>
      <w:r w:rsidRPr="00680589">
        <w:rPr>
          <w:rFonts w:ascii="Cambria" w:hAnsi="Cambria"/>
          <w:lang w:eastAsia="fr-FR"/>
        </w:rPr>
        <w:t xml:space="preserve"> en faveur de l’association sportive Excelsior pour l'acquisition de buts et de mannequins ainsi que pour la rénovation de l’éclairage des courts de tennis.</w:t>
      </w:r>
      <w:bookmarkEnd w:id="42"/>
    </w:p>
    <w:p w14:paraId="7A4D6CDC" w14:textId="646CB27C" w:rsidR="009A645E" w:rsidRDefault="009A645E" w:rsidP="00823DDA"/>
    <w:p w14:paraId="39083343" w14:textId="77777777" w:rsidR="002F197D" w:rsidRPr="00823DDA" w:rsidRDefault="002F197D" w:rsidP="00823DDA"/>
    <w:p w14:paraId="5E3D2F92" w14:textId="409BEC7A" w:rsidR="003C077D" w:rsidRDefault="00DF6629" w:rsidP="001B02CA">
      <w:pPr>
        <w:pStyle w:val="Titre1"/>
      </w:pPr>
      <w:bookmarkStart w:id="44" w:name="_Toc91082775"/>
      <w:r w:rsidRPr="00D077BF">
        <w:t xml:space="preserve">- </w:t>
      </w:r>
      <w:r w:rsidR="00D95AFF" w:rsidRPr="00D077BF">
        <w:t>MSP</w:t>
      </w:r>
      <w:r w:rsidRPr="00D077BF">
        <w:t>-</w:t>
      </w:r>
      <w:bookmarkStart w:id="45" w:name="_Hlk90998981"/>
      <w:bookmarkEnd w:id="44"/>
    </w:p>
    <w:p w14:paraId="4D9C6C79" w14:textId="1C5B2693" w:rsidR="009A645E" w:rsidRDefault="009A645E" w:rsidP="001B02CA"/>
    <w:p w14:paraId="6FE384AE" w14:textId="77777777" w:rsidR="009A645E" w:rsidRPr="001B02CA" w:rsidRDefault="009A645E" w:rsidP="001B02CA"/>
    <w:p w14:paraId="4B757D76" w14:textId="414A0ACB" w:rsidR="009803AB" w:rsidRDefault="002F197D" w:rsidP="009803AB">
      <w:pPr>
        <w:pStyle w:val="Titre2"/>
        <w:rPr>
          <w:rStyle w:val="lev"/>
          <w:b/>
          <w:bCs w:val="0"/>
        </w:rPr>
      </w:pPr>
      <w:bookmarkStart w:id="46" w:name="_Hlk90469004"/>
      <w:bookmarkStart w:id="47" w:name="_Toc91082776"/>
      <w:bookmarkEnd w:id="45"/>
      <w:r>
        <w:rPr>
          <w:rStyle w:val="lev"/>
          <w:b/>
          <w:bCs w:val="0"/>
        </w:rPr>
        <w:t>Perspective 2022 des actions de prévention et de promotion de santé</w:t>
      </w:r>
      <w:bookmarkEnd w:id="47"/>
    </w:p>
    <w:p w14:paraId="216BD5CD" w14:textId="314CA542"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Le contexte sanitaire actuel lié à l’épidémie de</w:t>
      </w:r>
      <w:r>
        <w:rPr>
          <w:rFonts w:ascii="Cambria" w:hAnsi="Cambria" w:cs="Arial"/>
        </w:rPr>
        <w:t xml:space="preserve"> la</w:t>
      </w:r>
      <w:r w:rsidRPr="002F197D">
        <w:rPr>
          <w:rFonts w:ascii="Cambria" w:hAnsi="Cambria" w:cs="Arial"/>
        </w:rPr>
        <w:t xml:space="preserve"> Covid-19, a fortement impacté la Polynésie française, notamment la santé de la population. Aujourd’hui, les problèmes de santé notamment liés à l’obésité incitent le Pays à renforcer les actions visant à la prévention dès le plus jeune âge et à la prise en charge globale pour toutes les personnes atteintes de diabète, d’hypertension artérielle, de maladies cardio-vasculaires ou encore d’insuffisance rénale chronique. Mais aussi à accompagner les personnes concernées par des actions ciblées dès leur plus jeune âge et tout au long de leur vie. </w:t>
      </w:r>
    </w:p>
    <w:p w14:paraId="40F5CDEC"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 xml:space="preserve">Les actions de lutte contre les maladies non transmissibles (obésité) sont les suivantes : </w:t>
      </w:r>
    </w:p>
    <w:p w14:paraId="30E9B645" w14:textId="64FC16E8"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 xml:space="preserve">La poursuite du programme pilote de prise en charge de l’obésité infantile- « </w:t>
      </w:r>
      <w:proofErr w:type="spellStart"/>
      <w:r w:rsidRPr="002F197D">
        <w:rPr>
          <w:rFonts w:ascii="Cambria" w:hAnsi="Cambria" w:cs="Arial"/>
          <w:b/>
          <w:bCs/>
        </w:rPr>
        <w:t>Faito</w:t>
      </w:r>
      <w:proofErr w:type="spellEnd"/>
      <w:r w:rsidRPr="002F197D">
        <w:rPr>
          <w:rFonts w:ascii="Cambria" w:hAnsi="Cambria" w:cs="Arial"/>
          <w:b/>
          <w:bCs/>
        </w:rPr>
        <w:t xml:space="preserve"> </w:t>
      </w:r>
      <w:proofErr w:type="spellStart"/>
      <w:r w:rsidRPr="002F197D">
        <w:rPr>
          <w:rFonts w:ascii="Cambria" w:hAnsi="Cambria" w:cs="Arial"/>
          <w:b/>
          <w:bCs/>
        </w:rPr>
        <w:t>tano</w:t>
      </w:r>
      <w:proofErr w:type="spellEnd"/>
      <w:r w:rsidRPr="002F197D">
        <w:rPr>
          <w:rFonts w:ascii="Cambria" w:hAnsi="Cambria" w:cs="Arial"/>
          <w:b/>
          <w:bCs/>
        </w:rPr>
        <w:t xml:space="preserve"> » à Raiatea sera étendu à Tahiti</w:t>
      </w:r>
    </w:p>
    <w:p w14:paraId="11023F40"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L’objectif de ce programme est de diminuer la prévalence du surpoids et de l’obésité infantile et de limiter ses complications.</w:t>
      </w:r>
    </w:p>
    <w:p w14:paraId="1E4126FC" w14:textId="117BA865"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 xml:space="preserve">Le Parcours de santé APITO – Raiatea </w:t>
      </w:r>
    </w:p>
    <w:p w14:paraId="448155E2"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L’objectif d’améliorer durablement la santé et la qualité de vie des personnes adultes en situation d’obésité et/ou de diabète de type 2, tout en les accompagnant vers la mise en place de réponses autonomes dans la prise en charge de leurs maladies. A long terme, l’objectif est de limiter la croissance de l’obésité sévère et du diabète.</w:t>
      </w:r>
    </w:p>
    <w:p w14:paraId="30C88BC1" w14:textId="2EDB767D"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 xml:space="preserve">Le dispositif expérimental ASALEE (Action de santé libérale en équipe) </w:t>
      </w:r>
    </w:p>
    <w:p w14:paraId="18A63DFD"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L’objectif de ce dispositif est de diminuer la prévalence des pathologies liées aux modes de vie en Polynésie française.</w:t>
      </w:r>
    </w:p>
    <w:p w14:paraId="3CA4C257" w14:textId="341FED05"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 xml:space="preserve">L’installation d’équipes pluridisciplinaires dans les structures de soins de la Direction de la santé et partenariat avec les médecins libéraux </w:t>
      </w:r>
    </w:p>
    <w:p w14:paraId="17C05CA0"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lastRenderedPageBreak/>
        <w:t>La création d’un réseau de promotion, de prévention et de prise en charge de patients atteints de pathologies chroniques est une réponse opérationnelle face à l’augmentation de la prévalence sur territoire, en réunissant l’ensemble des acteurs impliqués dans sa prévention, son dépistage et sa prise en charge.</w:t>
      </w:r>
    </w:p>
    <w:p w14:paraId="49AE1182" w14:textId="4210D428"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 xml:space="preserve">Ecole/CJA en santé pour les enfants scolarisés </w:t>
      </w:r>
    </w:p>
    <w:p w14:paraId="35E28896"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Le dispositif « Ecoles et CJA en santé » est un dispositif de promotion de santé conjointement porté par la Direction générale de l’éducation et des enseignements (DGEE) et la Direction de la santé qui a pour but de promouvoir la santé en milieu scolaire et au sein de son quartier.</w:t>
      </w:r>
    </w:p>
    <w:p w14:paraId="4E9EAC99" w14:textId="166B94B8"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Le dispositif « Entreprise Active pour la santé de ses salariés »</w:t>
      </w:r>
    </w:p>
    <w:p w14:paraId="385035B6"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C’est un accompagnement de la Direction de la santé destiné aux entreprises volontaires pour la mise en place et le suivi d’une démarche de promotion de la santé au travail.</w:t>
      </w:r>
    </w:p>
    <w:p w14:paraId="78294F92" w14:textId="360A4BC3" w:rsidR="002F197D" w:rsidRPr="002F197D" w:rsidRDefault="002F197D" w:rsidP="002F197D">
      <w:pPr>
        <w:pStyle w:val="Paragraphedeliste"/>
        <w:numPr>
          <w:ilvl w:val="0"/>
          <w:numId w:val="7"/>
        </w:numPr>
        <w:spacing w:before="100" w:beforeAutospacing="1" w:after="100" w:afterAutospacing="1"/>
        <w:jc w:val="both"/>
        <w:rPr>
          <w:rFonts w:ascii="Cambria" w:hAnsi="Cambria" w:cs="Arial"/>
          <w:b/>
          <w:bCs/>
        </w:rPr>
      </w:pPr>
      <w:r w:rsidRPr="002F197D">
        <w:rPr>
          <w:rFonts w:ascii="Cambria" w:hAnsi="Cambria" w:cs="Arial"/>
          <w:b/>
          <w:bCs/>
        </w:rPr>
        <w:t>Le dispositif « Communes en santé »</w:t>
      </w:r>
    </w:p>
    <w:p w14:paraId="63DE86AD" w14:textId="0C7706DD"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Il a pour objectif de promouvoir la santé à l’échelle communale, à travers la mise en œuvre d’actions agissant favorablement sur les comportements des personnes, leurs environnements et leurs conditions de vie (</w:t>
      </w:r>
      <w:r w:rsidR="008541CA">
        <w:rPr>
          <w:rFonts w:ascii="Cambria" w:hAnsi="Cambria" w:cs="Arial"/>
        </w:rPr>
        <w:t>l</w:t>
      </w:r>
      <w:r w:rsidRPr="002F197D">
        <w:rPr>
          <w:rFonts w:ascii="Cambria" w:hAnsi="Cambria" w:cs="Arial"/>
        </w:rPr>
        <w:t>ogement, alimentation scolaire, patrimoine culturel…)</w:t>
      </w:r>
    </w:p>
    <w:p w14:paraId="6AE197C0" w14:textId="695ADD28" w:rsidR="002F197D" w:rsidRPr="008541CA" w:rsidRDefault="002F197D" w:rsidP="008541CA">
      <w:pPr>
        <w:pStyle w:val="Paragraphedeliste"/>
        <w:numPr>
          <w:ilvl w:val="0"/>
          <w:numId w:val="7"/>
        </w:numPr>
        <w:spacing w:before="100" w:beforeAutospacing="1" w:after="100" w:afterAutospacing="1"/>
        <w:jc w:val="both"/>
        <w:rPr>
          <w:rFonts w:ascii="Cambria" w:hAnsi="Cambria" w:cs="Arial"/>
          <w:b/>
          <w:bCs/>
        </w:rPr>
      </w:pPr>
      <w:r w:rsidRPr="008541CA">
        <w:rPr>
          <w:rFonts w:ascii="Cambria" w:hAnsi="Cambria" w:cs="Arial"/>
          <w:b/>
          <w:bCs/>
        </w:rPr>
        <w:t xml:space="preserve">Lancement du programme “Vai </w:t>
      </w:r>
      <w:proofErr w:type="spellStart"/>
      <w:r w:rsidRPr="008541CA">
        <w:rPr>
          <w:rFonts w:ascii="Cambria" w:hAnsi="Cambria" w:cs="Arial"/>
          <w:b/>
          <w:bCs/>
        </w:rPr>
        <w:t>Mane’e</w:t>
      </w:r>
      <w:proofErr w:type="spellEnd"/>
      <w:r w:rsidRPr="008541CA">
        <w:rPr>
          <w:rFonts w:ascii="Cambria" w:hAnsi="Cambria" w:cs="Arial"/>
          <w:b/>
          <w:bCs/>
        </w:rPr>
        <w:t xml:space="preserve">” </w:t>
      </w:r>
    </w:p>
    <w:p w14:paraId="6B879915" w14:textId="77777777"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L’objectif est de faciliter l’accès à la pratique d’une Activité Physique Adaptée (APA) par la mise à disposition d’un bassin itinérant, à accès gratuit, au sein des quartiers prioritaires de Tahiti et de Moorea, et d’accompagner l’adoption d’un comportement actif favorable à la santé.</w:t>
      </w:r>
    </w:p>
    <w:p w14:paraId="4C08B00B" w14:textId="2DE96273" w:rsidR="002F197D" w:rsidRPr="008541CA" w:rsidRDefault="002F197D" w:rsidP="008541CA">
      <w:pPr>
        <w:pStyle w:val="Paragraphedeliste"/>
        <w:numPr>
          <w:ilvl w:val="0"/>
          <w:numId w:val="7"/>
        </w:numPr>
        <w:spacing w:before="100" w:beforeAutospacing="1" w:after="100" w:afterAutospacing="1"/>
        <w:jc w:val="both"/>
        <w:rPr>
          <w:rFonts w:ascii="Cambria" w:hAnsi="Cambria" w:cs="Arial"/>
          <w:b/>
          <w:bCs/>
        </w:rPr>
      </w:pPr>
      <w:r w:rsidRPr="008541CA">
        <w:rPr>
          <w:rFonts w:ascii="Cambria" w:hAnsi="Cambria" w:cs="Arial"/>
          <w:b/>
          <w:bCs/>
        </w:rPr>
        <w:t>Lutte contre les addictions : intervention de sensibilisation auprès des publics dits à risque</w:t>
      </w:r>
    </w:p>
    <w:p w14:paraId="045661C1" w14:textId="0128FC18" w:rsidR="002F197D" w:rsidRPr="002F197D" w:rsidRDefault="002F197D" w:rsidP="002F197D">
      <w:pPr>
        <w:spacing w:before="100" w:beforeAutospacing="1" w:after="100" w:afterAutospacing="1"/>
        <w:jc w:val="both"/>
        <w:rPr>
          <w:rFonts w:ascii="Cambria" w:hAnsi="Cambria" w:cs="Arial"/>
        </w:rPr>
      </w:pPr>
      <w:r w:rsidRPr="002F197D">
        <w:rPr>
          <w:rFonts w:ascii="Cambria" w:hAnsi="Cambria" w:cs="Arial"/>
        </w:rPr>
        <w:t xml:space="preserve">L’objectif est de sensibiliser le jeune public sur les risques de consommation des substances addictogènes (tabac, alcool, </w:t>
      </w:r>
      <w:proofErr w:type="spellStart"/>
      <w:r w:rsidRPr="002F197D">
        <w:rPr>
          <w:rFonts w:ascii="Cambria" w:hAnsi="Cambria" w:cs="Arial"/>
        </w:rPr>
        <w:t>ice</w:t>
      </w:r>
      <w:proofErr w:type="spellEnd"/>
      <w:r w:rsidRPr="002F197D">
        <w:rPr>
          <w:rFonts w:ascii="Cambria" w:hAnsi="Cambria" w:cs="Arial"/>
        </w:rPr>
        <w:t xml:space="preserve">, </w:t>
      </w:r>
      <w:proofErr w:type="spellStart"/>
      <w:r w:rsidRPr="002F197D">
        <w:rPr>
          <w:rFonts w:ascii="Cambria" w:hAnsi="Cambria" w:cs="Arial"/>
        </w:rPr>
        <w:t>paka</w:t>
      </w:r>
      <w:proofErr w:type="spellEnd"/>
      <w:r w:rsidR="008541CA">
        <w:rPr>
          <w:rFonts w:ascii="Cambria" w:hAnsi="Cambria" w:cs="Arial"/>
        </w:rPr>
        <w:t>…</w:t>
      </w:r>
      <w:r w:rsidRPr="002F197D">
        <w:rPr>
          <w:rFonts w:ascii="Cambria" w:hAnsi="Cambria" w:cs="Arial"/>
        </w:rPr>
        <w:t>), sur les jeux de hasard et</w:t>
      </w:r>
      <w:r w:rsidR="008541CA">
        <w:rPr>
          <w:rFonts w:ascii="Cambria" w:hAnsi="Cambria" w:cs="Arial"/>
        </w:rPr>
        <w:t xml:space="preserve"> sur </w:t>
      </w:r>
      <w:r w:rsidRPr="002F197D">
        <w:rPr>
          <w:rFonts w:ascii="Cambria" w:hAnsi="Cambria" w:cs="Arial"/>
        </w:rPr>
        <w:t>la cyberaddiction</w:t>
      </w:r>
      <w:r w:rsidR="008541CA">
        <w:rPr>
          <w:rFonts w:ascii="Cambria" w:hAnsi="Cambria" w:cs="Arial"/>
        </w:rPr>
        <w:t>.</w:t>
      </w:r>
      <w:r w:rsidRPr="002F197D">
        <w:rPr>
          <w:rFonts w:ascii="Cambria" w:hAnsi="Cambria" w:cs="Arial"/>
        </w:rPr>
        <w:t xml:space="preserve"> </w:t>
      </w:r>
      <w:r w:rsidR="008541CA">
        <w:rPr>
          <w:rFonts w:ascii="Cambria" w:hAnsi="Cambria" w:cs="Arial"/>
        </w:rPr>
        <w:t>L</w:t>
      </w:r>
      <w:r w:rsidRPr="002F197D">
        <w:rPr>
          <w:rFonts w:ascii="Cambria" w:hAnsi="Cambria" w:cs="Arial"/>
        </w:rPr>
        <w:t>a Direction de la santé va multiplier ses interventions dans les collèges et lycées avec les concours des partenaires relais tels que la Croix rouge française Délégation de Polynésie (CRF DP), la DPDJ et la DGEE.</w:t>
      </w:r>
    </w:p>
    <w:p w14:paraId="00F0CEBB" w14:textId="0A28ABDA" w:rsidR="002F197D" w:rsidRPr="008541CA" w:rsidRDefault="002F197D" w:rsidP="008541CA">
      <w:pPr>
        <w:pStyle w:val="Paragraphedeliste"/>
        <w:numPr>
          <w:ilvl w:val="0"/>
          <w:numId w:val="7"/>
        </w:numPr>
        <w:spacing w:before="100" w:beforeAutospacing="1" w:after="100" w:afterAutospacing="1"/>
        <w:jc w:val="both"/>
        <w:rPr>
          <w:rFonts w:ascii="Cambria" w:hAnsi="Cambria" w:cs="Arial"/>
          <w:b/>
          <w:bCs/>
        </w:rPr>
      </w:pPr>
      <w:r w:rsidRPr="008541CA">
        <w:rPr>
          <w:rFonts w:ascii="Cambria" w:hAnsi="Cambria" w:cs="Arial"/>
          <w:b/>
          <w:bCs/>
        </w:rPr>
        <w:t>Santé mentale - Seconde mission des experts CREDES</w:t>
      </w:r>
    </w:p>
    <w:p w14:paraId="58A37402" w14:textId="77777777" w:rsidR="008541CA" w:rsidRDefault="002F197D" w:rsidP="002F197D">
      <w:pPr>
        <w:spacing w:before="100" w:beforeAutospacing="1" w:after="100" w:afterAutospacing="1"/>
        <w:jc w:val="both"/>
        <w:rPr>
          <w:rFonts w:ascii="Cambria" w:hAnsi="Cambria" w:cs="Arial"/>
        </w:rPr>
      </w:pPr>
      <w:r w:rsidRPr="002F197D">
        <w:rPr>
          <w:rFonts w:ascii="Cambria" w:hAnsi="Cambria" w:cs="Arial"/>
        </w:rPr>
        <w:t>Le projet d’établissement du futur pôle de santé mentale sera finalisé en 2022</w:t>
      </w:r>
      <w:r w:rsidR="008541CA">
        <w:rPr>
          <w:rFonts w:ascii="Cambria" w:hAnsi="Cambria" w:cs="Arial"/>
        </w:rPr>
        <w:t>. L</w:t>
      </w:r>
      <w:r w:rsidRPr="002F197D">
        <w:rPr>
          <w:rFonts w:ascii="Cambria" w:hAnsi="Cambria" w:cs="Arial"/>
        </w:rPr>
        <w:t>a mission des experts CREDES est d’accompagner les équipes de la santé afin d’établir le projet médical de l’établissement</w:t>
      </w:r>
      <w:r w:rsidR="008541CA">
        <w:rPr>
          <w:rFonts w:ascii="Cambria" w:hAnsi="Cambria" w:cs="Arial"/>
        </w:rPr>
        <w:t xml:space="preserve"> et </w:t>
      </w:r>
      <w:r w:rsidRPr="002F197D">
        <w:rPr>
          <w:rFonts w:ascii="Cambria" w:hAnsi="Cambria" w:cs="Arial"/>
        </w:rPr>
        <w:t>d’identifier les besoins matériel et humains pour accompagner les nouvelles activités de soins du futur établissement.</w:t>
      </w:r>
      <w:r w:rsidR="008541CA">
        <w:rPr>
          <w:rFonts w:ascii="Cambria" w:hAnsi="Cambria" w:cs="Arial"/>
        </w:rPr>
        <w:t xml:space="preserve"> </w:t>
      </w:r>
    </w:p>
    <w:p w14:paraId="352DFB56" w14:textId="77777777" w:rsidR="008541CA" w:rsidRDefault="008541CA" w:rsidP="002F197D">
      <w:pPr>
        <w:spacing w:before="100" w:beforeAutospacing="1" w:after="100" w:afterAutospacing="1"/>
        <w:jc w:val="both"/>
        <w:rPr>
          <w:rFonts w:ascii="Cambria" w:hAnsi="Cambria" w:cs="Arial"/>
        </w:rPr>
      </w:pPr>
    </w:p>
    <w:p w14:paraId="1AC73CC8" w14:textId="3313495A" w:rsidR="009803AB" w:rsidRDefault="002F197D" w:rsidP="002F197D">
      <w:pPr>
        <w:spacing w:before="100" w:beforeAutospacing="1" w:after="100" w:afterAutospacing="1"/>
        <w:jc w:val="both"/>
        <w:rPr>
          <w:rFonts w:ascii="Cambria" w:hAnsi="Cambria" w:cs="Arial"/>
        </w:rPr>
      </w:pPr>
      <w:r w:rsidRPr="002F197D">
        <w:rPr>
          <w:rFonts w:ascii="Cambria" w:hAnsi="Cambria" w:cs="Arial"/>
        </w:rPr>
        <w:lastRenderedPageBreak/>
        <w:t xml:space="preserve">Les équipes de la </w:t>
      </w:r>
      <w:r w:rsidR="008541CA">
        <w:rPr>
          <w:rFonts w:ascii="Cambria" w:hAnsi="Cambria" w:cs="Arial"/>
        </w:rPr>
        <w:t>D</w:t>
      </w:r>
      <w:r w:rsidRPr="002F197D">
        <w:rPr>
          <w:rFonts w:ascii="Cambria" w:hAnsi="Cambria" w:cs="Arial"/>
        </w:rPr>
        <w:t>irection de la santé poursuivront</w:t>
      </w:r>
      <w:r w:rsidR="008541CA">
        <w:rPr>
          <w:rFonts w:ascii="Cambria" w:hAnsi="Cambria" w:cs="Arial"/>
        </w:rPr>
        <w:t xml:space="preserve"> également</w:t>
      </w:r>
      <w:r w:rsidRPr="002F197D">
        <w:rPr>
          <w:rFonts w:ascii="Cambria" w:hAnsi="Cambria" w:cs="Arial"/>
        </w:rPr>
        <w:t xml:space="preserve"> leurs activités dans la lutte contre les maladies infectieuses et transmissibles, telles </w:t>
      </w:r>
      <w:r w:rsidR="008541CA" w:rsidRPr="002F197D">
        <w:rPr>
          <w:rFonts w:ascii="Cambria" w:hAnsi="Cambria" w:cs="Arial"/>
        </w:rPr>
        <w:t>que la</w:t>
      </w:r>
      <w:r w:rsidRPr="002F197D">
        <w:rPr>
          <w:rFonts w:ascii="Cambria" w:hAnsi="Cambria" w:cs="Arial"/>
        </w:rPr>
        <w:t xml:space="preserve"> campagne de vaccination contre la grippe</w:t>
      </w:r>
      <w:r w:rsidR="008541CA">
        <w:rPr>
          <w:rFonts w:ascii="Cambria" w:hAnsi="Cambria" w:cs="Arial"/>
        </w:rPr>
        <w:t>,</w:t>
      </w:r>
      <w:r w:rsidRPr="002F197D">
        <w:rPr>
          <w:rFonts w:ascii="Cambria" w:hAnsi="Cambria" w:cs="Arial"/>
        </w:rPr>
        <w:t xml:space="preserve"> la lutte contre le SIDA, et contre la filariose lymphatique</w:t>
      </w:r>
      <w:r w:rsidR="008541CA">
        <w:rPr>
          <w:rFonts w:ascii="Cambria" w:hAnsi="Cambria" w:cs="Arial"/>
        </w:rPr>
        <w:t>.</w:t>
      </w:r>
    </w:p>
    <w:p w14:paraId="3F03063D" w14:textId="77777777" w:rsidR="008541CA" w:rsidRPr="009803AB" w:rsidRDefault="008541CA" w:rsidP="002F197D">
      <w:pPr>
        <w:spacing w:before="100" w:beforeAutospacing="1" w:after="100" w:afterAutospacing="1"/>
        <w:jc w:val="both"/>
        <w:rPr>
          <w:rFonts w:ascii="Cambria" w:hAnsi="Cambria" w:cs="Arial"/>
        </w:rPr>
      </w:pPr>
    </w:p>
    <w:p w14:paraId="53802CD8" w14:textId="6AE4CF1A" w:rsidR="00C91FD7" w:rsidRDefault="00C91FD7" w:rsidP="00C91FD7">
      <w:pPr>
        <w:pStyle w:val="Titre2"/>
        <w:rPr>
          <w:rStyle w:val="lev"/>
          <w:b/>
          <w:bCs w:val="0"/>
        </w:rPr>
      </w:pPr>
      <w:bookmarkStart w:id="48" w:name="_Toc91082777"/>
      <w:r>
        <w:rPr>
          <w:rStyle w:val="lev"/>
          <w:b/>
          <w:bCs w:val="0"/>
        </w:rPr>
        <w:t>Modif</w:t>
      </w:r>
      <w:r w:rsidR="00F00CC4">
        <w:rPr>
          <w:rStyle w:val="lev"/>
          <w:b/>
          <w:bCs w:val="0"/>
        </w:rPr>
        <w:t>ication de la</w:t>
      </w:r>
      <w:r>
        <w:rPr>
          <w:rStyle w:val="lev"/>
          <w:b/>
          <w:bCs w:val="0"/>
        </w:rPr>
        <w:t xml:space="preserve"> carte sanitaire - oncologie</w:t>
      </w:r>
      <w:bookmarkEnd w:id="48"/>
    </w:p>
    <w:p w14:paraId="77453175" w14:textId="77777777" w:rsidR="00C91FD7" w:rsidRPr="00D077BF" w:rsidRDefault="00C91FD7" w:rsidP="00C91FD7">
      <w:pPr>
        <w:rPr>
          <w:rFonts w:ascii="Cambria" w:hAnsi="Cambria"/>
          <w:lang w:eastAsia="fr-FR"/>
        </w:rPr>
      </w:pPr>
    </w:p>
    <w:p w14:paraId="1234F894" w14:textId="77777777" w:rsidR="00F00CC4" w:rsidRPr="00F00CC4" w:rsidRDefault="00F00CC4" w:rsidP="00F00CC4">
      <w:pPr>
        <w:pStyle w:val="NormalWeb"/>
        <w:jc w:val="both"/>
        <w:rPr>
          <w:rFonts w:ascii="Cambria" w:hAnsi="Cambria" w:cs="Arial"/>
        </w:rPr>
      </w:pPr>
      <w:bookmarkStart w:id="49" w:name="_Hlk90999206"/>
      <w:bookmarkEnd w:id="46"/>
      <w:r w:rsidRPr="00F00CC4">
        <w:rPr>
          <w:rFonts w:ascii="Cambria" w:hAnsi="Cambria" w:cs="Arial"/>
        </w:rPr>
        <w:t>En Polynésie française, la carte sanitaire établit la liste des activités de soins soumises à autorisation, et définit également des indices de besoin. Ces indices permettent de dédier des lits, places ou postes à une activité en particulier, dès lors qu’elle est soumise à autorisation.</w:t>
      </w:r>
    </w:p>
    <w:p w14:paraId="1530F2F3" w14:textId="77777777" w:rsidR="00F00CC4" w:rsidRPr="00F00CC4" w:rsidRDefault="00F00CC4" w:rsidP="00F00CC4">
      <w:pPr>
        <w:pStyle w:val="NormalWeb"/>
        <w:jc w:val="both"/>
        <w:rPr>
          <w:rFonts w:ascii="Cambria" w:hAnsi="Cambria" w:cs="Arial"/>
        </w:rPr>
      </w:pPr>
      <w:r w:rsidRPr="00F00CC4">
        <w:rPr>
          <w:rFonts w:ascii="Cambria" w:hAnsi="Cambria" w:cs="Arial"/>
        </w:rPr>
        <w:t>Le traitement du cancer est une activité de soins soumise à autorisation par la carte sanitaire. Mais les indices de besoin pour cette activité n’avaient pas encore été fixés. Les lits et places pour cette activité sont aujourd’hui inclus dans les lits et places de « médecine » toutes spécialités confondues.</w:t>
      </w:r>
    </w:p>
    <w:p w14:paraId="11E51C10" w14:textId="7C5F01AB" w:rsidR="00F00CC4" w:rsidRPr="00F00CC4" w:rsidRDefault="00F00CC4" w:rsidP="00F00CC4">
      <w:pPr>
        <w:pStyle w:val="NormalWeb"/>
        <w:jc w:val="both"/>
        <w:rPr>
          <w:rFonts w:ascii="Cambria" w:hAnsi="Cambria" w:cs="Arial"/>
        </w:rPr>
      </w:pPr>
      <w:r w:rsidRPr="00F00CC4">
        <w:rPr>
          <w:rFonts w:ascii="Cambria" w:hAnsi="Cambria" w:cs="Arial"/>
        </w:rPr>
        <w:t>Or, la lutte contre le cancer est une priorité en Polynésie française, elle s’organise progressivement en déclinant les actions du plan cancer. L’institut du cancer de la Polynésie française a récemment été créé</w:t>
      </w:r>
      <w:r>
        <w:rPr>
          <w:rFonts w:ascii="Cambria" w:hAnsi="Cambria" w:cs="Arial"/>
        </w:rPr>
        <w:t>,</w:t>
      </w:r>
      <w:r w:rsidRPr="00F00CC4">
        <w:rPr>
          <w:rFonts w:ascii="Cambria" w:hAnsi="Cambria" w:cs="Arial"/>
        </w:rPr>
        <w:t xml:space="preserve"> participant au projet d’amélioration de la prise en charge des patients atteints de cancer.</w:t>
      </w:r>
    </w:p>
    <w:p w14:paraId="1D7245BE" w14:textId="63CFFD2C" w:rsidR="00F00CC4" w:rsidRPr="00F00CC4" w:rsidRDefault="00F00CC4" w:rsidP="00F00CC4">
      <w:pPr>
        <w:pStyle w:val="NormalWeb"/>
        <w:jc w:val="both"/>
        <w:rPr>
          <w:rFonts w:ascii="Cambria" w:hAnsi="Cambria" w:cs="Arial"/>
        </w:rPr>
      </w:pPr>
      <w:r w:rsidRPr="00F00CC4">
        <w:rPr>
          <w:rFonts w:ascii="Cambria" w:hAnsi="Cambria" w:cs="Arial"/>
        </w:rPr>
        <w:t>Une autre voie d’amélioration consiste à sanctuariser un certain nombre de lits et postes dédié</w:t>
      </w:r>
      <w:r>
        <w:rPr>
          <w:rFonts w:ascii="Cambria" w:hAnsi="Cambria" w:cs="Arial"/>
        </w:rPr>
        <w:t>s</w:t>
      </w:r>
      <w:r w:rsidRPr="00F00CC4">
        <w:rPr>
          <w:rFonts w:ascii="Cambria" w:hAnsi="Cambria" w:cs="Arial"/>
        </w:rPr>
        <w:t xml:space="preserve"> à cette discipline qui est aujourd’hui à saturation, pour améliorer l’offre disponible en soin d’oncologie médicale dont les chimiothérapies.</w:t>
      </w:r>
    </w:p>
    <w:p w14:paraId="43EA38C7" w14:textId="77777777" w:rsidR="00F00CC4" w:rsidRPr="00F00CC4" w:rsidRDefault="00F00CC4" w:rsidP="00F00CC4">
      <w:pPr>
        <w:pStyle w:val="NormalWeb"/>
        <w:jc w:val="both"/>
        <w:rPr>
          <w:rFonts w:ascii="Cambria" w:hAnsi="Cambria" w:cs="Arial"/>
        </w:rPr>
      </w:pPr>
      <w:r w:rsidRPr="00F00CC4">
        <w:rPr>
          <w:rFonts w:ascii="Cambria" w:hAnsi="Cambria" w:cs="Arial"/>
        </w:rPr>
        <w:t>Pour ce faire, il convient de définir des indices de besoins pour déterminer le nombre de lits ou de postes autorisables en fonction du nombre d’habitants.</w:t>
      </w:r>
    </w:p>
    <w:p w14:paraId="0B911153" w14:textId="77777777" w:rsidR="00F00CC4" w:rsidRPr="00F00CC4" w:rsidRDefault="00F00CC4" w:rsidP="00F00CC4">
      <w:pPr>
        <w:pStyle w:val="NormalWeb"/>
        <w:jc w:val="both"/>
        <w:rPr>
          <w:rFonts w:ascii="Cambria" w:hAnsi="Cambria" w:cs="Arial"/>
        </w:rPr>
      </w:pPr>
      <w:r w:rsidRPr="00F00CC4">
        <w:rPr>
          <w:rFonts w:ascii="Cambria" w:hAnsi="Cambria" w:cs="Arial"/>
        </w:rPr>
        <w:t xml:space="preserve">Pour les « </w:t>
      </w:r>
      <w:r w:rsidRPr="00F00CC4">
        <w:rPr>
          <w:rFonts w:ascii="Cambria" w:hAnsi="Cambria" w:cs="Arial"/>
          <w:i/>
        </w:rPr>
        <w:t>soins d’oncologie et chimiothérapies complexes nécessitant une hospitalisation</w:t>
      </w:r>
      <w:r w:rsidRPr="00F00CC4">
        <w:rPr>
          <w:rFonts w:ascii="Cambria" w:hAnsi="Cambria" w:cs="Arial"/>
        </w:rPr>
        <w:t xml:space="preserve"> », cet indice est fixé à 0,044 lit d’hospitalisation pour 1000 habitants, correspondants à 12 lits d’hospitalisation complète.</w:t>
      </w:r>
    </w:p>
    <w:p w14:paraId="57524743" w14:textId="77777777" w:rsidR="00F00CC4" w:rsidRPr="00F00CC4" w:rsidRDefault="00F00CC4" w:rsidP="00F00CC4">
      <w:pPr>
        <w:pStyle w:val="NormalWeb"/>
        <w:jc w:val="both"/>
        <w:rPr>
          <w:rFonts w:ascii="Cambria" w:hAnsi="Cambria" w:cs="Arial"/>
        </w:rPr>
      </w:pPr>
      <w:r w:rsidRPr="00F00CC4">
        <w:rPr>
          <w:rFonts w:ascii="Cambria" w:hAnsi="Cambria" w:cs="Arial"/>
        </w:rPr>
        <w:t xml:space="preserve">Pour les « </w:t>
      </w:r>
      <w:r w:rsidRPr="00F00CC4">
        <w:rPr>
          <w:rFonts w:ascii="Cambria" w:hAnsi="Cambria" w:cs="Arial"/>
          <w:i/>
        </w:rPr>
        <w:t>chimiothérapies d’administration simple en ambulatoire</w:t>
      </w:r>
      <w:r w:rsidRPr="00F00CC4">
        <w:rPr>
          <w:rFonts w:ascii="Cambria" w:hAnsi="Cambria" w:cs="Arial"/>
        </w:rPr>
        <w:t xml:space="preserve"> », l’indice est fixé à 0,116 postes pour 1000 habitants, correspondant à 32 postes.</w:t>
      </w:r>
    </w:p>
    <w:p w14:paraId="0A84B254" w14:textId="3D306B29" w:rsidR="00F00CC4" w:rsidRPr="00F00CC4" w:rsidRDefault="00F00CC4" w:rsidP="00F00CC4">
      <w:pPr>
        <w:pStyle w:val="NormalWeb"/>
        <w:jc w:val="both"/>
        <w:rPr>
          <w:rFonts w:ascii="Cambria" w:hAnsi="Cambria" w:cs="Arial"/>
        </w:rPr>
      </w:pPr>
      <w:r w:rsidRPr="00F00CC4">
        <w:rPr>
          <w:rFonts w:ascii="Cambria" w:hAnsi="Cambria" w:cs="Arial"/>
        </w:rPr>
        <w:t>La modification de l’arrêté du 18 septembre 2020 relatif à la carte sanitaire intègre ces nouveaux indices.</w:t>
      </w:r>
    </w:p>
    <w:bookmarkEnd w:id="49"/>
    <w:p w14:paraId="08DAA120" w14:textId="77777777" w:rsidR="00C91FD7" w:rsidRPr="00C91FD7" w:rsidRDefault="00C91FD7" w:rsidP="00C91FD7">
      <w:pPr>
        <w:pStyle w:val="NormalWeb"/>
        <w:jc w:val="both"/>
        <w:rPr>
          <w:rFonts w:ascii="Cambria" w:hAnsi="Cambria" w:cs="Arial"/>
        </w:rPr>
      </w:pPr>
    </w:p>
    <w:p w14:paraId="41F3220C" w14:textId="5452FE56" w:rsidR="00E5302D" w:rsidRPr="00D077BF" w:rsidRDefault="00E5302D" w:rsidP="00823DDA">
      <w:pPr>
        <w:pStyle w:val="Titre1"/>
      </w:pPr>
      <w:bookmarkStart w:id="50" w:name="_Toc91082778"/>
      <w:r w:rsidRPr="00D077BF">
        <w:t>- MEA-</w:t>
      </w:r>
      <w:bookmarkEnd w:id="50"/>
    </w:p>
    <w:p w14:paraId="6A24271D" w14:textId="6F19D261" w:rsidR="00CC4CA2" w:rsidRDefault="00CC4CA2" w:rsidP="00E5302D">
      <w:pPr>
        <w:rPr>
          <w:rFonts w:ascii="Cambria" w:hAnsi="Cambria"/>
        </w:rPr>
      </w:pPr>
    </w:p>
    <w:p w14:paraId="4CA8BF0F" w14:textId="77777777" w:rsidR="00913F5E" w:rsidRPr="00D077BF" w:rsidRDefault="00913F5E" w:rsidP="00E5302D">
      <w:pPr>
        <w:rPr>
          <w:rFonts w:ascii="Cambria" w:hAnsi="Cambria"/>
        </w:rPr>
      </w:pPr>
    </w:p>
    <w:p w14:paraId="56C81D9B" w14:textId="2F22D2B7" w:rsidR="00FA019E" w:rsidRPr="00D077BF" w:rsidRDefault="00FA019E" w:rsidP="00FA019E">
      <w:pPr>
        <w:pStyle w:val="Titre2"/>
        <w:rPr>
          <w:rFonts w:eastAsia="Times New Roman"/>
          <w:lang w:eastAsia="fr-FR"/>
        </w:rPr>
      </w:pPr>
      <w:bookmarkStart w:id="51" w:name="_Hlk89770824"/>
      <w:bookmarkStart w:id="52" w:name="_Hlk90370935"/>
      <w:bookmarkStart w:id="53" w:name="_Hlk90970348"/>
      <w:bookmarkStart w:id="54" w:name="_Toc91082779"/>
      <w:r w:rsidRPr="00D077BF">
        <w:rPr>
          <w:rFonts w:eastAsia="Times New Roman"/>
          <w:lang w:eastAsia="fr-FR"/>
        </w:rPr>
        <w:t>Subventions aux établissements scolaires</w:t>
      </w:r>
      <w:bookmarkEnd w:id="54"/>
    </w:p>
    <w:p w14:paraId="65FA7831" w14:textId="77777777" w:rsidR="00A54203" w:rsidRPr="00D077BF" w:rsidRDefault="00A54203" w:rsidP="00A54203">
      <w:pPr>
        <w:rPr>
          <w:rFonts w:ascii="Cambria" w:hAnsi="Cambria"/>
          <w:lang w:eastAsia="fr-FR"/>
        </w:rPr>
      </w:pPr>
    </w:p>
    <w:bookmarkEnd w:id="51"/>
    <w:bookmarkEnd w:id="52"/>
    <w:p w14:paraId="10874084" w14:textId="3D4EBCF6" w:rsidR="00F86901" w:rsidRPr="00D077BF" w:rsidRDefault="00F86901" w:rsidP="00F86901">
      <w:pPr>
        <w:jc w:val="both"/>
        <w:rPr>
          <w:rFonts w:ascii="Cambria" w:hAnsi="Cambria"/>
          <w:lang w:eastAsia="fr-FR"/>
        </w:rPr>
      </w:pPr>
      <w:r w:rsidRPr="00D077BF">
        <w:rPr>
          <w:rFonts w:ascii="Cambria" w:hAnsi="Cambria"/>
          <w:lang w:eastAsia="fr-FR"/>
        </w:rPr>
        <w:t xml:space="preserve">Sur proposition de la ministre de l’Éducation, le Conseil des ministres a adopté l’octroi de subventions </w:t>
      </w:r>
      <w:r>
        <w:rPr>
          <w:rFonts w:ascii="Cambria" w:hAnsi="Cambria"/>
          <w:lang w:eastAsia="fr-FR"/>
        </w:rPr>
        <w:t xml:space="preserve">de fonctionnement </w:t>
      </w:r>
      <w:r w:rsidRPr="00D077BF">
        <w:rPr>
          <w:rFonts w:ascii="Cambria" w:hAnsi="Cambria"/>
          <w:lang w:eastAsia="fr-FR"/>
        </w:rPr>
        <w:t>pour un montant total de</w:t>
      </w:r>
      <w:r>
        <w:rPr>
          <w:rFonts w:ascii="Cambria" w:hAnsi="Cambria"/>
          <w:lang w:eastAsia="fr-FR"/>
        </w:rPr>
        <w:t xml:space="preserve"> 5 708 349 </w:t>
      </w:r>
      <w:r w:rsidRPr="00D077BF">
        <w:rPr>
          <w:rFonts w:ascii="Cambria" w:hAnsi="Cambria"/>
          <w:lang w:eastAsia="fr-FR"/>
        </w:rPr>
        <w:t xml:space="preserve">Fcfp en faveur de </w:t>
      </w:r>
      <w:r>
        <w:rPr>
          <w:rFonts w:ascii="Cambria" w:hAnsi="Cambria"/>
          <w:lang w:eastAsia="fr-FR"/>
        </w:rPr>
        <w:t>6</w:t>
      </w:r>
      <w:r w:rsidRPr="00D077BF">
        <w:rPr>
          <w:rFonts w:ascii="Cambria" w:hAnsi="Cambria"/>
          <w:lang w:eastAsia="fr-FR"/>
        </w:rPr>
        <w:t xml:space="preserve"> établissements publics d’enseignement de la Polynésie française. Il a ainsi été décidé d’octroyer les subventions comme suit :</w:t>
      </w:r>
    </w:p>
    <w:p w14:paraId="2FC2D249" w14:textId="77777777" w:rsidR="00F86901" w:rsidRPr="00D077BF" w:rsidRDefault="00F86901" w:rsidP="00F86901">
      <w:pPr>
        <w:jc w:val="both"/>
        <w:rPr>
          <w:rFonts w:ascii="Cambria" w:hAnsi="Cambria"/>
          <w:lang w:eastAsia="fr-FR"/>
        </w:rPr>
      </w:pPr>
    </w:p>
    <w:tbl>
      <w:tblPr>
        <w:tblStyle w:val="Grilledutableau"/>
        <w:tblW w:w="0" w:type="auto"/>
        <w:tblLook w:val="04A0" w:firstRow="1" w:lastRow="0" w:firstColumn="1" w:lastColumn="0" w:noHBand="0" w:noVBand="1"/>
      </w:tblPr>
      <w:tblGrid>
        <w:gridCol w:w="4531"/>
        <w:gridCol w:w="4531"/>
      </w:tblGrid>
      <w:tr w:rsidR="00F86901" w:rsidRPr="00D077BF" w14:paraId="78FE6297" w14:textId="77777777" w:rsidTr="00031CFB">
        <w:tc>
          <w:tcPr>
            <w:tcW w:w="4531" w:type="dxa"/>
          </w:tcPr>
          <w:p w14:paraId="6009F530" w14:textId="77777777" w:rsidR="00F86901" w:rsidRPr="00910540" w:rsidRDefault="00F86901" w:rsidP="00031CFB">
            <w:pPr>
              <w:rPr>
                <w:rFonts w:ascii="Cambria" w:hAnsi="Cambria"/>
                <w:b/>
                <w:bCs/>
                <w:sz w:val="22"/>
                <w:szCs w:val="22"/>
                <w:lang w:eastAsia="fr-FR"/>
              </w:rPr>
            </w:pPr>
            <w:r w:rsidRPr="00910540">
              <w:rPr>
                <w:rFonts w:ascii="Cambria" w:hAnsi="Cambria"/>
                <w:b/>
                <w:bCs/>
                <w:sz w:val="22"/>
                <w:szCs w:val="22"/>
                <w:lang w:eastAsia="fr-FR"/>
              </w:rPr>
              <w:t>Etablissements scolaires</w:t>
            </w:r>
          </w:p>
        </w:tc>
        <w:tc>
          <w:tcPr>
            <w:tcW w:w="4531" w:type="dxa"/>
          </w:tcPr>
          <w:p w14:paraId="791014E4" w14:textId="77777777" w:rsidR="00F86901" w:rsidRPr="00910540" w:rsidRDefault="00F86901" w:rsidP="00031CFB">
            <w:pPr>
              <w:jc w:val="center"/>
              <w:rPr>
                <w:rFonts w:ascii="Cambria" w:hAnsi="Cambria"/>
                <w:b/>
                <w:bCs/>
                <w:sz w:val="22"/>
                <w:szCs w:val="22"/>
                <w:lang w:eastAsia="fr-FR"/>
              </w:rPr>
            </w:pPr>
            <w:r w:rsidRPr="00910540">
              <w:rPr>
                <w:rFonts w:ascii="Cambria" w:hAnsi="Cambria"/>
                <w:b/>
                <w:bCs/>
                <w:sz w:val="22"/>
                <w:szCs w:val="22"/>
                <w:lang w:eastAsia="fr-FR"/>
              </w:rPr>
              <w:t>Subventions</w:t>
            </w:r>
          </w:p>
        </w:tc>
      </w:tr>
      <w:tr w:rsidR="00F86901" w:rsidRPr="00D077BF" w14:paraId="2848EEDC" w14:textId="77777777" w:rsidTr="00031CFB">
        <w:tc>
          <w:tcPr>
            <w:tcW w:w="4531" w:type="dxa"/>
          </w:tcPr>
          <w:p w14:paraId="65940330" w14:textId="77777777" w:rsidR="00F86901" w:rsidRPr="00F86901" w:rsidRDefault="00F86901" w:rsidP="00031CFB">
            <w:pPr>
              <w:rPr>
                <w:rFonts w:ascii="Cambria" w:hAnsi="Cambria"/>
                <w:lang w:eastAsia="fr-FR"/>
              </w:rPr>
            </w:pPr>
            <w:r w:rsidRPr="00F86901">
              <w:rPr>
                <w:rFonts w:ascii="Cambria" w:hAnsi="Cambria"/>
                <w:lang w:eastAsia="fr-FR"/>
              </w:rPr>
              <w:t>Collège de Rangiroa</w:t>
            </w:r>
          </w:p>
          <w:p w14:paraId="52192D1F" w14:textId="04D431FC" w:rsidR="00F86901" w:rsidRPr="00F86901" w:rsidRDefault="00F86901" w:rsidP="00031CFB">
            <w:pPr>
              <w:rPr>
                <w:rFonts w:ascii="Cambria" w:hAnsi="Cambria"/>
                <w:lang w:eastAsia="fr-FR"/>
              </w:rPr>
            </w:pPr>
            <w:r w:rsidRPr="00F86901">
              <w:rPr>
                <w:rFonts w:ascii="Cambria" w:hAnsi="Cambria"/>
                <w:sz w:val="20"/>
                <w:szCs w:val="20"/>
                <w:lang w:eastAsia="fr-FR"/>
              </w:rPr>
              <w:lastRenderedPageBreak/>
              <w:t>Pour financer l’étayage des bâtiments du CETAD</w:t>
            </w:r>
          </w:p>
        </w:tc>
        <w:tc>
          <w:tcPr>
            <w:tcW w:w="4531" w:type="dxa"/>
          </w:tcPr>
          <w:p w14:paraId="2AE4D841" w14:textId="4C1A7C7D" w:rsidR="00F86901" w:rsidRPr="00F86901" w:rsidRDefault="00F86901" w:rsidP="00031CFB">
            <w:pPr>
              <w:jc w:val="center"/>
              <w:rPr>
                <w:rFonts w:ascii="Cambria" w:hAnsi="Cambria"/>
                <w:lang w:eastAsia="fr-FR"/>
              </w:rPr>
            </w:pPr>
            <w:r w:rsidRPr="00F86901">
              <w:rPr>
                <w:rFonts w:ascii="Cambria" w:hAnsi="Cambria"/>
                <w:lang w:eastAsia="fr-FR"/>
              </w:rPr>
              <w:lastRenderedPageBreak/>
              <w:t>260 767 Fcfp</w:t>
            </w:r>
          </w:p>
        </w:tc>
      </w:tr>
      <w:tr w:rsidR="00F86901" w:rsidRPr="00D077BF" w14:paraId="459CE0AA" w14:textId="77777777" w:rsidTr="00031CFB">
        <w:tc>
          <w:tcPr>
            <w:tcW w:w="4531" w:type="dxa"/>
          </w:tcPr>
          <w:p w14:paraId="3BA44C0F" w14:textId="77777777" w:rsidR="00F86901" w:rsidRDefault="00F86901" w:rsidP="00031CFB">
            <w:pPr>
              <w:rPr>
                <w:rFonts w:ascii="Cambria" w:hAnsi="Cambria"/>
                <w:lang w:eastAsia="fr-FR"/>
              </w:rPr>
            </w:pPr>
            <w:r>
              <w:rPr>
                <w:rFonts w:ascii="Cambria" w:hAnsi="Cambria"/>
                <w:lang w:eastAsia="fr-FR"/>
              </w:rPr>
              <w:t>Collège de Hao</w:t>
            </w:r>
          </w:p>
          <w:p w14:paraId="11003F13" w14:textId="7B5F2286" w:rsidR="00F86901" w:rsidRPr="00F86901" w:rsidRDefault="00F86901" w:rsidP="00031CFB">
            <w:pPr>
              <w:rPr>
                <w:rFonts w:ascii="Cambria" w:hAnsi="Cambria"/>
                <w:lang w:eastAsia="fr-FR"/>
              </w:rPr>
            </w:pPr>
            <w:r w:rsidRPr="00F86901">
              <w:rPr>
                <w:rFonts w:ascii="Cambria" w:hAnsi="Cambria"/>
                <w:sz w:val="20"/>
                <w:szCs w:val="20"/>
                <w:lang w:eastAsia="fr-FR"/>
              </w:rPr>
              <w:t>Pour financer le remplacement des panneaux solaires des chauffe-eaux de l’internat</w:t>
            </w:r>
          </w:p>
        </w:tc>
        <w:tc>
          <w:tcPr>
            <w:tcW w:w="4531" w:type="dxa"/>
          </w:tcPr>
          <w:p w14:paraId="51806483" w14:textId="789D66D7" w:rsidR="00F86901" w:rsidRPr="00F86901" w:rsidRDefault="00F86901" w:rsidP="00031CFB">
            <w:pPr>
              <w:jc w:val="center"/>
              <w:rPr>
                <w:rFonts w:ascii="Cambria" w:hAnsi="Cambria"/>
                <w:lang w:eastAsia="fr-FR"/>
              </w:rPr>
            </w:pPr>
            <w:r>
              <w:rPr>
                <w:rFonts w:ascii="Cambria" w:hAnsi="Cambria"/>
                <w:lang w:eastAsia="fr-FR"/>
              </w:rPr>
              <w:t>1 741 600</w:t>
            </w:r>
            <w:r w:rsidRPr="00F86901">
              <w:rPr>
                <w:rFonts w:ascii="Cambria" w:hAnsi="Cambria"/>
                <w:lang w:eastAsia="fr-FR"/>
              </w:rPr>
              <w:t xml:space="preserve"> Fcfp</w:t>
            </w:r>
          </w:p>
        </w:tc>
      </w:tr>
      <w:tr w:rsidR="00F86901" w:rsidRPr="00D077BF" w14:paraId="4A854762" w14:textId="77777777" w:rsidTr="00031CFB">
        <w:tc>
          <w:tcPr>
            <w:tcW w:w="4531" w:type="dxa"/>
          </w:tcPr>
          <w:p w14:paraId="353F2002" w14:textId="77777777" w:rsidR="00F86901" w:rsidRDefault="00F86901" w:rsidP="00031CFB">
            <w:pPr>
              <w:rPr>
                <w:rFonts w:ascii="Cambria" w:hAnsi="Cambria"/>
                <w:lang w:eastAsia="fr-FR"/>
              </w:rPr>
            </w:pPr>
            <w:r>
              <w:rPr>
                <w:rFonts w:ascii="Cambria" w:hAnsi="Cambria"/>
                <w:lang w:eastAsia="fr-FR"/>
              </w:rPr>
              <w:t xml:space="preserve">Lycée Diadème – Te Tara O </w:t>
            </w:r>
            <w:proofErr w:type="spellStart"/>
            <w:r>
              <w:rPr>
                <w:rFonts w:ascii="Cambria" w:hAnsi="Cambria"/>
                <w:lang w:eastAsia="fr-FR"/>
              </w:rPr>
              <w:t>Maiao</w:t>
            </w:r>
            <w:proofErr w:type="spellEnd"/>
          </w:p>
          <w:p w14:paraId="2E63A2E4" w14:textId="55B3F1E9" w:rsidR="00F86901" w:rsidRPr="00F86901" w:rsidRDefault="00F86901" w:rsidP="00031CFB">
            <w:pPr>
              <w:rPr>
                <w:rFonts w:ascii="Cambria" w:hAnsi="Cambria"/>
                <w:lang w:eastAsia="fr-FR"/>
              </w:rPr>
            </w:pPr>
            <w:r w:rsidRPr="00530892">
              <w:rPr>
                <w:rFonts w:ascii="Cambria" w:hAnsi="Cambria"/>
                <w:sz w:val="20"/>
                <w:szCs w:val="20"/>
                <w:lang w:eastAsia="fr-FR"/>
              </w:rPr>
              <w:t>Pour financer la formation au brevet d’initiation à l’aéronautique (BIA)</w:t>
            </w:r>
          </w:p>
        </w:tc>
        <w:tc>
          <w:tcPr>
            <w:tcW w:w="4531" w:type="dxa"/>
          </w:tcPr>
          <w:p w14:paraId="3F6CC318" w14:textId="61AA37D7" w:rsidR="00F86901" w:rsidRPr="00F86901" w:rsidRDefault="00530892" w:rsidP="00031CFB">
            <w:pPr>
              <w:jc w:val="center"/>
              <w:rPr>
                <w:rFonts w:ascii="Cambria" w:hAnsi="Cambria"/>
                <w:lang w:eastAsia="fr-FR"/>
              </w:rPr>
            </w:pPr>
            <w:r>
              <w:rPr>
                <w:rFonts w:ascii="Cambria" w:hAnsi="Cambria"/>
                <w:lang w:eastAsia="fr-FR"/>
              </w:rPr>
              <w:t>241 290</w:t>
            </w:r>
            <w:r w:rsidR="00F86901" w:rsidRPr="00F86901">
              <w:rPr>
                <w:rFonts w:ascii="Cambria" w:hAnsi="Cambria"/>
                <w:lang w:eastAsia="fr-FR"/>
              </w:rPr>
              <w:t xml:space="preserve"> Fcfp</w:t>
            </w:r>
          </w:p>
        </w:tc>
      </w:tr>
      <w:tr w:rsidR="00F86901" w:rsidRPr="00D077BF" w14:paraId="61774D83" w14:textId="77777777" w:rsidTr="00031CFB">
        <w:tc>
          <w:tcPr>
            <w:tcW w:w="4531" w:type="dxa"/>
          </w:tcPr>
          <w:p w14:paraId="3F58AE96" w14:textId="77777777" w:rsidR="00F86901" w:rsidRDefault="00530892" w:rsidP="00031CFB">
            <w:pPr>
              <w:rPr>
                <w:rFonts w:ascii="Cambria" w:hAnsi="Cambria"/>
                <w:lang w:eastAsia="fr-FR"/>
              </w:rPr>
            </w:pPr>
            <w:r>
              <w:rPr>
                <w:rFonts w:ascii="Cambria" w:hAnsi="Cambria"/>
                <w:lang w:eastAsia="fr-FR"/>
              </w:rPr>
              <w:t>Collège de Mahina</w:t>
            </w:r>
          </w:p>
          <w:p w14:paraId="7610685E" w14:textId="5E16C74E" w:rsidR="00530892" w:rsidRPr="00F86901" w:rsidRDefault="00530892" w:rsidP="00031CFB">
            <w:pPr>
              <w:rPr>
                <w:rFonts w:ascii="Cambria" w:hAnsi="Cambria"/>
                <w:lang w:eastAsia="fr-FR"/>
              </w:rPr>
            </w:pPr>
            <w:r w:rsidRPr="00530892">
              <w:rPr>
                <w:rFonts w:ascii="Cambria" w:hAnsi="Cambria"/>
                <w:sz w:val="20"/>
                <w:szCs w:val="20"/>
                <w:lang w:eastAsia="fr-FR"/>
              </w:rPr>
              <w:t>Pour financer la prise en charge du dispositif de surveillance de baignade</w:t>
            </w:r>
          </w:p>
        </w:tc>
        <w:tc>
          <w:tcPr>
            <w:tcW w:w="4531" w:type="dxa"/>
          </w:tcPr>
          <w:p w14:paraId="6E80E252" w14:textId="14B8FB1A" w:rsidR="00F86901" w:rsidRPr="00F86901" w:rsidRDefault="00530892" w:rsidP="00031CFB">
            <w:pPr>
              <w:jc w:val="center"/>
              <w:rPr>
                <w:rFonts w:ascii="Cambria" w:hAnsi="Cambria"/>
                <w:lang w:eastAsia="fr-FR"/>
              </w:rPr>
            </w:pPr>
            <w:r>
              <w:rPr>
                <w:rFonts w:ascii="Cambria" w:hAnsi="Cambria"/>
                <w:lang w:eastAsia="fr-FR"/>
              </w:rPr>
              <w:t xml:space="preserve">600 000 </w:t>
            </w:r>
            <w:r w:rsidR="00F86901" w:rsidRPr="00F86901">
              <w:rPr>
                <w:rFonts w:ascii="Cambria" w:hAnsi="Cambria"/>
                <w:lang w:eastAsia="fr-FR"/>
              </w:rPr>
              <w:t>Fcfp</w:t>
            </w:r>
          </w:p>
        </w:tc>
      </w:tr>
      <w:tr w:rsidR="00F86901" w:rsidRPr="00D077BF" w14:paraId="66D30C9F" w14:textId="77777777" w:rsidTr="00031CFB">
        <w:tc>
          <w:tcPr>
            <w:tcW w:w="4531" w:type="dxa"/>
          </w:tcPr>
          <w:p w14:paraId="5454BE91" w14:textId="216937BD" w:rsidR="00F86901" w:rsidRDefault="00530892" w:rsidP="00031CFB">
            <w:pPr>
              <w:rPr>
                <w:rFonts w:ascii="Cambria" w:hAnsi="Cambria"/>
                <w:lang w:eastAsia="fr-FR"/>
              </w:rPr>
            </w:pPr>
            <w:r>
              <w:rPr>
                <w:rFonts w:ascii="Cambria" w:hAnsi="Cambria"/>
                <w:lang w:eastAsia="fr-FR"/>
              </w:rPr>
              <w:t>LP d’Uturoa – Raiatea</w:t>
            </w:r>
          </w:p>
          <w:p w14:paraId="38E57FD2" w14:textId="3CC87E7B" w:rsidR="00530892" w:rsidRPr="00F86901" w:rsidRDefault="00530892" w:rsidP="00031CFB">
            <w:pPr>
              <w:rPr>
                <w:rFonts w:ascii="Cambria" w:hAnsi="Cambria"/>
                <w:lang w:eastAsia="fr-FR"/>
              </w:rPr>
            </w:pPr>
            <w:r w:rsidRPr="00530892">
              <w:rPr>
                <w:rFonts w:ascii="Cambria" w:hAnsi="Cambria"/>
                <w:sz w:val="20"/>
                <w:szCs w:val="20"/>
                <w:lang w:eastAsia="fr-FR"/>
              </w:rPr>
              <w:t xml:space="preserve">Pour financer l’acquisition de mobiliers scolaires pour les nouvelles salles de classe </w:t>
            </w:r>
          </w:p>
        </w:tc>
        <w:tc>
          <w:tcPr>
            <w:tcW w:w="4531" w:type="dxa"/>
          </w:tcPr>
          <w:p w14:paraId="57655DF9" w14:textId="4CE4CEB2" w:rsidR="00F86901" w:rsidRPr="00F86901" w:rsidRDefault="00530892" w:rsidP="00031CFB">
            <w:pPr>
              <w:jc w:val="center"/>
              <w:rPr>
                <w:rFonts w:ascii="Cambria" w:hAnsi="Cambria"/>
                <w:lang w:eastAsia="fr-FR"/>
              </w:rPr>
            </w:pPr>
            <w:r>
              <w:rPr>
                <w:rFonts w:ascii="Cambria" w:hAnsi="Cambria"/>
                <w:lang w:eastAsia="fr-FR"/>
              </w:rPr>
              <w:t>2 129 648</w:t>
            </w:r>
            <w:r w:rsidR="00F86901" w:rsidRPr="00F86901">
              <w:rPr>
                <w:rFonts w:ascii="Cambria" w:hAnsi="Cambria"/>
                <w:lang w:eastAsia="fr-FR"/>
              </w:rPr>
              <w:t xml:space="preserve"> Fcfp</w:t>
            </w:r>
          </w:p>
        </w:tc>
      </w:tr>
      <w:tr w:rsidR="00F86901" w:rsidRPr="00D077BF" w14:paraId="18C5409F" w14:textId="77777777" w:rsidTr="00031CFB">
        <w:tc>
          <w:tcPr>
            <w:tcW w:w="4531" w:type="dxa"/>
          </w:tcPr>
          <w:p w14:paraId="49981092" w14:textId="0B89EC94" w:rsidR="00530892" w:rsidRPr="00F86901" w:rsidRDefault="00530892" w:rsidP="00031CFB">
            <w:pPr>
              <w:rPr>
                <w:rFonts w:ascii="Cambria" w:hAnsi="Cambria"/>
                <w:lang w:eastAsia="fr-FR"/>
              </w:rPr>
            </w:pPr>
            <w:r>
              <w:rPr>
                <w:rFonts w:ascii="Cambria" w:hAnsi="Cambria"/>
                <w:lang w:eastAsia="fr-FR"/>
              </w:rPr>
              <w:t xml:space="preserve">Collège de Punaauia                                   </w:t>
            </w:r>
            <w:r w:rsidRPr="00530892">
              <w:rPr>
                <w:rFonts w:ascii="Cambria" w:hAnsi="Cambria"/>
                <w:sz w:val="20"/>
                <w:szCs w:val="20"/>
                <w:lang w:eastAsia="fr-FR"/>
              </w:rPr>
              <w:t>Pour financer les frais de fonctionnement du centre de correction du diplôme national du brevet</w:t>
            </w:r>
          </w:p>
        </w:tc>
        <w:tc>
          <w:tcPr>
            <w:tcW w:w="4531" w:type="dxa"/>
          </w:tcPr>
          <w:p w14:paraId="69C07E96" w14:textId="28D8BCE1" w:rsidR="00F86901" w:rsidRPr="00F86901" w:rsidRDefault="00530892" w:rsidP="00031CFB">
            <w:pPr>
              <w:tabs>
                <w:tab w:val="left" w:pos="705"/>
              </w:tabs>
              <w:jc w:val="center"/>
              <w:rPr>
                <w:rFonts w:ascii="Cambria" w:hAnsi="Cambria"/>
                <w:lang w:eastAsia="fr-FR"/>
              </w:rPr>
            </w:pPr>
            <w:r>
              <w:rPr>
                <w:rFonts w:ascii="Cambria" w:hAnsi="Cambria"/>
                <w:lang w:eastAsia="fr-FR"/>
              </w:rPr>
              <w:t>735 044</w:t>
            </w:r>
            <w:r w:rsidR="00F86901" w:rsidRPr="00F86901">
              <w:rPr>
                <w:rFonts w:ascii="Cambria" w:hAnsi="Cambria"/>
                <w:lang w:eastAsia="fr-FR"/>
              </w:rPr>
              <w:t xml:space="preserve"> Fcfp</w:t>
            </w:r>
          </w:p>
        </w:tc>
      </w:tr>
      <w:tr w:rsidR="00F86901" w:rsidRPr="00D077BF" w14:paraId="23C24C0C" w14:textId="77777777" w:rsidTr="00031CFB">
        <w:tc>
          <w:tcPr>
            <w:tcW w:w="4531" w:type="dxa"/>
          </w:tcPr>
          <w:p w14:paraId="02B23D5E" w14:textId="77777777" w:rsidR="00F86901" w:rsidRPr="00910540" w:rsidRDefault="00F86901" w:rsidP="00031CFB">
            <w:pPr>
              <w:rPr>
                <w:rFonts w:ascii="Cambria" w:hAnsi="Cambria"/>
                <w:b/>
                <w:bCs/>
                <w:sz w:val="22"/>
                <w:szCs w:val="22"/>
                <w:lang w:eastAsia="fr-FR"/>
              </w:rPr>
            </w:pPr>
            <w:r w:rsidRPr="00910540">
              <w:rPr>
                <w:rFonts w:ascii="Cambria" w:hAnsi="Cambria"/>
                <w:b/>
                <w:bCs/>
                <w:sz w:val="22"/>
                <w:szCs w:val="22"/>
                <w:lang w:eastAsia="fr-FR"/>
              </w:rPr>
              <w:t>TOTAL</w:t>
            </w:r>
          </w:p>
        </w:tc>
        <w:tc>
          <w:tcPr>
            <w:tcW w:w="4531" w:type="dxa"/>
          </w:tcPr>
          <w:p w14:paraId="0AE8E5BD" w14:textId="6E49CBBA" w:rsidR="00F86901" w:rsidRPr="00910540" w:rsidRDefault="00530892" w:rsidP="00031CFB">
            <w:pPr>
              <w:jc w:val="center"/>
              <w:rPr>
                <w:rFonts w:ascii="Cambria" w:hAnsi="Cambria"/>
                <w:b/>
                <w:bCs/>
                <w:sz w:val="22"/>
                <w:szCs w:val="22"/>
                <w:lang w:eastAsia="fr-FR"/>
              </w:rPr>
            </w:pPr>
            <w:r>
              <w:rPr>
                <w:rFonts w:ascii="Cambria" w:hAnsi="Cambria"/>
                <w:b/>
                <w:bCs/>
                <w:sz w:val="22"/>
                <w:szCs w:val="22"/>
                <w:lang w:eastAsia="fr-FR"/>
              </w:rPr>
              <w:t>5 708 349</w:t>
            </w:r>
            <w:r w:rsidR="00F86901" w:rsidRPr="00910540">
              <w:rPr>
                <w:rFonts w:ascii="Cambria" w:hAnsi="Cambria"/>
                <w:b/>
                <w:bCs/>
                <w:sz w:val="22"/>
                <w:szCs w:val="22"/>
                <w:lang w:eastAsia="fr-FR"/>
              </w:rPr>
              <w:t xml:space="preserve"> Fcfp</w:t>
            </w:r>
          </w:p>
        </w:tc>
      </w:tr>
      <w:bookmarkEnd w:id="53"/>
    </w:tbl>
    <w:p w14:paraId="210088DC" w14:textId="77777777" w:rsidR="00C91FD7" w:rsidRDefault="00C91FD7" w:rsidP="00C91FD7">
      <w:pPr>
        <w:jc w:val="both"/>
        <w:rPr>
          <w:rFonts w:ascii="Cambria" w:hAnsi="Cambria"/>
          <w:lang w:eastAsia="fr-FR"/>
        </w:rPr>
      </w:pPr>
    </w:p>
    <w:p w14:paraId="1F9D0B2D" w14:textId="77777777" w:rsidR="00823DDA" w:rsidRPr="00D077BF" w:rsidRDefault="00823DDA" w:rsidP="00A54203">
      <w:pPr>
        <w:jc w:val="both"/>
        <w:rPr>
          <w:rFonts w:ascii="Cambria" w:hAnsi="Cambria"/>
          <w:lang w:eastAsia="fr-FR"/>
        </w:rPr>
      </w:pPr>
    </w:p>
    <w:p w14:paraId="17D28153" w14:textId="0AF6B938" w:rsidR="00FA019E" w:rsidRPr="00D077BF" w:rsidRDefault="00C91FD7" w:rsidP="00FA019E">
      <w:pPr>
        <w:pStyle w:val="Titre2"/>
        <w:rPr>
          <w:rFonts w:eastAsia="Times New Roman"/>
          <w:lang w:eastAsia="fr-FR"/>
        </w:rPr>
      </w:pPr>
      <w:bookmarkStart w:id="55" w:name="_Hlk90363503"/>
      <w:bookmarkStart w:id="56" w:name="_Toc91082780"/>
      <w:r>
        <w:rPr>
          <w:rFonts w:eastAsia="Times New Roman"/>
          <w:lang w:eastAsia="fr-FR"/>
        </w:rPr>
        <w:t xml:space="preserve">Subvention </w:t>
      </w:r>
      <w:r w:rsidR="00E17818">
        <w:rPr>
          <w:rFonts w:eastAsia="Times New Roman"/>
          <w:lang w:eastAsia="fr-FR"/>
        </w:rPr>
        <w:t>en faveur de l’A</w:t>
      </w:r>
      <w:r>
        <w:rPr>
          <w:rFonts w:eastAsia="Times New Roman"/>
          <w:lang w:eastAsia="fr-FR"/>
        </w:rPr>
        <w:t xml:space="preserve">ssociation </w:t>
      </w:r>
      <w:r w:rsidRPr="00E17818">
        <w:rPr>
          <w:rFonts w:eastAsia="Times New Roman"/>
          <w:i/>
          <w:iCs/>
          <w:lang w:eastAsia="fr-FR"/>
        </w:rPr>
        <w:t>Lire sous le vent</w:t>
      </w:r>
      <w:bookmarkEnd w:id="56"/>
      <w:r w:rsidR="00E17818">
        <w:rPr>
          <w:rFonts w:eastAsia="Times New Roman"/>
          <w:i/>
          <w:iCs/>
          <w:lang w:eastAsia="fr-FR"/>
        </w:rPr>
        <w:t xml:space="preserve"> </w:t>
      </w:r>
    </w:p>
    <w:p w14:paraId="2679B2AD" w14:textId="77777777" w:rsidR="003106A8" w:rsidRPr="00D077BF" w:rsidRDefault="003106A8" w:rsidP="003106A8">
      <w:pPr>
        <w:rPr>
          <w:rFonts w:ascii="Cambria" w:hAnsi="Cambria"/>
          <w:lang w:eastAsia="fr-FR"/>
        </w:rPr>
      </w:pPr>
    </w:p>
    <w:p w14:paraId="56154DEE" w14:textId="7B24F317" w:rsidR="005857BB" w:rsidRDefault="00E17818" w:rsidP="00C91FD7">
      <w:pPr>
        <w:jc w:val="both"/>
        <w:rPr>
          <w:rFonts w:ascii="Cambria" w:hAnsi="Cambria"/>
          <w:lang w:eastAsia="fr-FR"/>
        </w:rPr>
      </w:pPr>
      <w:r>
        <w:rPr>
          <w:rFonts w:ascii="Cambria" w:hAnsi="Cambria"/>
          <w:lang w:eastAsia="fr-FR"/>
        </w:rPr>
        <w:t>Sur proposition de la ministre de l’Education</w:t>
      </w:r>
      <w:r w:rsidR="0071326B">
        <w:rPr>
          <w:rFonts w:ascii="Cambria" w:hAnsi="Cambria"/>
          <w:lang w:eastAsia="fr-FR"/>
        </w:rPr>
        <w:t xml:space="preserve"> en charge du numérique, le Conseil des ministres a adopté l’octroi d’une subvention de fonctionnement </w:t>
      </w:r>
      <w:r w:rsidR="008E5B5D">
        <w:rPr>
          <w:rFonts w:ascii="Cambria" w:hAnsi="Cambria"/>
          <w:lang w:eastAsia="fr-FR"/>
        </w:rPr>
        <w:t xml:space="preserve">d’un montant de 150 000 Fcfp </w:t>
      </w:r>
      <w:r w:rsidR="0071326B">
        <w:rPr>
          <w:rFonts w:ascii="Cambria" w:hAnsi="Cambria"/>
          <w:lang w:eastAsia="fr-FR"/>
        </w:rPr>
        <w:t xml:space="preserve">en faveur de l’Association </w:t>
      </w:r>
      <w:r w:rsidR="0071326B" w:rsidRPr="0071326B">
        <w:rPr>
          <w:rFonts w:ascii="Cambria" w:hAnsi="Cambria"/>
          <w:i/>
          <w:iCs/>
          <w:lang w:eastAsia="fr-FR"/>
        </w:rPr>
        <w:t>Lire sous le vent</w:t>
      </w:r>
      <w:r w:rsidR="0071326B">
        <w:rPr>
          <w:rFonts w:ascii="Cambria" w:hAnsi="Cambria"/>
          <w:lang w:eastAsia="fr-FR"/>
        </w:rPr>
        <w:t xml:space="preserve"> pour financer l’organisation du salon du livre 2021 à Raiatea. </w:t>
      </w:r>
    </w:p>
    <w:p w14:paraId="106EDEAF" w14:textId="0861A8DC" w:rsidR="0071326B" w:rsidRDefault="0071326B" w:rsidP="00C91FD7">
      <w:pPr>
        <w:jc w:val="both"/>
        <w:rPr>
          <w:rFonts w:ascii="Cambria" w:hAnsi="Cambria"/>
          <w:lang w:eastAsia="fr-FR"/>
        </w:rPr>
      </w:pPr>
    </w:p>
    <w:p w14:paraId="069304B3" w14:textId="08A72FE5" w:rsidR="0071326B" w:rsidRDefault="0071326B" w:rsidP="0071326B">
      <w:pPr>
        <w:jc w:val="both"/>
        <w:rPr>
          <w:rFonts w:ascii="Cambria" w:hAnsi="Cambria"/>
          <w:lang w:eastAsia="fr-FR"/>
        </w:rPr>
      </w:pPr>
      <w:r w:rsidRPr="0071326B">
        <w:rPr>
          <w:rFonts w:ascii="Cambria" w:hAnsi="Cambria"/>
          <w:lang w:eastAsia="fr-FR"/>
        </w:rPr>
        <w:t>L’association lire sous le vent a été créée en 2008 et a pour but la promotion de la culture et de la lecture sur l’île de Raiatea, en partenariat avec d’autres associations et plus particulièrement avec celle des Editeurs de Tahiti (AETI).</w:t>
      </w:r>
      <w:r>
        <w:rPr>
          <w:rFonts w:ascii="Cambria" w:hAnsi="Cambria"/>
          <w:lang w:eastAsia="fr-FR"/>
        </w:rPr>
        <w:t xml:space="preserve"> </w:t>
      </w:r>
      <w:r w:rsidRPr="0071326B">
        <w:rPr>
          <w:rFonts w:ascii="Cambria" w:hAnsi="Cambria"/>
          <w:lang w:eastAsia="fr-FR"/>
        </w:rPr>
        <w:t>L’association met à la disposition des adhérents près de 10 500 ouvrages dans une bibliothèque qui est ouverte au public quatre demi-journées par semaine. Elle assure bénévolement le relais de l’AFIFO (Association du Festival International du Festival Océanien) pour la projection des films documentaires dans les établissements scolaires de Raiatea et de Tahaa et auprès du public. En novembre 2020, elle a assuré l'organisation et l’animation de l'exposition sur « </w:t>
      </w:r>
      <w:r w:rsidR="008E5B5D">
        <w:rPr>
          <w:rFonts w:ascii="Cambria" w:hAnsi="Cambria"/>
          <w:lang w:eastAsia="fr-FR"/>
        </w:rPr>
        <w:t>L</w:t>
      </w:r>
      <w:r w:rsidRPr="0071326B">
        <w:rPr>
          <w:rFonts w:ascii="Cambria" w:hAnsi="Cambria"/>
          <w:lang w:eastAsia="fr-FR"/>
        </w:rPr>
        <w:t>e temps des goélettes ».</w:t>
      </w:r>
    </w:p>
    <w:p w14:paraId="6AF3BF72" w14:textId="77777777" w:rsidR="0071326B" w:rsidRPr="0071326B" w:rsidRDefault="0071326B" w:rsidP="0071326B">
      <w:pPr>
        <w:jc w:val="both"/>
        <w:rPr>
          <w:rFonts w:ascii="Cambria" w:hAnsi="Cambria"/>
          <w:lang w:eastAsia="fr-FR"/>
        </w:rPr>
      </w:pPr>
    </w:p>
    <w:p w14:paraId="2597A5C3" w14:textId="012D58A5" w:rsidR="0071326B" w:rsidRDefault="0071326B" w:rsidP="00C91FD7">
      <w:pPr>
        <w:jc w:val="both"/>
        <w:rPr>
          <w:rFonts w:ascii="Cambria" w:hAnsi="Cambria"/>
          <w:lang w:eastAsia="fr-FR"/>
        </w:rPr>
      </w:pPr>
      <w:r w:rsidRPr="0071326B">
        <w:rPr>
          <w:rFonts w:ascii="Cambria" w:hAnsi="Cambria"/>
          <w:lang w:eastAsia="fr-FR"/>
        </w:rPr>
        <w:t xml:space="preserve">Tous les deux ans, l'association organise un salon du livre à Raiatea en partenariat avec </w:t>
      </w:r>
      <w:r>
        <w:rPr>
          <w:rFonts w:ascii="Cambria" w:hAnsi="Cambria"/>
          <w:lang w:eastAsia="fr-FR"/>
        </w:rPr>
        <w:t>l’</w:t>
      </w:r>
      <w:r w:rsidRPr="0071326B">
        <w:rPr>
          <w:rFonts w:ascii="Cambria" w:hAnsi="Cambria"/>
          <w:lang w:eastAsia="fr-FR"/>
        </w:rPr>
        <w:t>AETI. Le salon se tiendra au mois de décembre 2021 après le salon du livre de Tahiti organisé par l'AETI.</w:t>
      </w:r>
    </w:p>
    <w:p w14:paraId="7748CCBE" w14:textId="059A5A21" w:rsidR="00C91FD7" w:rsidRDefault="00C91FD7" w:rsidP="00C91FD7">
      <w:pPr>
        <w:jc w:val="both"/>
        <w:rPr>
          <w:rFonts w:ascii="Cambria" w:hAnsi="Cambria"/>
          <w:lang w:eastAsia="fr-FR"/>
        </w:rPr>
      </w:pPr>
    </w:p>
    <w:p w14:paraId="0D80687A" w14:textId="77777777" w:rsidR="00C91FD7" w:rsidRDefault="00C91FD7" w:rsidP="00C91FD7">
      <w:pPr>
        <w:jc w:val="both"/>
        <w:rPr>
          <w:rFonts w:ascii="Cambria" w:hAnsi="Cambria"/>
          <w:lang w:eastAsia="fr-FR"/>
        </w:rPr>
      </w:pPr>
    </w:p>
    <w:p w14:paraId="12CD5853" w14:textId="393A83D9" w:rsidR="00C91FD7" w:rsidRDefault="00FC2B72" w:rsidP="00C91FD7">
      <w:pPr>
        <w:pStyle w:val="Titre2"/>
        <w:rPr>
          <w:rStyle w:val="lev"/>
          <w:b/>
          <w:bCs w:val="0"/>
        </w:rPr>
      </w:pPr>
      <w:bookmarkStart w:id="57" w:name="_Hlk90969205"/>
      <w:bookmarkStart w:id="58" w:name="_Toc91082781"/>
      <w:r>
        <w:rPr>
          <w:rStyle w:val="lev"/>
          <w:b/>
          <w:bCs w:val="0"/>
        </w:rPr>
        <w:t>Dispositions diverses en matière de ressources humaines au sein de la fonction publique (projet loi du Pays)</w:t>
      </w:r>
      <w:bookmarkEnd w:id="58"/>
    </w:p>
    <w:bookmarkEnd w:id="55"/>
    <w:p w14:paraId="4DAD0DA4" w14:textId="77777777" w:rsidR="00FC2B72" w:rsidRDefault="00FC2B72" w:rsidP="00FC2B72">
      <w:pPr>
        <w:spacing w:before="100" w:beforeAutospacing="1" w:after="100" w:afterAutospacing="1"/>
        <w:jc w:val="both"/>
        <w:rPr>
          <w:rFonts w:ascii="Cambria" w:hAnsi="Cambria"/>
          <w:lang w:eastAsia="fr-FR"/>
        </w:rPr>
      </w:pPr>
      <w:r>
        <w:rPr>
          <w:rFonts w:ascii="Cambria" w:hAnsi="Cambria"/>
          <w:lang w:eastAsia="fr-FR"/>
        </w:rPr>
        <w:t>Le présent projet de loi du Pays se propose de modifier la délibération du 14 décembre 1995 modifiée, portant statut général de la fonction publique de la Polynésie française ainsi que la délibération du 22 janvier 2004 modifiée, relative aux agents non titulaires des services, des autorités administratives indépendantes et des établissements publics administratifs de la Polynésie française.</w:t>
      </w:r>
    </w:p>
    <w:p w14:paraId="02F132C9" w14:textId="77777777" w:rsidR="00FC2B72" w:rsidRDefault="00FC2B72" w:rsidP="00FC2B72">
      <w:pPr>
        <w:spacing w:before="100" w:beforeAutospacing="1" w:after="100" w:afterAutospacing="1"/>
        <w:jc w:val="both"/>
        <w:rPr>
          <w:rFonts w:ascii="Cambria" w:hAnsi="Cambria"/>
          <w:i/>
          <w:iCs/>
          <w:u w:val="single"/>
          <w:lang w:eastAsia="fr-FR"/>
        </w:rPr>
      </w:pPr>
      <w:r>
        <w:rPr>
          <w:rFonts w:ascii="Cambria" w:hAnsi="Cambria"/>
          <w:i/>
          <w:iCs/>
          <w:u w:val="single"/>
          <w:lang w:eastAsia="fr-FR"/>
        </w:rPr>
        <w:lastRenderedPageBreak/>
        <w:t>Sur la modification de la délibération du 14 décembre 1995 modifiée, portant statut général de la fonction publique de la Polynésie française :</w:t>
      </w:r>
    </w:p>
    <w:p w14:paraId="7A35F333" w14:textId="77777777" w:rsidR="00FC2B72" w:rsidRDefault="00FC2B72" w:rsidP="00FC2B72">
      <w:pPr>
        <w:spacing w:before="100" w:beforeAutospacing="1" w:after="100" w:afterAutospacing="1"/>
        <w:jc w:val="both"/>
        <w:rPr>
          <w:rFonts w:ascii="Cambria" w:hAnsi="Cambria"/>
          <w:lang w:eastAsia="fr-FR"/>
        </w:rPr>
      </w:pPr>
      <w:r>
        <w:rPr>
          <w:rFonts w:ascii="Cambria" w:hAnsi="Cambria"/>
          <w:lang w:eastAsia="fr-FR"/>
        </w:rPr>
        <w:t>Les modifications portent notamment sur :</w:t>
      </w:r>
    </w:p>
    <w:p w14:paraId="02BFF5DA" w14:textId="77777777" w:rsidR="00FC2B72" w:rsidRDefault="00FC2B72" w:rsidP="00BF30A0">
      <w:pPr>
        <w:pStyle w:val="Paragraphedeliste"/>
        <w:numPr>
          <w:ilvl w:val="0"/>
          <w:numId w:val="4"/>
        </w:numPr>
        <w:ind w:left="360"/>
        <w:rPr>
          <w:rFonts w:ascii="Cambria" w:hAnsi="Cambria"/>
          <w:lang w:eastAsia="fr-FR"/>
        </w:rPr>
      </w:pPr>
      <w:r>
        <w:rPr>
          <w:rFonts w:ascii="Cambria" w:hAnsi="Cambria"/>
          <w:lang w:eastAsia="fr-FR"/>
        </w:rPr>
        <w:t>L’ajout d’un nouveau motif de recrutement lors d’un remplacement temporaire d’un agent non titulaire indisponible en raison d’un congé de maladie, d’un congé de maternité ou d’un congé en cas d’accident du travail ou de maladie professionnelle </w:t>
      </w:r>
    </w:p>
    <w:p w14:paraId="19475C3A" w14:textId="77777777" w:rsidR="00FC2B72" w:rsidRDefault="00FC2B72" w:rsidP="00BF30A0">
      <w:pPr>
        <w:pStyle w:val="Paragraphedeliste"/>
        <w:numPr>
          <w:ilvl w:val="0"/>
          <w:numId w:val="4"/>
        </w:numPr>
        <w:ind w:left="360"/>
        <w:rPr>
          <w:rFonts w:ascii="Cambria" w:hAnsi="Cambria"/>
          <w:lang w:eastAsia="fr-FR"/>
        </w:rPr>
      </w:pPr>
      <w:r>
        <w:rPr>
          <w:rFonts w:ascii="Cambria" w:hAnsi="Cambria"/>
          <w:lang w:eastAsia="fr-FR"/>
        </w:rPr>
        <w:t xml:space="preserve">Les conditions d’intégration des fonctionnaires relevant d’une fonction publique différente de celle de la Polynésie française au sein de la République française, en position de détachement auprès de la Polynésie française </w:t>
      </w:r>
    </w:p>
    <w:p w14:paraId="61A9E11B" w14:textId="77777777" w:rsidR="00FC2B72" w:rsidRDefault="00FC2B72" w:rsidP="00BF30A0">
      <w:pPr>
        <w:pStyle w:val="Paragraphedeliste"/>
        <w:numPr>
          <w:ilvl w:val="0"/>
          <w:numId w:val="4"/>
        </w:numPr>
        <w:ind w:left="360"/>
        <w:rPr>
          <w:rFonts w:ascii="Cambria" w:hAnsi="Cambria"/>
          <w:lang w:eastAsia="fr-FR"/>
        </w:rPr>
      </w:pPr>
      <w:r>
        <w:rPr>
          <w:rFonts w:ascii="Cambria" w:hAnsi="Cambria"/>
          <w:lang w:eastAsia="fr-FR"/>
        </w:rPr>
        <w:t>Le cadre réglementaire du reclassement pour inaptitude physique des fonctionnaires titulaires</w:t>
      </w:r>
    </w:p>
    <w:p w14:paraId="4D2DB6F4" w14:textId="77777777" w:rsidR="00FC2B72" w:rsidRDefault="00FC2B72" w:rsidP="00FC2B72">
      <w:pPr>
        <w:rPr>
          <w:rFonts w:ascii="Cambria" w:eastAsiaTheme="minorHAnsi" w:hAnsi="Cambria"/>
          <w:lang w:eastAsia="fr-FR"/>
        </w:rPr>
      </w:pPr>
    </w:p>
    <w:p w14:paraId="6DD088ED" w14:textId="77777777" w:rsidR="00FC2B72" w:rsidRDefault="00FC2B72" w:rsidP="00FC2B72">
      <w:pPr>
        <w:rPr>
          <w:rFonts w:ascii="Cambria" w:hAnsi="Cambria"/>
          <w:i/>
          <w:iCs/>
          <w:u w:val="single"/>
          <w:lang w:eastAsia="fr-FR"/>
        </w:rPr>
      </w:pPr>
      <w:r>
        <w:rPr>
          <w:rFonts w:ascii="Cambria" w:hAnsi="Cambria"/>
          <w:i/>
          <w:iCs/>
          <w:u w:val="single"/>
          <w:lang w:eastAsia="fr-FR"/>
        </w:rPr>
        <w:t>Sur la modification de la délibération du 22 janvier 2004 modifiée, relative aux agents non titulaires des services, des autorités administratives indépendantes et des établissements publics administratifs de la Polynésie française :</w:t>
      </w:r>
    </w:p>
    <w:p w14:paraId="7421E794" w14:textId="77777777" w:rsidR="00FC2B72" w:rsidRDefault="00FC2B72" w:rsidP="00FC2B72">
      <w:pPr>
        <w:spacing w:before="100" w:beforeAutospacing="1" w:after="100" w:afterAutospacing="1"/>
        <w:jc w:val="both"/>
        <w:rPr>
          <w:rFonts w:ascii="Cambria" w:hAnsi="Cambria"/>
          <w:lang w:eastAsia="fr-FR"/>
        </w:rPr>
      </w:pPr>
      <w:r>
        <w:rPr>
          <w:rFonts w:ascii="Cambria" w:hAnsi="Cambria"/>
          <w:lang w:eastAsia="fr-FR"/>
        </w:rPr>
        <w:t>Les modifications portent notamment sur :</w:t>
      </w:r>
    </w:p>
    <w:p w14:paraId="53BDFFCB" w14:textId="3255B0B2" w:rsidR="00FC2B72" w:rsidRDefault="00FC2B72" w:rsidP="00BF30A0">
      <w:pPr>
        <w:pStyle w:val="Paragraphedeliste"/>
        <w:numPr>
          <w:ilvl w:val="0"/>
          <w:numId w:val="5"/>
        </w:numPr>
        <w:spacing w:before="100" w:beforeAutospacing="1" w:after="100" w:afterAutospacing="1"/>
        <w:ind w:left="360"/>
        <w:jc w:val="both"/>
        <w:rPr>
          <w:rFonts w:ascii="Cambria" w:hAnsi="Cambria"/>
          <w:lang w:eastAsia="fr-FR"/>
        </w:rPr>
      </w:pPr>
      <w:r>
        <w:rPr>
          <w:rFonts w:ascii="Cambria" w:hAnsi="Cambria"/>
          <w:lang w:eastAsia="fr-FR"/>
        </w:rPr>
        <w:t xml:space="preserve">La durée de recrutement dans le cadre d’un projet d’investissement passant de 3 ans à 6 ans. La durée cumulée de tous les recrutements ne doit pas dépasser </w:t>
      </w:r>
      <w:r w:rsidR="009803AB">
        <w:rPr>
          <w:rFonts w:ascii="Cambria" w:hAnsi="Cambria"/>
          <w:lang w:eastAsia="fr-FR"/>
        </w:rPr>
        <w:t>6</w:t>
      </w:r>
      <w:r>
        <w:rPr>
          <w:rFonts w:ascii="Cambria" w:hAnsi="Cambria"/>
          <w:lang w:eastAsia="fr-FR"/>
        </w:rPr>
        <w:t xml:space="preserve"> ans. </w:t>
      </w:r>
    </w:p>
    <w:p w14:paraId="3B0ADF4B" w14:textId="77777777" w:rsidR="00FC2B72" w:rsidRDefault="00FC2B72" w:rsidP="00BF30A0">
      <w:pPr>
        <w:pStyle w:val="Paragraphedeliste"/>
        <w:numPr>
          <w:ilvl w:val="0"/>
          <w:numId w:val="6"/>
        </w:numPr>
        <w:ind w:left="360"/>
        <w:rPr>
          <w:rFonts w:ascii="Cambria" w:hAnsi="Cambria"/>
          <w:lang w:eastAsia="fr-FR"/>
        </w:rPr>
      </w:pPr>
      <w:r>
        <w:rPr>
          <w:rFonts w:ascii="Cambria" w:hAnsi="Cambria"/>
          <w:lang w:eastAsia="fr-FR"/>
        </w:rPr>
        <w:t>L’insertion d’une durée de recrutement (dans le cadre d’un remplacement temporaire d’un agent non titulaire indisponible en raison d’un congé de maladie, d’un congé de maternité ou d’un congé en cas d’accident du travail ou de maladie professionnelle) limitée à la durée de l’indisponibilité de l’agent. La durée cumulée de tous les recrutements ne dépasse pas un an.</w:t>
      </w:r>
    </w:p>
    <w:p w14:paraId="2B252434" w14:textId="77777777" w:rsidR="00FC2B72" w:rsidRDefault="00FC2B72" w:rsidP="00BF30A0">
      <w:pPr>
        <w:pStyle w:val="Paragraphedeliste"/>
        <w:numPr>
          <w:ilvl w:val="0"/>
          <w:numId w:val="6"/>
        </w:numPr>
        <w:spacing w:before="100" w:beforeAutospacing="1" w:after="100" w:afterAutospacing="1"/>
        <w:ind w:left="360"/>
        <w:jc w:val="both"/>
        <w:rPr>
          <w:rFonts w:ascii="Cambria" w:hAnsi="Cambria"/>
          <w:lang w:eastAsia="fr-FR"/>
        </w:rPr>
      </w:pPr>
      <w:r>
        <w:rPr>
          <w:rFonts w:ascii="Cambria" w:hAnsi="Cambria"/>
          <w:lang w:eastAsia="fr-FR"/>
        </w:rPr>
        <w:t>Une correction d’ordre rédactionnel en remplaçant les mots « </w:t>
      </w:r>
      <w:r>
        <w:rPr>
          <w:rFonts w:ascii="Cambria" w:hAnsi="Cambria"/>
          <w:i/>
          <w:iCs/>
          <w:lang w:eastAsia="fr-FR"/>
        </w:rPr>
        <w:t>à temps partiel</w:t>
      </w:r>
      <w:r>
        <w:rPr>
          <w:rFonts w:ascii="Cambria" w:hAnsi="Cambria"/>
          <w:lang w:eastAsia="fr-FR"/>
        </w:rPr>
        <w:t> » par les mots « </w:t>
      </w:r>
      <w:r>
        <w:rPr>
          <w:rFonts w:ascii="Cambria" w:hAnsi="Cambria"/>
          <w:i/>
          <w:iCs/>
          <w:lang w:eastAsia="fr-FR"/>
        </w:rPr>
        <w:t>à temps non complet</w:t>
      </w:r>
      <w:r>
        <w:rPr>
          <w:rFonts w:ascii="Cambria" w:hAnsi="Cambria"/>
          <w:lang w:eastAsia="fr-FR"/>
        </w:rPr>
        <w:t> » pour harmoniser les dispositions liées aux recrutements des agents non titulaires.</w:t>
      </w:r>
    </w:p>
    <w:p w14:paraId="25C41D64" w14:textId="39FDD78C" w:rsidR="00FC2B72" w:rsidRDefault="00FC2B72" w:rsidP="00FC2B72">
      <w:pPr>
        <w:spacing w:before="100" w:beforeAutospacing="1" w:after="100" w:afterAutospacing="1"/>
        <w:jc w:val="both"/>
        <w:rPr>
          <w:rFonts w:ascii="Cambria" w:hAnsi="Cambria"/>
          <w:lang w:eastAsia="fr-FR"/>
        </w:rPr>
      </w:pPr>
      <w:r>
        <w:rPr>
          <w:rFonts w:ascii="Cambria" w:hAnsi="Cambria"/>
          <w:lang w:eastAsia="fr-FR"/>
        </w:rPr>
        <w:t>Le conseil supérieur de la fonction publique de la Polynésie française, dans sa séance du 26 octobre dernier, a émis un avis favorable sur ce projet de texte.</w:t>
      </w:r>
    </w:p>
    <w:p w14:paraId="5A42EC66" w14:textId="77777777" w:rsidR="00913F5E" w:rsidRDefault="00913F5E" w:rsidP="00FC2B72">
      <w:pPr>
        <w:spacing w:before="100" w:beforeAutospacing="1" w:after="100" w:afterAutospacing="1"/>
        <w:jc w:val="both"/>
        <w:rPr>
          <w:rFonts w:ascii="Cambria" w:eastAsiaTheme="minorHAnsi" w:hAnsi="Cambria"/>
          <w:lang w:eastAsia="fr-FR"/>
        </w:rPr>
      </w:pPr>
    </w:p>
    <w:bookmarkEnd w:id="57"/>
    <w:p w14:paraId="6BAA1A6E" w14:textId="156C7CAC" w:rsidR="004E0E1A" w:rsidRPr="00D077BF" w:rsidRDefault="004E0E1A" w:rsidP="00F145AE">
      <w:pPr>
        <w:spacing w:before="100" w:beforeAutospacing="1" w:after="100" w:afterAutospacing="1"/>
        <w:jc w:val="center"/>
        <w:rPr>
          <w:rFonts w:ascii="Cambria" w:hAnsi="Cambria"/>
          <w:lang w:eastAsia="fr-FR"/>
        </w:rPr>
      </w:pPr>
      <w:r w:rsidRPr="00D077BF">
        <w:rPr>
          <w:rFonts w:ascii="Cambria" w:hAnsi="Cambria"/>
        </w:rPr>
        <w:t>-o-o-o-o-o-</w:t>
      </w:r>
    </w:p>
    <w:sectPr w:rsidR="004E0E1A" w:rsidRPr="00D077BF" w:rsidSect="00F80F49">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B1A3" w14:textId="77777777" w:rsidR="0047173C" w:rsidRDefault="0047173C" w:rsidP="000946F2">
      <w:r>
        <w:separator/>
      </w:r>
    </w:p>
  </w:endnote>
  <w:endnote w:type="continuationSeparator" w:id="0">
    <w:p w14:paraId="736B38A6" w14:textId="77777777" w:rsidR="0047173C" w:rsidRDefault="0047173C"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b/>
        <w:bCs/>
        <w:sz w:val="20"/>
        <w:szCs w:val="20"/>
      </w:rPr>
      <w:id w:val="-61563272"/>
      <w:docPartObj>
        <w:docPartGallery w:val="Page Numbers (Bottom of Page)"/>
        <w:docPartUnique/>
      </w:docPartObj>
    </w:sdtPr>
    <w:sdtEndPr/>
    <w:sdtContent>
      <w:p w14:paraId="0A6CE67B" w14:textId="4266D5F5" w:rsidR="00261AEC" w:rsidRPr="00261AEC" w:rsidRDefault="00261AEC">
        <w:pPr>
          <w:pStyle w:val="Pieddepage"/>
          <w:jc w:val="center"/>
          <w:rPr>
            <w:rFonts w:ascii="Cambria" w:hAnsi="Cambria"/>
            <w:b/>
            <w:bCs/>
            <w:sz w:val="20"/>
            <w:szCs w:val="20"/>
          </w:rPr>
        </w:pPr>
        <w:r w:rsidRPr="00261AEC">
          <w:rPr>
            <w:rFonts w:ascii="Cambria" w:hAnsi="Cambria"/>
            <w:b/>
            <w:bCs/>
            <w:sz w:val="20"/>
            <w:szCs w:val="20"/>
          </w:rPr>
          <w:fldChar w:fldCharType="begin"/>
        </w:r>
        <w:r w:rsidRPr="00261AEC">
          <w:rPr>
            <w:rFonts w:ascii="Cambria" w:hAnsi="Cambria"/>
            <w:b/>
            <w:bCs/>
            <w:sz w:val="20"/>
            <w:szCs w:val="20"/>
          </w:rPr>
          <w:instrText>PAGE   \* MERGEFORMAT</w:instrText>
        </w:r>
        <w:r w:rsidRPr="00261AEC">
          <w:rPr>
            <w:rFonts w:ascii="Cambria" w:hAnsi="Cambria"/>
            <w:b/>
            <w:bCs/>
            <w:sz w:val="20"/>
            <w:szCs w:val="20"/>
          </w:rPr>
          <w:fldChar w:fldCharType="separate"/>
        </w:r>
        <w:r w:rsidRPr="00261AEC">
          <w:rPr>
            <w:rFonts w:ascii="Cambria" w:hAnsi="Cambria"/>
            <w:b/>
            <w:bCs/>
            <w:sz w:val="20"/>
            <w:szCs w:val="20"/>
          </w:rPr>
          <w:t>2</w:t>
        </w:r>
        <w:r w:rsidRPr="00261AEC">
          <w:rPr>
            <w:rFonts w:ascii="Cambria" w:hAnsi="Cambria"/>
            <w:b/>
            <w:bCs/>
            <w:sz w:val="20"/>
            <w:szCs w:val="20"/>
          </w:rPr>
          <w:fldChar w:fldCharType="end"/>
        </w:r>
      </w:p>
    </w:sdtContent>
  </w:sdt>
  <w:p w14:paraId="681CA0A1" w14:textId="77777777" w:rsidR="00261AEC" w:rsidRDefault="00261A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8D03" w14:textId="77777777" w:rsidR="0047173C" w:rsidRDefault="0047173C" w:rsidP="000946F2">
      <w:r>
        <w:separator/>
      </w:r>
    </w:p>
  </w:footnote>
  <w:footnote w:type="continuationSeparator" w:id="0">
    <w:p w14:paraId="0AB5EF39" w14:textId="77777777" w:rsidR="0047173C" w:rsidRDefault="0047173C" w:rsidP="0009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33D"/>
    <w:multiLevelType w:val="hybridMultilevel"/>
    <w:tmpl w:val="0930C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14C9D"/>
    <w:multiLevelType w:val="hybridMultilevel"/>
    <w:tmpl w:val="9FA4F1EE"/>
    <w:lvl w:ilvl="0" w:tplc="040C0001">
      <w:start w:val="1"/>
      <w:numFmt w:val="bullet"/>
      <w:lvlText w:val=""/>
      <w:lvlJc w:val="left"/>
      <w:pPr>
        <w:ind w:left="720" w:hanging="360"/>
      </w:pPr>
      <w:rPr>
        <w:rFonts w:ascii="Symbol" w:hAnsi="Symbol" w:hint="default"/>
      </w:rPr>
    </w:lvl>
    <w:lvl w:ilvl="1" w:tplc="FAC0396A">
      <w:numFmt w:val="bullet"/>
      <w:lvlText w:val="-"/>
      <w:lvlJc w:val="left"/>
      <w:pPr>
        <w:ind w:left="1440" w:hanging="360"/>
      </w:pPr>
      <w:rPr>
        <w:rFonts w:ascii="Cambria" w:eastAsia="Times New Roman" w:hAnsi="Cambri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232FB"/>
    <w:multiLevelType w:val="hybridMultilevel"/>
    <w:tmpl w:val="8FD8F4D6"/>
    <w:lvl w:ilvl="0" w:tplc="3FBEC834">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658A9"/>
    <w:multiLevelType w:val="hybridMultilevel"/>
    <w:tmpl w:val="2A8C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69242E"/>
    <w:multiLevelType w:val="hybridMultilevel"/>
    <w:tmpl w:val="3F74C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165F2C"/>
    <w:multiLevelType w:val="hybridMultilevel"/>
    <w:tmpl w:val="AE568E1E"/>
    <w:lvl w:ilvl="0" w:tplc="FAC0396A">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15:restartNumberingAfterBreak="0">
    <w:nsid w:val="39C743BF"/>
    <w:multiLevelType w:val="hybridMultilevel"/>
    <w:tmpl w:val="95DA3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7F375D"/>
    <w:multiLevelType w:val="hybridMultilevel"/>
    <w:tmpl w:val="AAA89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EF2545"/>
    <w:multiLevelType w:val="hybridMultilevel"/>
    <w:tmpl w:val="08980E0A"/>
    <w:lvl w:ilvl="0" w:tplc="FAC0396A">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541B26"/>
    <w:multiLevelType w:val="hybridMultilevel"/>
    <w:tmpl w:val="7C16C21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2"/>
  </w:num>
  <w:num w:numId="3">
    <w:abstractNumId w:val="7"/>
  </w:num>
  <w:num w:numId="4">
    <w:abstractNumId w:val="0"/>
  </w:num>
  <w:num w:numId="5">
    <w:abstractNumId w:val="3"/>
  </w:num>
  <w:num w:numId="6">
    <w:abstractNumId w:val="4"/>
  </w:num>
  <w:num w:numId="7">
    <w:abstractNumId w:val="8"/>
  </w:num>
  <w:num w:numId="8">
    <w:abstractNumId w:val="1"/>
  </w:num>
  <w:num w:numId="9">
    <w:abstractNumId w:val="5"/>
  </w:num>
  <w:num w:numId="10">
    <w:abstractNumId w:val="9"/>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46C9"/>
    <w:rsid w:val="0000644B"/>
    <w:rsid w:val="00025904"/>
    <w:rsid w:val="00033BA7"/>
    <w:rsid w:val="000360F8"/>
    <w:rsid w:val="0003620E"/>
    <w:rsid w:val="00041F07"/>
    <w:rsid w:val="0004791C"/>
    <w:rsid w:val="00057D09"/>
    <w:rsid w:val="0006201F"/>
    <w:rsid w:val="00062B2E"/>
    <w:rsid w:val="00067B39"/>
    <w:rsid w:val="00071734"/>
    <w:rsid w:val="00073530"/>
    <w:rsid w:val="000818AF"/>
    <w:rsid w:val="000940D6"/>
    <w:rsid w:val="000946F2"/>
    <w:rsid w:val="00094C9A"/>
    <w:rsid w:val="000962B2"/>
    <w:rsid w:val="000979C6"/>
    <w:rsid w:val="00097EB2"/>
    <w:rsid w:val="000A1085"/>
    <w:rsid w:val="000A73B9"/>
    <w:rsid w:val="000B007B"/>
    <w:rsid w:val="000B0CD2"/>
    <w:rsid w:val="000B1686"/>
    <w:rsid w:val="000B406E"/>
    <w:rsid w:val="000B611A"/>
    <w:rsid w:val="000C153E"/>
    <w:rsid w:val="000C3358"/>
    <w:rsid w:val="000C64AB"/>
    <w:rsid w:val="000C6E4A"/>
    <w:rsid w:val="000C6F38"/>
    <w:rsid w:val="000C796A"/>
    <w:rsid w:val="001019EF"/>
    <w:rsid w:val="0010365C"/>
    <w:rsid w:val="00104462"/>
    <w:rsid w:val="00113B9D"/>
    <w:rsid w:val="001148FC"/>
    <w:rsid w:val="00116BB3"/>
    <w:rsid w:val="001208B6"/>
    <w:rsid w:val="00124E3A"/>
    <w:rsid w:val="00132DC3"/>
    <w:rsid w:val="001369DE"/>
    <w:rsid w:val="00147531"/>
    <w:rsid w:val="001514F8"/>
    <w:rsid w:val="001560E0"/>
    <w:rsid w:val="0015732A"/>
    <w:rsid w:val="00157387"/>
    <w:rsid w:val="001657A7"/>
    <w:rsid w:val="001665CC"/>
    <w:rsid w:val="0016681B"/>
    <w:rsid w:val="0016701F"/>
    <w:rsid w:val="00176E9A"/>
    <w:rsid w:val="00177182"/>
    <w:rsid w:val="001778CF"/>
    <w:rsid w:val="00184AD7"/>
    <w:rsid w:val="00186BC7"/>
    <w:rsid w:val="00193BE7"/>
    <w:rsid w:val="00197F24"/>
    <w:rsid w:val="001B02CA"/>
    <w:rsid w:val="001B0339"/>
    <w:rsid w:val="001B24F9"/>
    <w:rsid w:val="001B4ED0"/>
    <w:rsid w:val="001B6B39"/>
    <w:rsid w:val="001B7690"/>
    <w:rsid w:val="001C4C61"/>
    <w:rsid w:val="001D31AB"/>
    <w:rsid w:val="001D3A8C"/>
    <w:rsid w:val="001D405C"/>
    <w:rsid w:val="001E0FD2"/>
    <w:rsid w:val="001E591D"/>
    <w:rsid w:val="001E78C9"/>
    <w:rsid w:val="00201254"/>
    <w:rsid w:val="00203E06"/>
    <w:rsid w:val="00210E8E"/>
    <w:rsid w:val="00211E34"/>
    <w:rsid w:val="0021263D"/>
    <w:rsid w:val="00222F7A"/>
    <w:rsid w:val="0022651E"/>
    <w:rsid w:val="00226F02"/>
    <w:rsid w:val="00230129"/>
    <w:rsid w:val="002360B8"/>
    <w:rsid w:val="00241E36"/>
    <w:rsid w:val="00250361"/>
    <w:rsid w:val="00250B73"/>
    <w:rsid w:val="002549DC"/>
    <w:rsid w:val="002555A6"/>
    <w:rsid w:val="002558FB"/>
    <w:rsid w:val="00255C6C"/>
    <w:rsid w:val="0026113A"/>
    <w:rsid w:val="00261AEC"/>
    <w:rsid w:val="002704F4"/>
    <w:rsid w:val="00276DCA"/>
    <w:rsid w:val="002864E3"/>
    <w:rsid w:val="00291700"/>
    <w:rsid w:val="0029423B"/>
    <w:rsid w:val="002943B2"/>
    <w:rsid w:val="002A1652"/>
    <w:rsid w:val="002A55AB"/>
    <w:rsid w:val="002B1886"/>
    <w:rsid w:val="002B1EDC"/>
    <w:rsid w:val="002B714B"/>
    <w:rsid w:val="002C02AC"/>
    <w:rsid w:val="002C1FE2"/>
    <w:rsid w:val="002D3604"/>
    <w:rsid w:val="002D5B83"/>
    <w:rsid w:val="002D6D5D"/>
    <w:rsid w:val="002E696E"/>
    <w:rsid w:val="002F197D"/>
    <w:rsid w:val="002F5174"/>
    <w:rsid w:val="00300FE6"/>
    <w:rsid w:val="003016CD"/>
    <w:rsid w:val="003019E6"/>
    <w:rsid w:val="00303636"/>
    <w:rsid w:val="00303F47"/>
    <w:rsid w:val="003045DB"/>
    <w:rsid w:val="003059B1"/>
    <w:rsid w:val="00307E1D"/>
    <w:rsid w:val="003106A8"/>
    <w:rsid w:val="00314196"/>
    <w:rsid w:val="00314BDE"/>
    <w:rsid w:val="00315E2C"/>
    <w:rsid w:val="0031620D"/>
    <w:rsid w:val="00317C66"/>
    <w:rsid w:val="003229A6"/>
    <w:rsid w:val="00324018"/>
    <w:rsid w:val="00331E05"/>
    <w:rsid w:val="00333CE8"/>
    <w:rsid w:val="0033485E"/>
    <w:rsid w:val="003358A4"/>
    <w:rsid w:val="00335BEC"/>
    <w:rsid w:val="00336845"/>
    <w:rsid w:val="00343E2F"/>
    <w:rsid w:val="0034488A"/>
    <w:rsid w:val="00344F00"/>
    <w:rsid w:val="00344F22"/>
    <w:rsid w:val="003576A5"/>
    <w:rsid w:val="0036493F"/>
    <w:rsid w:val="003661D1"/>
    <w:rsid w:val="00372D2A"/>
    <w:rsid w:val="003750FA"/>
    <w:rsid w:val="00376980"/>
    <w:rsid w:val="00380DE7"/>
    <w:rsid w:val="00386EA6"/>
    <w:rsid w:val="003921C7"/>
    <w:rsid w:val="00394F0A"/>
    <w:rsid w:val="00395A63"/>
    <w:rsid w:val="003A5001"/>
    <w:rsid w:val="003B316A"/>
    <w:rsid w:val="003C077D"/>
    <w:rsid w:val="003C260A"/>
    <w:rsid w:val="003C5CE4"/>
    <w:rsid w:val="003D5DC5"/>
    <w:rsid w:val="003E32A9"/>
    <w:rsid w:val="003E490C"/>
    <w:rsid w:val="003E5E45"/>
    <w:rsid w:val="003E7569"/>
    <w:rsid w:val="003F3E18"/>
    <w:rsid w:val="003F4314"/>
    <w:rsid w:val="003F7DFC"/>
    <w:rsid w:val="004072CA"/>
    <w:rsid w:val="00413878"/>
    <w:rsid w:val="00413CDC"/>
    <w:rsid w:val="00416564"/>
    <w:rsid w:val="004178CE"/>
    <w:rsid w:val="00426E43"/>
    <w:rsid w:val="00427CC2"/>
    <w:rsid w:val="004347C9"/>
    <w:rsid w:val="004454DA"/>
    <w:rsid w:val="00447A3B"/>
    <w:rsid w:val="00453068"/>
    <w:rsid w:val="00456DD6"/>
    <w:rsid w:val="0045765A"/>
    <w:rsid w:val="0046036C"/>
    <w:rsid w:val="00461397"/>
    <w:rsid w:val="00464602"/>
    <w:rsid w:val="004648DB"/>
    <w:rsid w:val="00467546"/>
    <w:rsid w:val="00470251"/>
    <w:rsid w:val="0047173C"/>
    <w:rsid w:val="00480E24"/>
    <w:rsid w:val="00485816"/>
    <w:rsid w:val="0048667C"/>
    <w:rsid w:val="0048770E"/>
    <w:rsid w:val="00491A0E"/>
    <w:rsid w:val="00492417"/>
    <w:rsid w:val="0049706D"/>
    <w:rsid w:val="004A28D6"/>
    <w:rsid w:val="004A3805"/>
    <w:rsid w:val="004A5ED4"/>
    <w:rsid w:val="004A635B"/>
    <w:rsid w:val="004B00A1"/>
    <w:rsid w:val="004B208D"/>
    <w:rsid w:val="004C2F05"/>
    <w:rsid w:val="004C71F3"/>
    <w:rsid w:val="004D2D55"/>
    <w:rsid w:val="004D43EF"/>
    <w:rsid w:val="004D6D5B"/>
    <w:rsid w:val="004E0E1A"/>
    <w:rsid w:val="004E4719"/>
    <w:rsid w:val="004E4ACE"/>
    <w:rsid w:val="004E766B"/>
    <w:rsid w:val="004F0B22"/>
    <w:rsid w:val="004F1350"/>
    <w:rsid w:val="004F1EFE"/>
    <w:rsid w:val="004F33BA"/>
    <w:rsid w:val="004F4E5C"/>
    <w:rsid w:val="004F5F17"/>
    <w:rsid w:val="004F6EBC"/>
    <w:rsid w:val="005007EB"/>
    <w:rsid w:val="00511CE9"/>
    <w:rsid w:val="0051569C"/>
    <w:rsid w:val="00522BC6"/>
    <w:rsid w:val="00522EA0"/>
    <w:rsid w:val="00524E73"/>
    <w:rsid w:val="005268C6"/>
    <w:rsid w:val="00526D1F"/>
    <w:rsid w:val="00530892"/>
    <w:rsid w:val="005314A8"/>
    <w:rsid w:val="005412C9"/>
    <w:rsid w:val="00550369"/>
    <w:rsid w:val="005524F8"/>
    <w:rsid w:val="00553B1A"/>
    <w:rsid w:val="00561739"/>
    <w:rsid w:val="00561D2B"/>
    <w:rsid w:val="00561F43"/>
    <w:rsid w:val="005629B4"/>
    <w:rsid w:val="00566602"/>
    <w:rsid w:val="00574994"/>
    <w:rsid w:val="00582562"/>
    <w:rsid w:val="00582D55"/>
    <w:rsid w:val="005857BB"/>
    <w:rsid w:val="0058749B"/>
    <w:rsid w:val="005A0732"/>
    <w:rsid w:val="005A2EA6"/>
    <w:rsid w:val="005A5A4F"/>
    <w:rsid w:val="005B0EDB"/>
    <w:rsid w:val="005B1B14"/>
    <w:rsid w:val="005C1C62"/>
    <w:rsid w:val="005C36CE"/>
    <w:rsid w:val="005D084D"/>
    <w:rsid w:val="005D2470"/>
    <w:rsid w:val="005D50E3"/>
    <w:rsid w:val="005D631A"/>
    <w:rsid w:val="005D76E3"/>
    <w:rsid w:val="005E0C8C"/>
    <w:rsid w:val="005E3918"/>
    <w:rsid w:val="005E489C"/>
    <w:rsid w:val="005E514F"/>
    <w:rsid w:val="005F535E"/>
    <w:rsid w:val="00603222"/>
    <w:rsid w:val="00606B7D"/>
    <w:rsid w:val="0061449D"/>
    <w:rsid w:val="00614C68"/>
    <w:rsid w:val="0061731C"/>
    <w:rsid w:val="00617820"/>
    <w:rsid w:val="0062037F"/>
    <w:rsid w:val="00625270"/>
    <w:rsid w:val="006355BF"/>
    <w:rsid w:val="00641104"/>
    <w:rsid w:val="00646622"/>
    <w:rsid w:val="0064672C"/>
    <w:rsid w:val="00647EC4"/>
    <w:rsid w:val="00653B9D"/>
    <w:rsid w:val="00655352"/>
    <w:rsid w:val="0065694E"/>
    <w:rsid w:val="006676A1"/>
    <w:rsid w:val="00667FA9"/>
    <w:rsid w:val="00670C3E"/>
    <w:rsid w:val="00674CD0"/>
    <w:rsid w:val="00680589"/>
    <w:rsid w:val="006846F8"/>
    <w:rsid w:val="00690ED4"/>
    <w:rsid w:val="00691BB6"/>
    <w:rsid w:val="00692133"/>
    <w:rsid w:val="006B1A88"/>
    <w:rsid w:val="006B3CFE"/>
    <w:rsid w:val="006B43E9"/>
    <w:rsid w:val="006B66F6"/>
    <w:rsid w:val="006C3CC1"/>
    <w:rsid w:val="006C75C2"/>
    <w:rsid w:val="006E0132"/>
    <w:rsid w:val="006E08F8"/>
    <w:rsid w:val="006E6550"/>
    <w:rsid w:val="006F299C"/>
    <w:rsid w:val="006F6B6D"/>
    <w:rsid w:val="006F7FD4"/>
    <w:rsid w:val="00704320"/>
    <w:rsid w:val="00705480"/>
    <w:rsid w:val="0071264C"/>
    <w:rsid w:val="0071326B"/>
    <w:rsid w:val="00720225"/>
    <w:rsid w:val="007207E2"/>
    <w:rsid w:val="00721BD7"/>
    <w:rsid w:val="007222AE"/>
    <w:rsid w:val="007227AD"/>
    <w:rsid w:val="00723D84"/>
    <w:rsid w:val="00725534"/>
    <w:rsid w:val="00725E9F"/>
    <w:rsid w:val="00726CC1"/>
    <w:rsid w:val="007279F8"/>
    <w:rsid w:val="0073010E"/>
    <w:rsid w:val="00744496"/>
    <w:rsid w:val="00754311"/>
    <w:rsid w:val="00754E86"/>
    <w:rsid w:val="00760529"/>
    <w:rsid w:val="00772B56"/>
    <w:rsid w:val="0078291E"/>
    <w:rsid w:val="00793B69"/>
    <w:rsid w:val="00793E0E"/>
    <w:rsid w:val="00795572"/>
    <w:rsid w:val="00797856"/>
    <w:rsid w:val="007A28D6"/>
    <w:rsid w:val="007A5E09"/>
    <w:rsid w:val="007A6A5E"/>
    <w:rsid w:val="007B23D5"/>
    <w:rsid w:val="007B6A6C"/>
    <w:rsid w:val="007C0966"/>
    <w:rsid w:val="007C1BC9"/>
    <w:rsid w:val="007C1C93"/>
    <w:rsid w:val="007C605D"/>
    <w:rsid w:val="007C7233"/>
    <w:rsid w:val="007D1A0C"/>
    <w:rsid w:val="007E133D"/>
    <w:rsid w:val="007E3E40"/>
    <w:rsid w:val="007E5D66"/>
    <w:rsid w:val="007E5D67"/>
    <w:rsid w:val="007F3848"/>
    <w:rsid w:val="007F664D"/>
    <w:rsid w:val="008001E7"/>
    <w:rsid w:val="00805658"/>
    <w:rsid w:val="00807CE3"/>
    <w:rsid w:val="00812127"/>
    <w:rsid w:val="00814C48"/>
    <w:rsid w:val="00816A9C"/>
    <w:rsid w:val="00820476"/>
    <w:rsid w:val="00820BBC"/>
    <w:rsid w:val="00822589"/>
    <w:rsid w:val="00822AA1"/>
    <w:rsid w:val="00823DDA"/>
    <w:rsid w:val="00825D17"/>
    <w:rsid w:val="0083521B"/>
    <w:rsid w:val="0083539D"/>
    <w:rsid w:val="00835D7F"/>
    <w:rsid w:val="008445F1"/>
    <w:rsid w:val="0084650D"/>
    <w:rsid w:val="00851748"/>
    <w:rsid w:val="00852D36"/>
    <w:rsid w:val="008541CA"/>
    <w:rsid w:val="00854E57"/>
    <w:rsid w:val="008560D1"/>
    <w:rsid w:val="00861B45"/>
    <w:rsid w:val="00861B69"/>
    <w:rsid w:val="00862A63"/>
    <w:rsid w:val="00863962"/>
    <w:rsid w:val="0087275B"/>
    <w:rsid w:val="0087417F"/>
    <w:rsid w:val="00877955"/>
    <w:rsid w:val="00883E0E"/>
    <w:rsid w:val="00885EDC"/>
    <w:rsid w:val="008861E8"/>
    <w:rsid w:val="00886C47"/>
    <w:rsid w:val="00887424"/>
    <w:rsid w:val="00887AD1"/>
    <w:rsid w:val="00890177"/>
    <w:rsid w:val="008A56EE"/>
    <w:rsid w:val="008B7411"/>
    <w:rsid w:val="008B7FD5"/>
    <w:rsid w:val="008C20D5"/>
    <w:rsid w:val="008C6B51"/>
    <w:rsid w:val="008D469A"/>
    <w:rsid w:val="008D4C19"/>
    <w:rsid w:val="008D68E2"/>
    <w:rsid w:val="008E0300"/>
    <w:rsid w:val="008E2E81"/>
    <w:rsid w:val="008E5B5D"/>
    <w:rsid w:val="008F4EDA"/>
    <w:rsid w:val="008F5380"/>
    <w:rsid w:val="008F7988"/>
    <w:rsid w:val="00900126"/>
    <w:rsid w:val="00902AD0"/>
    <w:rsid w:val="00904570"/>
    <w:rsid w:val="0090638F"/>
    <w:rsid w:val="00906A1A"/>
    <w:rsid w:val="00906D4A"/>
    <w:rsid w:val="00910540"/>
    <w:rsid w:val="00913F5E"/>
    <w:rsid w:val="00916876"/>
    <w:rsid w:val="00916F0F"/>
    <w:rsid w:val="00920D6D"/>
    <w:rsid w:val="009263A2"/>
    <w:rsid w:val="009273E5"/>
    <w:rsid w:val="00936C76"/>
    <w:rsid w:val="009371EF"/>
    <w:rsid w:val="00937DB4"/>
    <w:rsid w:val="00940E6F"/>
    <w:rsid w:val="00942DB4"/>
    <w:rsid w:val="00942EB3"/>
    <w:rsid w:val="009435C9"/>
    <w:rsid w:val="00945618"/>
    <w:rsid w:val="0095116C"/>
    <w:rsid w:val="0095394E"/>
    <w:rsid w:val="00957643"/>
    <w:rsid w:val="00963EEC"/>
    <w:rsid w:val="009723F8"/>
    <w:rsid w:val="009744ED"/>
    <w:rsid w:val="009803AB"/>
    <w:rsid w:val="0098256C"/>
    <w:rsid w:val="00986C18"/>
    <w:rsid w:val="009871B2"/>
    <w:rsid w:val="009A619B"/>
    <w:rsid w:val="009A645E"/>
    <w:rsid w:val="009B4328"/>
    <w:rsid w:val="009C01C8"/>
    <w:rsid w:val="009C4DE3"/>
    <w:rsid w:val="009C730B"/>
    <w:rsid w:val="009D3854"/>
    <w:rsid w:val="009E2A3F"/>
    <w:rsid w:val="009E34ED"/>
    <w:rsid w:val="009E3C67"/>
    <w:rsid w:val="009F797D"/>
    <w:rsid w:val="00A00B63"/>
    <w:rsid w:val="00A0201D"/>
    <w:rsid w:val="00A05FD4"/>
    <w:rsid w:val="00A06040"/>
    <w:rsid w:val="00A12C80"/>
    <w:rsid w:val="00A1301D"/>
    <w:rsid w:val="00A17C6A"/>
    <w:rsid w:val="00A24F00"/>
    <w:rsid w:val="00A2793F"/>
    <w:rsid w:val="00A3661B"/>
    <w:rsid w:val="00A43127"/>
    <w:rsid w:val="00A4351D"/>
    <w:rsid w:val="00A44598"/>
    <w:rsid w:val="00A451F7"/>
    <w:rsid w:val="00A54203"/>
    <w:rsid w:val="00A5686D"/>
    <w:rsid w:val="00A5773F"/>
    <w:rsid w:val="00A60491"/>
    <w:rsid w:val="00A6052E"/>
    <w:rsid w:val="00A642A3"/>
    <w:rsid w:val="00A66B6A"/>
    <w:rsid w:val="00A75BE7"/>
    <w:rsid w:val="00A83348"/>
    <w:rsid w:val="00A841FA"/>
    <w:rsid w:val="00A93EAD"/>
    <w:rsid w:val="00A94201"/>
    <w:rsid w:val="00A9585C"/>
    <w:rsid w:val="00AA1452"/>
    <w:rsid w:val="00AA1585"/>
    <w:rsid w:val="00AA2C64"/>
    <w:rsid w:val="00AA6F62"/>
    <w:rsid w:val="00AA75E2"/>
    <w:rsid w:val="00AA7957"/>
    <w:rsid w:val="00AC374B"/>
    <w:rsid w:val="00AC426B"/>
    <w:rsid w:val="00AC5919"/>
    <w:rsid w:val="00AC5B52"/>
    <w:rsid w:val="00AD364D"/>
    <w:rsid w:val="00AD4D7B"/>
    <w:rsid w:val="00AD7D46"/>
    <w:rsid w:val="00AE615B"/>
    <w:rsid w:val="00AE6479"/>
    <w:rsid w:val="00AF73E7"/>
    <w:rsid w:val="00AF7E65"/>
    <w:rsid w:val="00B00AE7"/>
    <w:rsid w:val="00B05F97"/>
    <w:rsid w:val="00B14B11"/>
    <w:rsid w:val="00B16100"/>
    <w:rsid w:val="00B2325C"/>
    <w:rsid w:val="00B25CA1"/>
    <w:rsid w:val="00B31286"/>
    <w:rsid w:val="00B34C72"/>
    <w:rsid w:val="00B34D62"/>
    <w:rsid w:val="00B35075"/>
    <w:rsid w:val="00B35620"/>
    <w:rsid w:val="00B40C0B"/>
    <w:rsid w:val="00B428C4"/>
    <w:rsid w:val="00B46373"/>
    <w:rsid w:val="00B50A77"/>
    <w:rsid w:val="00B562C6"/>
    <w:rsid w:val="00B564F8"/>
    <w:rsid w:val="00B57252"/>
    <w:rsid w:val="00B57B9F"/>
    <w:rsid w:val="00B6016F"/>
    <w:rsid w:val="00B678EB"/>
    <w:rsid w:val="00B7086F"/>
    <w:rsid w:val="00B7240B"/>
    <w:rsid w:val="00B74108"/>
    <w:rsid w:val="00B81E7B"/>
    <w:rsid w:val="00B829C3"/>
    <w:rsid w:val="00B92626"/>
    <w:rsid w:val="00B94D81"/>
    <w:rsid w:val="00B9574C"/>
    <w:rsid w:val="00BB28C5"/>
    <w:rsid w:val="00BB580C"/>
    <w:rsid w:val="00BB77F0"/>
    <w:rsid w:val="00BC1879"/>
    <w:rsid w:val="00BD0685"/>
    <w:rsid w:val="00BD62F1"/>
    <w:rsid w:val="00BD7E3B"/>
    <w:rsid w:val="00BE6F65"/>
    <w:rsid w:val="00BF04DB"/>
    <w:rsid w:val="00BF0A26"/>
    <w:rsid w:val="00BF30A0"/>
    <w:rsid w:val="00BF71E2"/>
    <w:rsid w:val="00C06286"/>
    <w:rsid w:val="00C100A7"/>
    <w:rsid w:val="00C12CF8"/>
    <w:rsid w:val="00C246B5"/>
    <w:rsid w:val="00C257B4"/>
    <w:rsid w:val="00C278F2"/>
    <w:rsid w:val="00C32F66"/>
    <w:rsid w:val="00C36668"/>
    <w:rsid w:val="00C514AE"/>
    <w:rsid w:val="00C53E63"/>
    <w:rsid w:val="00C56896"/>
    <w:rsid w:val="00C56BBF"/>
    <w:rsid w:val="00C57132"/>
    <w:rsid w:val="00C57D05"/>
    <w:rsid w:val="00C6114E"/>
    <w:rsid w:val="00C61300"/>
    <w:rsid w:val="00C6569B"/>
    <w:rsid w:val="00C72F7B"/>
    <w:rsid w:val="00C750C4"/>
    <w:rsid w:val="00C83214"/>
    <w:rsid w:val="00C83691"/>
    <w:rsid w:val="00C9090D"/>
    <w:rsid w:val="00C90CC9"/>
    <w:rsid w:val="00C91FD7"/>
    <w:rsid w:val="00C944AB"/>
    <w:rsid w:val="00C9475F"/>
    <w:rsid w:val="00CA19BB"/>
    <w:rsid w:val="00CA729E"/>
    <w:rsid w:val="00CA7A3C"/>
    <w:rsid w:val="00CA7DD9"/>
    <w:rsid w:val="00CB3969"/>
    <w:rsid w:val="00CB73CF"/>
    <w:rsid w:val="00CC4CA2"/>
    <w:rsid w:val="00CC6E73"/>
    <w:rsid w:val="00CD3117"/>
    <w:rsid w:val="00CE4CAF"/>
    <w:rsid w:val="00CE6642"/>
    <w:rsid w:val="00CF60AA"/>
    <w:rsid w:val="00CF6CEA"/>
    <w:rsid w:val="00D00BE9"/>
    <w:rsid w:val="00D035B6"/>
    <w:rsid w:val="00D04890"/>
    <w:rsid w:val="00D077BF"/>
    <w:rsid w:val="00D12AEA"/>
    <w:rsid w:val="00D13D49"/>
    <w:rsid w:val="00D22A2D"/>
    <w:rsid w:val="00D231FD"/>
    <w:rsid w:val="00D3418C"/>
    <w:rsid w:val="00D35380"/>
    <w:rsid w:val="00D410EC"/>
    <w:rsid w:val="00D415F8"/>
    <w:rsid w:val="00D41D57"/>
    <w:rsid w:val="00D43883"/>
    <w:rsid w:val="00D558AB"/>
    <w:rsid w:val="00D5620D"/>
    <w:rsid w:val="00D5697C"/>
    <w:rsid w:val="00D603D6"/>
    <w:rsid w:val="00D62E5E"/>
    <w:rsid w:val="00D65DFB"/>
    <w:rsid w:val="00D722E2"/>
    <w:rsid w:val="00D74DED"/>
    <w:rsid w:val="00D760D8"/>
    <w:rsid w:val="00D76297"/>
    <w:rsid w:val="00D779A2"/>
    <w:rsid w:val="00D875C5"/>
    <w:rsid w:val="00D91BC5"/>
    <w:rsid w:val="00D94DB8"/>
    <w:rsid w:val="00D95AFF"/>
    <w:rsid w:val="00DA7916"/>
    <w:rsid w:val="00DB22DD"/>
    <w:rsid w:val="00DB32DD"/>
    <w:rsid w:val="00DC2281"/>
    <w:rsid w:val="00DC22DA"/>
    <w:rsid w:val="00DC33A8"/>
    <w:rsid w:val="00DC76A1"/>
    <w:rsid w:val="00DD0F2E"/>
    <w:rsid w:val="00DD6357"/>
    <w:rsid w:val="00DE08C4"/>
    <w:rsid w:val="00DE5190"/>
    <w:rsid w:val="00DF03F7"/>
    <w:rsid w:val="00DF078C"/>
    <w:rsid w:val="00DF268A"/>
    <w:rsid w:val="00DF6629"/>
    <w:rsid w:val="00DF6B95"/>
    <w:rsid w:val="00DF72D1"/>
    <w:rsid w:val="00DF73B9"/>
    <w:rsid w:val="00E008CE"/>
    <w:rsid w:val="00E03ED5"/>
    <w:rsid w:val="00E0588F"/>
    <w:rsid w:val="00E05D9F"/>
    <w:rsid w:val="00E07421"/>
    <w:rsid w:val="00E14F1C"/>
    <w:rsid w:val="00E165B2"/>
    <w:rsid w:val="00E17818"/>
    <w:rsid w:val="00E32EBC"/>
    <w:rsid w:val="00E41D28"/>
    <w:rsid w:val="00E46794"/>
    <w:rsid w:val="00E5302D"/>
    <w:rsid w:val="00E57F20"/>
    <w:rsid w:val="00E625FF"/>
    <w:rsid w:val="00E62CA2"/>
    <w:rsid w:val="00E64ADC"/>
    <w:rsid w:val="00E74BF7"/>
    <w:rsid w:val="00E85CD5"/>
    <w:rsid w:val="00EA174C"/>
    <w:rsid w:val="00EA1C3D"/>
    <w:rsid w:val="00EB1B52"/>
    <w:rsid w:val="00EB661E"/>
    <w:rsid w:val="00EC1170"/>
    <w:rsid w:val="00EC305D"/>
    <w:rsid w:val="00EC4BC9"/>
    <w:rsid w:val="00ED5751"/>
    <w:rsid w:val="00EE0217"/>
    <w:rsid w:val="00EE0BAB"/>
    <w:rsid w:val="00EF0155"/>
    <w:rsid w:val="00EF2616"/>
    <w:rsid w:val="00EF472C"/>
    <w:rsid w:val="00EF4A34"/>
    <w:rsid w:val="00EF4A3B"/>
    <w:rsid w:val="00F00CC4"/>
    <w:rsid w:val="00F02EF4"/>
    <w:rsid w:val="00F04858"/>
    <w:rsid w:val="00F0504E"/>
    <w:rsid w:val="00F10B59"/>
    <w:rsid w:val="00F145AE"/>
    <w:rsid w:val="00F2595C"/>
    <w:rsid w:val="00F35081"/>
    <w:rsid w:val="00F35395"/>
    <w:rsid w:val="00F355D0"/>
    <w:rsid w:val="00F36894"/>
    <w:rsid w:val="00F3720F"/>
    <w:rsid w:val="00F40C35"/>
    <w:rsid w:val="00F51D3A"/>
    <w:rsid w:val="00F532C7"/>
    <w:rsid w:val="00F671C3"/>
    <w:rsid w:val="00F679E0"/>
    <w:rsid w:val="00F72FCF"/>
    <w:rsid w:val="00F763BB"/>
    <w:rsid w:val="00F80F49"/>
    <w:rsid w:val="00F836CE"/>
    <w:rsid w:val="00F84E35"/>
    <w:rsid w:val="00F856AD"/>
    <w:rsid w:val="00F86901"/>
    <w:rsid w:val="00F97177"/>
    <w:rsid w:val="00F9726C"/>
    <w:rsid w:val="00F97AB4"/>
    <w:rsid w:val="00FA00F4"/>
    <w:rsid w:val="00FA019E"/>
    <w:rsid w:val="00FA26F2"/>
    <w:rsid w:val="00FA5FD1"/>
    <w:rsid w:val="00FA6D2C"/>
    <w:rsid w:val="00FB3834"/>
    <w:rsid w:val="00FB4868"/>
    <w:rsid w:val="00FB6936"/>
    <w:rsid w:val="00FC0BA3"/>
    <w:rsid w:val="00FC1CC1"/>
    <w:rsid w:val="00FC2B72"/>
    <w:rsid w:val="00FD4A5E"/>
    <w:rsid w:val="00FD4FB4"/>
    <w:rsid w:val="00FD7003"/>
    <w:rsid w:val="00FE0839"/>
    <w:rsid w:val="00FF04A3"/>
    <w:rsid w:val="00FF197A"/>
    <w:rsid w:val="00FF1C65"/>
    <w:rsid w:val="00FF3F25"/>
    <w:rsid w:val="00FF4DA6"/>
    <w:rsid w:val="00FF6B89"/>
    <w:rsid w:val="00FF7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1">
    <w:name w:val="heading 1"/>
    <w:aliases w:val="MINISTERE"/>
    <w:basedOn w:val="Normal"/>
    <w:next w:val="Normal"/>
    <w:link w:val="Titre1Car"/>
    <w:uiPriority w:val="9"/>
    <w:qFormat/>
    <w:rsid w:val="00816A9C"/>
    <w:pPr>
      <w:keepNext/>
      <w:keepLines/>
      <w:spacing w:before="240"/>
      <w:jc w:val="center"/>
      <w:outlineLvl w:val="0"/>
    </w:pPr>
    <w:rPr>
      <w:rFonts w:ascii="Cambria" w:eastAsiaTheme="majorEastAsia" w:hAnsi="Cambria" w:cstheme="majorBidi"/>
      <w:b/>
      <w:color w:val="000000" w:themeColor="text1"/>
      <w:sz w:val="28"/>
      <w:szCs w:val="32"/>
    </w:rPr>
  </w:style>
  <w:style w:type="paragraph" w:styleId="Titre2">
    <w:name w:val="heading 2"/>
    <w:aliases w:val="TEXTE CM"/>
    <w:basedOn w:val="Normal"/>
    <w:next w:val="Normal"/>
    <w:link w:val="Titre2Car"/>
    <w:uiPriority w:val="9"/>
    <w:unhideWhenUsed/>
    <w:qFormat/>
    <w:rsid w:val="00D74DED"/>
    <w:pPr>
      <w:keepNext/>
      <w:keepLines/>
      <w:spacing w:before="40"/>
      <w:jc w:val="both"/>
      <w:outlineLvl w:val="1"/>
    </w:pPr>
    <w:rPr>
      <w:rFonts w:ascii="Cambria" w:eastAsiaTheme="majorEastAsia" w:hAnsi="Cambria" w:cstheme="majorBidi"/>
      <w:b/>
      <w:szCs w:val="26"/>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uiPriority w:val="99"/>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paragraph">
    <w:name w:val="paragraph"/>
    <w:basedOn w:val="Normal"/>
    <w:rsid w:val="00FF4DA6"/>
    <w:pPr>
      <w:spacing w:before="100" w:beforeAutospacing="1" w:after="100" w:afterAutospacing="1"/>
    </w:pPr>
    <w:rPr>
      <w:lang w:eastAsia="fr-FR"/>
    </w:rPr>
  </w:style>
  <w:style w:type="character" w:customStyle="1" w:styleId="normaltextrun">
    <w:name w:val="normaltextrun"/>
    <w:rsid w:val="00FF4DA6"/>
  </w:style>
  <w:style w:type="character" w:customStyle="1" w:styleId="eop">
    <w:name w:val="eop"/>
    <w:rsid w:val="00FF4DA6"/>
  </w:style>
  <w:style w:type="paragraph" w:styleId="Commentaire">
    <w:name w:val="annotation text"/>
    <w:basedOn w:val="Normal"/>
    <w:link w:val="CommentaireCar"/>
    <w:uiPriority w:val="99"/>
    <w:unhideWhenUsed/>
    <w:rsid w:val="00241E36"/>
    <w:rPr>
      <w:sz w:val="20"/>
      <w:szCs w:val="20"/>
      <w:lang w:eastAsia="fr-FR"/>
    </w:rPr>
  </w:style>
  <w:style w:type="character" w:customStyle="1" w:styleId="CommentaireCar">
    <w:name w:val="Commentaire Car"/>
    <w:basedOn w:val="Policepardfaut"/>
    <w:link w:val="Commentaire"/>
    <w:uiPriority w:val="99"/>
    <w:rsid w:val="00241E36"/>
    <w:rPr>
      <w:rFonts w:ascii="Times New Roman" w:eastAsia="Times New Roman" w:hAnsi="Times New Roman" w:cs="Times New Roman"/>
      <w:sz w:val="20"/>
      <w:szCs w:val="20"/>
      <w:lang w:eastAsia="fr-FR"/>
    </w:rPr>
  </w:style>
  <w:style w:type="paragraph" w:customStyle="1" w:styleId="-DiversLigneinvisibleGEDA">
    <w:name w:val="- Divers:Ligne invisible   GEDA"/>
    <w:rsid w:val="00241E36"/>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customStyle="1" w:styleId="Notedebasdepage1">
    <w:name w:val="Note de bas de page1"/>
    <w:basedOn w:val="Normal"/>
    <w:next w:val="Notedebasdepage"/>
    <w:link w:val="NotedebasdepageCar"/>
    <w:uiPriority w:val="99"/>
    <w:semiHidden/>
    <w:unhideWhenUsed/>
    <w:rsid w:val="000946F2"/>
    <w:rPr>
      <w:rFonts w:eastAsiaTheme="minorHAnsi"/>
      <w:sz w:val="20"/>
      <w:szCs w:val="20"/>
      <w:lang w:eastAsia="en-US"/>
    </w:rPr>
  </w:style>
  <w:style w:type="character" w:customStyle="1" w:styleId="NotedebasdepageCar">
    <w:name w:val="Note de bas de page Car"/>
    <w:basedOn w:val="Policepardfaut"/>
    <w:link w:val="Notedebasdepage1"/>
    <w:uiPriority w:val="99"/>
    <w:semiHidden/>
    <w:rsid w:val="000946F2"/>
    <w:rPr>
      <w:rFonts w:ascii="Times New Roman" w:hAnsi="Times New Roman" w:cs="Times New Roman"/>
      <w:sz w:val="20"/>
      <w:szCs w:val="20"/>
    </w:rPr>
  </w:style>
  <w:style w:type="character" w:styleId="Appelnotedebasdep">
    <w:name w:val="footnote reference"/>
    <w:basedOn w:val="Policepardfaut"/>
    <w:uiPriority w:val="99"/>
    <w:semiHidden/>
    <w:unhideWhenUsed/>
    <w:rsid w:val="000946F2"/>
    <w:rPr>
      <w:vertAlign w:val="superscript"/>
    </w:rPr>
  </w:style>
  <w:style w:type="table" w:styleId="Tableausimple1">
    <w:name w:val="Plain Table 1"/>
    <w:basedOn w:val="TableauNormal"/>
    <w:uiPriority w:val="41"/>
    <w:rsid w:val="000946F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1"/>
    <w:uiPriority w:val="99"/>
    <w:semiHidden/>
    <w:unhideWhenUsed/>
    <w:rsid w:val="000946F2"/>
    <w:rPr>
      <w:sz w:val="20"/>
      <w:szCs w:val="20"/>
    </w:rPr>
  </w:style>
  <w:style w:type="character" w:customStyle="1" w:styleId="NotedebasdepageCar1">
    <w:name w:val="Note de bas de page Car1"/>
    <w:basedOn w:val="Policepardfaut"/>
    <w:link w:val="Notedebasdepage"/>
    <w:uiPriority w:val="99"/>
    <w:semiHidden/>
    <w:rsid w:val="000946F2"/>
    <w:rPr>
      <w:rFonts w:ascii="Times New Roman" w:eastAsia="Times New Roman" w:hAnsi="Times New Roman" w:cs="Times New Roman"/>
      <w:sz w:val="20"/>
      <w:szCs w:val="20"/>
      <w:lang w:eastAsia="es-ES"/>
    </w:rPr>
  </w:style>
  <w:style w:type="paragraph" w:customStyle="1" w:styleId="Normal1">
    <w:name w:val="Normal1"/>
    <w:basedOn w:val="Normal"/>
    <w:rsid w:val="007F664D"/>
    <w:rPr>
      <w:rFonts w:eastAsiaTheme="minorHAnsi"/>
      <w:lang w:eastAsia="fr-FR"/>
    </w:rPr>
  </w:style>
  <w:style w:type="paragraph" w:customStyle="1" w:styleId="-LettreSuiteORefPJGEDA">
    <w:name w:val="- Lettre:Suite O/Ref/PJ GEDA"/>
    <w:basedOn w:val="Normal"/>
    <w:rsid w:val="001560E0"/>
    <w:pPr>
      <w:overflowPunct w:val="0"/>
      <w:autoSpaceDE w:val="0"/>
      <w:autoSpaceDN w:val="0"/>
      <w:ind w:left="851"/>
      <w:jc w:val="both"/>
    </w:pPr>
    <w:rPr>
      <w:rFonts w:eastAsiaTheme="minorHAnsi"/>
      <w:lang w:eastAsia="fr-FR"/>
    </w:rPr>
  </w:style>
  <w:style w:type="paragraph" w:customStyle="1" w:styleId="-LettrehDestinataireadGEDA">
    <w:name w:val="- Lettre:h_Destinataire (ad)GEDA"/>
    <w:basedOn w:val="Normal"/>
    <w:rsid w:val="001560E0"/>
    <w:pPr>
      <w:overflowPunct w:val="0"/>
      <w:autoSpaceDE w:val="0"/>
      <w:autoSpaceDN w:val="0"/>
      <w:jc w:val="center"/>
    </w:pPr>
    <w:rPr>
      <w:rFonts w:eastAsiaTheme="minorHAnsi"/>
      <w:b/>
      <w:bCs/>
      <w:lang w:eastAsia="fr-FR"/>
    </w:rPr>
  </w:style>
  <w:style w:type="character" w:customStyle="1" w:styleId="Titre2Car">
    <w:name w:val="Titre 2 Car"/>
    <w:aliases w:val="TEXTE CM Car"/>
    <w:basedOn w:val="Policepardfaut"/>
    <w:link w:val="Titre2"/>
    <w:uiPriority w:val="9"/>
    <w:rsid w:val="00D74DED"/>
    <w:rPr>
      <w:rFonts w:ascii="Cambria" w:eastAsiaTheme="majorEastAsia" w:hAnsi="Cambria" w:cstheme="majorBidi"/>
      <w:b/>
      <w:sz w:val="24"/>
      <w:szCs w:val="26"/>
      <w:lang w:eastAsia="es-ES"/>
    </w:rPr>
  </w:style>
  <w:style w:type="character" w:styleId="lev">
    <w:name w:val="Strong"/>
    <w:basedOn w:val="Policepardfaut"/>
    <w:uiPriority w:val="22"/>
    <w:qFormat/>
    <w:rsid w:val="0087417F"/>
    <w:rPr>
      <w:b/>
      <w:bCs/>
    </w:rPr>
  </w:style>
  <w:style w:type="character" w:styleId="Accentuation">
    <w:name w:val="Emphasis"/>
    <w:basedOn w:val="Policepardfaut"/>
    <w:uiPriority w:val="20"/>
    <w:qFormat/>
    <w:rsid w:val="000360F8"/>
    <w:rPr>
      <w:i/>
      <w:iCs/>
    </w:rPr>
  </w:style>
  <w:style w:type="character" w:customStyle="1" w:styleId="Titre1Car">
    <w:name w:val="Titre 1 Car"/>
    <w:aliases w:val="MINISTERE Car"/>
    <w:basedOn w:val="Policepardfaut"/>
    <w:link w:val="Titre1"/>
    <w:uiPriority w:val="9"/>
    <w:rsid w:val="00816A9C"/>
    <w:rPr>
      <w:rFonts w:ascii="Cambria" w:eastAsiaTheme="majorEastAsia" w:hAnsi="Cambria" w:cstheme="majorBidi"/>
      <w:b/>
      <w:color w:val="000000" w:themeColor="text1"/>
      <w:sz w:val="28"/>
      <w:szCs w:val="32"/>
      <w:lang w:eastAsia="es-ES"/>
    </w:rPr>
  </w:style>
  <w:style w:type="paragraph" w:styleId="En-ttedetabledesmatires">
    <w:name w:val="TOC Heading"/>
    <w:basedOn w:val="Titre1"/>
    <w:next w:val="Normal"/>
    <w:uiPriority w:val="39"/>
    <w:unhideWhenUsed/>
    <w:qFormat/>
    <w:rsid w:val="00EF2616"/>
    <w:pPr>
      <w:spacing w:line="259" w:lineRule="auto"/>
      <w:outlineLvl w:val="9"/>
    </w:pPr>
    <w:rPr>
      <w:lang w:eastAsia="fr-FR"/>
    </w:rPr>
  </w:style>
  <w:style w:type="paragraph" w:styleId="TM2">
    <w:name w:val="toc 2"/>
    <w:basedOn w:val="Normal"/>
    <w:next w:val="Normal"/>
    <w:autoRedefine/>
    <w:uiPriority w:val="39"/>
    <w:unhideWhenUsed/>
    <w:rsid w:val="001E591D"/>
    <w:pPr>
      <w:numPr>
        <w:numId w:val="2"/>
      </w:numPr>
      <w:tabs>
        <w:tab w:val="right" w:leader="dot" w:pos="9062"/>
      </w:tabs>
      <w:spacing w:after="100" w:line="259" w:lineRule="auto"/>
    </w:pPr>
    <w:rPr>
      <w:rFonts w:asciiTheme="minorHAnsi" w:eastAsiaTheme="minorEastAsia" w:hAnsiTheme="minorHAnsi"/>
      <w:sz w:val="22"/>
      <w:szCs w:val="22"/>
      <w:lang w:eastAsia="fr-FR"/>
    </w:rPr>
  </w:style>
  <w:style w:type="paragraph" w:styleId="TM1">
    <w:name w:val="toc 1"/>
    <w:basedOn w:val="Normal"/>
    <w:next w:val="Normal"/>
    <w:autoRedefine/>
    <w:uiPriority w:val="39"/>
    <w:unhideWhenUsed/>
    <w:rsid w:val="007222AE"/>
    <w:pPr>
      <w:tabs>
        <w:tab w:val="right" w:leader="dot" w:pos="9062"/>
      </w:tabs>
      <w:spacing w:after="100" w:line="259" w:lineRule="auto"/>
    </w:pPr>
    <w:rPr>
      <w:rFonts w:ascii="Cambria" w:eastAsiaTheme="minorEastAsia" w:hAnsi="Cambria"/>
      <w:b/>
      <w:bCs/>
      <w:noProof/>
      <w:sz w:val="22"/>
      <w:szCs w:val="22"/>
      <w:lang w:eastAsia="fr-FR"/>
    </w:rPr>
  </w:style>
  <w:style w:type="paragraph" w:styleId="TM3">
    <w:name w:val="toc 3"/>
    <w:basedOn w:val="Normal"/>
    <w:next w:val="Normal"/>
    <w:autoRedefine/>
    <w:uiPriority w:val="39"/>
    <w:unhideWhenUsed/>
    <w:rsid w:val="00EF2616"/>
    <w:pPr>
      <w:spacing w:after="100" w:line="259" w:lineRule="auto"/>
      <w:ind w:left="440"/>
    </w:pPr>
    <w:rPr>
      <w:rFonts w:asciiTheme="minorHAnsi" w:eastAsiaTheme="minorEastAsia" w:hAnsiTheme="minorHAnsi"/>
      <w:sz w:val="22"/>
      <w:szCs w:val="22"/>
      <w:lang w:eastAsia="fr-FR"/>
    </w:rPr>
  </w:style>
  <w:style w:type="paragraph" w:styleId="En-tte">
    <w:name w:val="header"/>
    <w:basedOn w:val="Normal"/>
    <w:link w:val="En-tteCar"/>
    <w:uiPriority w:val="99"/>
    <w:unhideWhenUsed/>
    <w:rsid w:val="00261AEC"/>
    <w:pPr>
      <w:tabs>
        <w:tab w:val="center" w:pos="4536"/>
        <w:tab w:val="right" w:pos="9072"/>
      </w:tabs>
    </w:pPr>
  </w:style>
  <w:style w:type="character" w:customStyle="1" w:styleId="En-tteCar">
    <w:name w:val="En-tête Car"/>
    <w:basedOn w:val="Policepardfaut"/>
    <w:link w:val="En-tte"/>
    <w:uiPriority w:val="99"/>
    <w:rsid w:val="00261AEC"/>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261AEC"/>
    <w:pPr>
      <w:tabs>
        <w:tab w:val="center" w:pos="4536"/>
        <w:tab w:val="right" w:pos="9072"/>
      </w:tabs>
    </w:pPr>
  </w:style>
  <w:style w:type="character" w:customStyle="1" w:styleId="PieddepageCar">
    <w:name w:val="Pied de page Car"/>
    <w:basedOn w:val="Policepardfaut"/>
    <w:link w:val="Pieddepage"/>
    <w:uiPriority w:val="99"/>
    <w:rsid w:val="00261AEC"/>
    <w:rPr>
      <w:rFonts w:ascii="Times New Roman" w:eastAsia="Times New Roman" w:hAnsi="Times New Roman" w:cs="Times New Roman"/>
      <w:sz w:val="24"/>
      <w:szCs w:val="24"/>
      <w:lang w:eastAsia="es-ES"/>
    </w:rPr>
  </w:style>
  <w:style w:type="character" w:styleId="Mentionnonrsolue">
    <w:name w:val="Unresolved Mention"/>
    <w:basedOn w:val="Policepardfaut"/>
    <w:uiPriority w:val="99"/>
    <w:semiHidden/>
    <w:unhideWhenUsed/>
    <w:rsid w:val="00BB580C"/>
    <w:rPr>
      <w:color w:val="605E5C"/>
      <w:shd w:val="clear" w:color="auto" w:fill="E1DFDD"/>
    </w:rPr>
  </w:style>
  <w:style w:type="character" w:styleId="Marquedecommentaire">
    <w:name w:val="annotation reference"/>
    <w:basedOn w:val="Policepardfaut"/>
    <w:uiPriority w:val="99"/>
    <w:semiHidden/>
    <w:unhideWhenUsed/>
    <w:rsid w:val="001D405C"/>
    <w:rPr>
      <w:sz w:val="16"/>
      <w:szCs w:val="16"/>
    </w:rPr>
  </w:style>
  <w:style w:type="paragraph" w:styleId="Objetducommentaire">
    <w:name w:val="annotation subject"/>
    <w:basedOn w:val="Commentaire"/>
    <w:next w:val="Commentaire"/>
    <w:link w:val="ObjetducommentaireCar"/>
    <w:uiPriority w:val="99"/>
    <w:semiHidden/>
    <w:unhideWhenUsed/>
    <w:rsid w:val="001D405C"/>
    <w:rPr>
      <w:b/>
      <w:bCs/>
      <w:lang w:eastAsia="es-ES"/>
    </w:rPr>
  </w:style>
  <w:style w:type="character" w:customStyle="1" w:styleId="ObjetducommentaireCar">
    <w:name w:val="Objet du commentaire Car"/>
    <w:basedOn w:val="CommentaireCar"/>
    <w:link w:val="Objetducommentaire"/>
    <w:uiPriority w:val="99"/>
    <w:semiHidden/>
    <w:rsid w:val="001D405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69">
      <w:bodyDiv w:val="1"/>
      <w:marLeft w:val="0"/>
      <w:marRight w:val="0"/>
      <w:marTop w:val="0"/>
      <w:marBottom w:val="0"/>
      <w:divBdr>
        <w:top w:val="none" w:sz="0" w:space="0" w:color="auto"/>
        <w:left w:val="none" w:sz="0" w:space="0" w:color="auto"/>
        <w:bottom w:val="none" w:sz="0" w:space="0" w:color="auto"/>
        <w:right w:val="none" w:sz="0" w:space="0" w:color="auto"/>
      </w:divBdr>
    </w:div>
    <w:div w:id="33122345">
      <w:bodyDiv w:val="1"/>
      <w:marLeft w:val="0"/>
      <w:marRight w:val="0"/>
      <w:marTop w:val="0"/>
      <w:marBottom w:val="0"/>
      <w:divBdr>
        <w:top w:val="none" w:sz="0" w:space="0" w:color="auto"/>
        <w:left w:val="none" w:sz="0" w:space="0" w:color="auto"/>
        <w:bottom w:val="none" w:sz="0" w:space="0" w:color="auto"/>
        <w:right w:val="none" w:sz="0" w:space="0" w:color="auto"/>
      </w:divBdr>
    </w:div>
    <w:div w:id="52244379">
      <w:bodyDiv w:val="1"/>
      <w:marLeft w:val="0"/>
      <w:marRight w:val="0"/>
      <w:marTop w:val="0"/>
      <w:marBottom w:val="0"/>
      <w:divBdr>
        <w:top w:val="none" w:sz="0" w:space="0" w:color="auto"/>
        <w:left w:val="none" w:sz="0" w:space="0" w:color="auto"/>
        <w:bottom w:val="none" w:sz="0" w:space="0" w:color="auto"/>
        <w:right w:val="none" w:sz="0" w:space="0" w:color="auto"/>
      </w:divBdr>
    </w:div>
    <w:div w:id="55862106">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73820179">
      <w:bodyDiv w:val="1"/>
      <w:marLeft w:val="0"/>
      <w:marRight w:val="0"/>
      <w:marTop w:val="0"/>
      <w:marBottom w:val="0"/>
      <w:divBdr>
        <w:top w:val="none" w:sz="0" w:space="0" w:color="auto"/>
        <w:left w:val="none" w:sz="0" w:space="0" w:color="auto"/>
        <w:bottom w:val="none" w:sz="0" w:space="0" w:color="auto"/>
        <w:right w:val="none" w:sz="0" w:space="0" w:color="auto"/>
      </w:divBdr>
    </w:div>
    <w:div w:id="87119346">
      <w:bodyDiv w:val="1"/>
      <w:marLeft w:val="0"/>
      <w:marRight w:val="0"/>
      <w:marTop w:val="0"/>
      <w:marBottom w:val="0"/>
      <w:divBdr>
        <w:top w:val="none" w:sz="0" w:space="0" w:color="auto"/>
        <w:left w:val="none" w:sz="0" w:space="0" w:color="auto"/>
        <w:bottom w:val="none" w:sz="0" w:space="0" w:color="auto"/>
        <w:right w:val="none" w:sz="0" w:space="0" w:color="auto"/>
      </w:divBdr>
    </w:div>
    <w:div w:id="95103606">
      <w:bodyDiv w:val="1"/>
      <w:marLeft w:val="0"/>
      <w:marRight w:val="0"/>
      <w:marTop w:val="0"/>
      <w:marBottom w:val="0"/>
      <w:divBdr>
        <w:top w:val="none" w:sz="0" w:space="0" w:color="auto"/>
        <w:left w:val="none" w:sz="0" w:space="0" w:color="auto"/>
        <w:bottom w:val="none" w:sz="0" w:space="0" w:color="auto"/>
        <w:right w:val="none" w:sz="0" w:space="0" w:color="auto"/>
      </w:divBdr>
    </w:div>
    <w:div w:id="107624682">
      <w:bodyDiv w:val="1"/>
      <w:marLeft w:val="0"/>
      <w:marRight w:val="0"/>
      <w:marTop w:val="0"/>
      <w:marBottom w:val="0"/>
      <w:divBdr>
        <w:top w:val="none" w:sz="0" w:space="0" w:color="auto"/>
        <w:left w:val="none" w:sz="0" w:space="0" w:color="auto"/>
        <w:bottom w:val="none" w:sz="0" w:space="0" w:color="auto"/>
        <w:right w:val="none" w:sz="0" w:space="0" w:color="auto"/>
      </w:divBdr>
    </w:div>
    <w:div w:id="113719833">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7620744">
      <w:bodyDiv w:val="1"/>
      <w:marLeft w:val="0"/>
      <w:marRight w:val="0"/>
      <w:marTop w:val="0"/>
      <w:marBottom w:val="0"/>
      <w:divBdr>
        <w:top w:val="none" w:sz="0" w:space="0" w:color="auto"/>
        <w:left w:val="none" w:sz="0" w:space="0" w:color="auto"/>
        <w:bottom w:val="none" w:sz="0" w:space="0" w:color="auto"/>
        <w:right w:val="none" w:sz="0" w:space="0" w:color="auto"/>
      </w:divBdr>
    </w:div>
    <w:div w:id="172956446">
      <w:bodyDiv w:val="1"/>
      <w:marLeft w:val="0"/>
      <w:marRight w:val="0"/>
      <w:marTop w:val="0"/>
      <w:marBottom w:val="0"/>
      <w:divBdr>
        <w:top w:val="none" w:sz="0" w:space="0" w:color="auto"/>
        <w:left w:val="none" w:sz="0" w:space="0" w:color="auto"/>
        <w:bottom w:val="none" w:sz="0" w:space="0" w:color="auto"/>
        <w:right w:val="none" w:sz="0" w:space="0" w:color="auto"/>
      </w:divBdr>
    </w:div>
    <w:div w:id="184056911">
      <w:bodyDiv w:val="1"/>
      <w:marLeft w:val="0"/>
      <w:marRight w:val="0"/>
      <w:marTop w:val="0"/>
      <w:marBottom w:val="0"/>
      <w:divBdr>
        <w:top w:val="none" w:sz="0" w:space="0" w:color="auto"/>
        <w:left w:val="none" w:sz="0" w:space="0" w:color="auto"/>
        <w:bottom w:val="none" w:sz="0" w:space="0" w:color="auto"/>
        <w:right w:val="none" w:sz="0" w:space="0" w:color="auto"/>
      </w:divBdr>
    </w:div>
    <w:div w:id="205408641">
      <w:bodyDiv w:val="1"/>
      <w:marLeft w:val="0"/>
      <w:marRight w:val="0"/>
      <w:marTop w:val="0"/>
      <w:marBottom w:val="0"/>
      <w:divBdr>
        <w:top w:val="none" w:sz="0" w:space="0" w:color="auto"/>
        <w:left w:val="none" w:sz="0" w:space="0" w:color="auto"/>
        <w:bottom w:val="none" w:sz="0" w:space="0" w:color="auto"/>
        <w:right w:val="none" w:sz="0" w:space="0" w:color="auto"/>
      </w:divBdr>
    </w:div>
    <w:div w:id="220363396">
      <w:bodyDiv w:val="1"/>
      <w:marLeft w:val="0"/>
      <w:marRight w:val="0"/>
      <w:marTop w:val="0"/>
      <w:marBottom w:val="0"/>
      <w:divBdr>
        <w:top w:val="none" w:sz="0" w:space="0" w:color="auto"/>
        <w:left w:val="none" w:sz="0" w:space="0" w:color="auto"/>
        <w:bottom w:val="none" w:sz="0" w:space="0" w:color="auto"/>
        <w:right w:val="none" w:sz="0" w:space="0" w:color="auto"/>
      </w:divBdr>
    </w:div>
    <w:div w:id="229124835">
      <w:bodyDiv w:val="1"/>
      <w:marLeft w:val="0"/>
      <w:marRight w:val="0"/>
      <w:marTop w:val="0"/>
      <w:marBottom w:val="0"/>
      <w:divBdr>
        <w:top w:val="none" w:sz="0" w:space="0" w:color="auto"/>
        <w:left w:val="none" w:sz="0" w:space="0" w:color="auto"/>
        <w:bottom w:val="none" w:sz="0" w:space="0" w:color="auto"/>
        <w:right w:val="none" w:sz="0" w:space="0" w:color="auto"/>
      </w:divBdr>
    </w:div>
    <w:div w:id="233777986">
      <w:bodyDiv w:val="1"/>
      <w:marLeft w:val="0"/>
      <w:marRight w:val="0"/>
      <w:marTop w:val="0"/>
      <w:marBottom w:val="0"/>
      <w:divBdr>
        <w:top w:val="none" w:sz="0" w:space="0" w:color="auto"/>
        <w:left w:val="none" w:sz="0" w:space="0" w:color="auto"/>
        <w:bottom w:val="none" w:sz="0" w:space="0" w:color="auto"/>
        <w:right w:val="none" w:sz="0" w:space="0" w:color="auto"/>
      </w:divBdr>
    </w:div>
    <w:div w:id="234097904">
      <w:bodyDiv w:val="1"/>
      <w:marLeft w:val="0"/>
      <w:marRight w:val="0"/>
      <w:marTop w:val="0"/>
      <w:marBottom w:val="0"/>
      <w:divBdr>
        <w:top w:val="none" w:sz="0" w:space="0" w:color="auto"/>
        <w:left w:val="none" w:sz="0" w:space="0" w:color="auto"/>
        <w:bottom w:val="none" w:sz="0" w:space="0" w:color="auto"/>
        <w:right w:val="none" w:sz="0" w:space="0" w:color="auto"/>
      </w:divBdr>
    </w:div>
    <w:div w:id="270475821">
      <w:bodyDiv w:val="1"/>
      <w:marLeft w:val="0"/>
      <w:marRight w:val="0"/>
      <w:marTop w:val="0"/>
      <w:marBottom w:val="0"/>
      <w:divBdr>
        <w:top w:val="none" w:sz="0" w:space="0" w:color="auto"/>
        <w:left w:val="none" w:sz="0" w:space="0" w:color="auto"/>
        <w:bottom w:val="none" w:sz="0" w:space="0" w:color="auto"/>
        <w:right w:val="none" w:sz="0" w:space="0" w:color="auto"/>
      </w:divBdr>
    </w:div>
    <w:div w:id="27671671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11368035">
      <w:bodyDiv w:val="1"/>
      <w:marLeft w:val="0"/>
      <w:marRight w:val="0"/>
      <w:marTop w:val="0"/>
      <w:marBottom w:val="0"/>
      <w:divBdr>
        <w:top w:val="none" w:sz="0" w:space="0" w:color="auto"/>
        <w:left w:val="none" w:sz="0" w:space="0" w:color="auto"/>
        <w:bottom w:val="none" w:sz="0" w:space="0" w:color="auto"/>
        <w:right w:val="none" w:sz="0" w:space="0" w:color="auto"/>
      </w:divBdr>
    </w:div>
    <w:div w:id="331185038">
      <w:bodyDiv w:val="1"/>
      <w:marLeft w:val="0"/>
      <w:marRight w:val="0"/>
      <w:marTop w:val="0"/>
      <w:marBottom w:val="0"/>
      <w:divBdr>
        <w:top w:val="none" w:sz="0" w:space="0" w:color="auto"/>
        <w:left w:val="none" w:sz="0" w:space="0" w:color="auto"/>
        <w:bottom w:val="none" w:sz="0" w:space="0" w:color="auto"/>
        <w:right w:val="none" w:sz="0" w:space="0" w:color="auto"/>
      </w:divBdr>
    </w:div>
    <w:div w:id="348719378">
      <w:bodyDiv w:val="1"/>
      <w:marLeft w:val="0"/>
      <w:marRight w:val="0"/>
      <w:marTop w:val="0"/>
      <w:marBottom w:val="0"/>
      <w:divBdr>
        <w:top w:val="none" w:sz="0" w:space="0" w:color="auto"/>
        <w:left w:val="none" w:sz="0" w:space="0" w:color="auto"/>
        <w:bottom w:val="none" w:sz="0" w:space="0" w:color="auto"/>
        <w:right w:val="none" w:sz="0" w:space="0" w:color="auto"/>
      </w:divBdr>
    </w:div>
    <w:div w:id="380449356">
      <w:bodyDiv w:val="1"/>
      <w:marLeft w:val="0"/>
      <w:marRight w:val="0"/>
      <w:marTop w:val="0"/>
      <w:marBottom w:val="0"/>
      <w:divBdr>
        <w:top w:val="none" w:sz="0" w:space="0" w:color="auto"/>
        <w:left w:val="none" w:sz="0" w:space="0" w:color="auto"/>
        <w:bottom w:val="none" w:sz="0" w:space="0" w:color="auto"/>
        <w:right w:val="none" w:sz="0" w:space="0" w:color="auto"/>
      </w:divBdr>
    </w:div>
    <w:div w:id="422075007">
      <w:bodyDiv w:val="1"/>
      <w:marLeft w:val="0"/>
      <w:marRight w:val="0"/>
      <w:marTop w:val="0"/>
      <w:marBottom w:val="0"/>
      <w:divBdr>
        <w:top w:val="none" w:sz="0" w:space="0" w:color="auto"/>
        <w:left w:val="none" w:sz="0" w:space="0" w:color="auto"/>
        <w:bottom w:val="none" w:sz="0" w:space="0" w:color="auto"/>
        <w:right w:val="none" w:sz="0" w:space="0" w:color="auto"/>
      </w:divBdr>
    </w:div>
    <w:div w:id="424304665">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51635094">
      <w:bodyDiv w:val="1"/>
      <w:marLeft w:val="0"/>
      <w:marRight w:val="0"/>
      <w:marTop w:val="0"/>
      <w:marBottom w:val="0"/>
      <w:divBdr>
        <w:top w:val="none" w:sz="0" w:space="0" w:color="auto"/>
        <w:left w:val="none" w:sz="0" w:space="0" w:color="auto"/>
        <w:bottom w:val="none" w:sz="0" w:space="0" w:color="auto"/>
        <w:right w:val="none" w:sz="0" w:space="0" w:color="auto"/>
      </w:divBdr>
    </w:div>
    <w:div w:id="457065244">
      <w:bodyDiv w:val="1"/>
      <w:marLeft w:val="0"/>
      <w:marRight w:val="0"/>
      <w:marTop w:val="0"/>
      <w:marBottom w:val="0"/>
      <w:divBdr>
        <w:top w:val="none" w:sz="0" w:space="0" w:color="auto"/>
        <w:left w:val="none" w:sz="0" w:space="0" w:color="auto"/>
        <w:bottom w:val="none" w:sz="0" w:space="0" w:color="auto"/>
        <w:right w:val="none" w:sz="0" w:space="0" w:color="auto"/>
      </w:divBdr>
    </w:div>
    <w:div w:id="49226390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82494115">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02154823">
      <w:bodyDiv w:val="1"/>
      <w:marLeft w:val="0"/>
      <w:marRight w:val="0"/>
      <w:marTop w:val="0"/>
      <w:marBottom w:val="0"/>
      <w:divBdr>
        <w:top w:val="none" w:sz="0" w:space="0" w:color="auto"/>
        <w:left w:val="none" w:sz="0" w:space="0" w:color="auto"/>
        <w:bottom w:val="none" w:sz="0" w:space="0" w:color="auto"/>
        <w:right w:val="none" w:sz="0" w:space="0" w:color="auto"/>
      </w:divBdr>
    </w:div>
    <w:div w:id="620110220">
      <w:bodyDiv w:val="1"/>
      <w:marLeft w:val="0"/>
      <w:marRight w:val="0"/>
      <w:marTop w:val="0"/>
      <w:marBottom w:val="0"/>
      <w:divBdr>
        <w:top w:val="none" w:sz="0" w:space="0" w:color="auto"/>
        <w:left w:val="none" w:sz="0" w:space="0" w:color="auto"/>
        <w:bottom w:val="none" w:sz="0" w:space="0" w:color="auto"/>
        <w:right w:val="none" w:sz="0" w:space="0" w:color="auto"/>
      </w:divBdr>
    </w:div>
    <w:div w:id="643848716">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03792119">
      <w:bodyDiv w:val="1"/>
      <w:marLeft w:val="0"/>
      <w:marRight w:val="0"/>
      <w:marTop w:val="0"/>
      <w:marBottom w:val="0"/>
      <w:divBdr>
        <w:top w:val="none" w:sz="0" w:space="0" w:color="auto"/>
        <w:left w:val="none" w:sz="0" w:space="0" w:color="auto"/>
        <w:bottom w:val="none" w:sz="0" w:space="0" w:color="auto"/>
        <w:right w:val="none" w:sz="0" w:space="0" w:color="auto"/>
      </w:divBdr>
    </w:div>
    <w:div w:id="749233403">
      <w:bodyDiv w:val="1"/>
      <w:marLeft w:val="0"/>
      <w:marRight w:val="0"/>
      <w:marTop w:val="0"/>
      <w:marBottom w:val="0"/>
      <w:divBdr>
        <w:top w:val="none" w:sz="0" w:space="0" w:color="auto"/>
        <w:left w:val="none" w:sz="0" w:space="0" w:color="auto"/>
        <w:bottom w:val="none" w:sz="0" w:space="0" w:color="auto"/>
        <w:right w:val="none" w:sz="0" w:space="0" w:color="auto"/>
      </w:divBdr>
    </w:div>
    <w:div w:id="761336105">
      <w:bodyDiv w:val="1"/>
      <w:marLeft w:val="0"/>
      <w:marRight w:val="0"/>
      <w:marTop w:val="0"/>
      <w:marBottom w:val="0"/>
      <w:divBdr>
        <w:top w:val="none" w:sz="0" w:space="0" w:color="auto"/>
        <w:left w:val="none" w:sz="0" w:space="0" w:color="auto"/>
        <w:bottom w:val="none" w:sz="0" w:space="0" w:color="auto"/>
        <w:right w:val="none" w:sz="0" w:space="0" w:color="auto"/>
      </w:divBdr>
    </w:div>
    <w:div w:id="765729387">
      <w:bodyDiv w:val="1"/>
      <w:marLeft w:val="0"/>
      <w:marRight w:val="0"/>
      <w:marTop w:val="0"/>
      <w:marBottom w:val="0"/>
      <w:divBdr>
        <w:top w:val="none" w:sz="0" w:space="0" w:color="auto"/>
        <w:left w:val="none" w:sz="0" w:space="0" w:color="auto"/>
        <w:bottom w:val="none" w:sz="0" w:space="0" w:color="auto"/>
        <w:right w:val="none" w:sz="0" w:space="0" w:color="auto"/>
      </w:divBdr>
    </w:div>
    <w:div w:id="834688425">
      <w:bodyDiv w:val="1"/>
      <w:marLeft w:val="0"/>
      <w:marRight w:val="0"/>
      <w:marTop w:val="0"/>
      <w:marBottom w:val="0"/>
      <w:divBdr>
        <w:top w:val="none" w:sz="0" w:space="0" w:color="auto"/>
        <w:left w:val="none" w:sz="0" w:space="0" w:color="auto"/>
        <w:bottom w:val="none" w:sz="0" w:space="0" w:color="auto"/>
        <w:right w:val="none" w:sz="0" w:space="0" w:color="auto"/>
      </w:divBdr>
    </w:div>
    <w:div w:id="871265556">
      <w:bodyDiv w:val="1"/>
      <w:marLeft w:val="0"/>
      <w:marRight w:val="0"/>
      <w:marTop w:val="0"/>
      <w:marBottom w:val="0"/>
      <w:divBdr>
        <w:top w:val="none" w:sz="0" w:space="0" w:color="auto"/>
        <w:left w:val="none" w:sz="0" w:space="0" w:color="auto"/>
        <w:bottom w:val="none" w:sz="0" w:space="0" w:color="auto"/>
        <w:right w:val="none" w:sz="0" w:space="0" w:color="auto"/>
      </w:divBdr>
    </w:div>
    <w:div w:id="895045908">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6400418">
      <w:bodyDiv w:val="1"/>
      <w:marLeft w:val="0"/>
      <w:marRight w:val="0"/>
      <w:marTop w:val="0"/>
      <w:marBottom w:val="0"/>
      <w:divBdr>
        <w:top w:val="none" w:sz="0" w:space="0" w:color="auto"/>
        <w:left w:val="none" w:sz="0" w:space="0" w:color="auto"/>
        <w:bottom w:val="none" w:sz="0" w:space="0" w:color="auto"/>
        <w:right w:val="none" w:sz="0" w:space="0" w:color="auto"/>
      </w:divBdr>
    </w:div>
    <w:div w:id="937635657">
      <w:bodyDiv w:val="1"/>
      <w:marLeft w:val="0"/>
      <w:marRight w:val="0"/>
      <w:marTop w:val="0"/>
      <w:marBottom w:val="0"/>
      <w:divBdr>
        <w:top w:val="none" w:sz="0" w:space="0" w:color="auto"/>
        <w:left w:val="none" w:sz="0" w:space="0" w:color="auto"/>
        <w:bottom w:val="none" w:sz="0" w:space="0" w:color="auto"/>
        <w:right w:val="none" w:sz="0" w:space="0" w:color="auto"/>
      </w:divBdr>
    </w:div>
    <w:div w:id="948507244">
      <w:bodyDiv w:val="1"/>
      <w:marLeft w:val="0"/>
      <w:marRight w:val="0"/>
      <w:marTop w:val="0"/>
      <w:marBottom w:val="0"/>
      <w:divBdr>
        <w:top w:val="none" w:sz="0" w:space="0" w:color="auto"/>
        <w:left w:val="none" w:sz="0" w:space="0" w:color="auto"/>
        <w:bottom w:val="none" w:sz="0" w:space="0" w:color="auto"/>
        <w:right w:val="none" w:sz="0" w:space="0" w:color="auto"/>
      </w:divBdr>
    </w:div>
    <w:div w:id="987591399">
      <w:bodyDiv w:val="1"/>
      <w:marLeft w:val="0"/>
      <w:marRight w:val="0"/>
      <w:marTop w:val="0"/>
      <w:marBottom w:val="0"/>
      <w:divBdr>
        <w:top w:val="none" w:sz="0" w:space="0" w:color="auto"/>
        <w:left w:val="none" w:sz="0" w:space="0" w:color="auto"/>
        <w:bottom w:val="none" w:sz="0" w:space="0" w:color="auto"/>
        <w:right w:val="none" w:sz="0" w:space="0" w:color="auto"/>
      </w:divBdr>
    </w:div>
    <w:div w:id="995452385">
      <w:bodyDiv w:val="1"/>
      <w:marLeft w:val="0"/>
      <w:marRight w:val="0"/>
      <w:marTop w:val="0"/>
      <w:marBottom w:val="0"/>
      <w:divBdr>
        <w:top w:val="none" w:sz="0" w:space="0" w:color="auto"/>
        <w:left w:val="none" w:sz="0" w:space="0" w:color="auto"/>
        <w:bottom w:val="none" w:sz="0" w:space="0" w:color="auto"/>
        <w:right w:val="none" w:sz="0" w:space="0" w:color="auto"/>
      </w:divBdr>
    </w:div>
    <w:div w:id="1001470987">
      <w:bodyDiv w:val="1"/>
      <w:marLeft w:val="0"/>
      <w:marRight w:val="0"/>
      <w:marTop w:val="0"/>
      <w:marBottom w:val="0"/>
      <w:divBdr>
        <w:top w:val="none" w:sz="0" w:space="0" w:color="auto"/>
        <w:left w:val="none" w:sz="0" w:space="0" w:color="auto"/>
        <w:bottom w:val="none" w:sz="0" w:space="0" w:color="auto"/>
        <w:right w:val="none" w:sz="0" w:space="0" w:color="auto"/>
      </w:divBdr>
      <w:divsChild>
        <w:div w:id="1250042016">
          <w:marLeft w:val="0"/>
          <w:marRight w:val="0"/>
          <w:marTop w:val="0"/>
          <w:marBottom w:val="0"/>
          <w:divBdr>
            <w:top w:val="none" w:sz="0" w:space="0" w:color="auto"/>
            <w:left w:val="none" w:sz="0" w:space="0" w:color="auto"/>
            <w:bottom w:val="none" w:sz="0" w:space="0" w:color="auto"/>
            <w:right w:val="none" w:sz="0" w:space="0" w:color="auto"/>
          </w:divBdr>
        </w:div>
      </w:divsChild>
    </w:div>
    <w:div w:id="1012537568">
      <w:bodyDiv w:val="1"/>
      <w:marLeft w:val="0"/>
      <w:marRight w:val="0"/>
      <w:marTop w:val="0"/>
      <w:marBottom w:val="0"/>
      <w:divBdr>
        <w:top w:val="none" w:sz="0" w:space="0" w:color="auto"/>
        <w:left w:val="none" w:sz="0" w:space="0" w:color="auto"/>
        <w:bottom w:val="none" w:sz="0" w:space="0" w:color="auto"/>
        <w:right w:val="none" w:sz="0" w:space="0" w:color="auto"/>
      </w:divBdr>
    </w:div>
    <w:div w:id="1021661582">
      <w:bodyDiv w:val="1"/>
      <w:marLeft w:val="0"/>
      <w:marRight w:val="0"/>
      <w:marTop w:val="0"/>
      <w:marBottom w:val="0"/>
      <w:divBdr>
        <w:top w:val="none" w:sz="0" w:space="0" w:color="auto"/>
        <w:left w:val="none" w:sz="0" w:space="0" w:color="auto"/>
        <w:bottom w:val="none" w:sz="0" w:space="0" w:color="auto"/>
        <w:right w:val="none" w:sz="0" w:space="0" w:color="auto"/>
      </w:divBdr>
    </w:div>
    <w:div w:id="1022052443">
      <w:bodyDiv w:val="1"/>
      <w:marLeft w:val="0"/>
      <w:marRight w:val="0"/>
      <w:marTop w:val="0"/>
      <w:marBottom w:val="0"/>
      <w:divBdr>
        <w:top w:val="none" w:sz="0" w:space="0" w:color="auto"/>
        <w:left w:val="none" w:sz="0" w:space="0" w:color="auto"/>
        <w:bottom w:val="none" w:sz="0" w:space="0" w:color="auto"/>
        <w:right w:val="none" w:sz="0" w:space="0" w:color="auto"/>
      </w:divBdr>
    </w:div>
    <w:div w:id="1025597820">
      <w:bodyDiv w:val="1"/>
      <w:marLeft w:val="0"/>
      <w:marRight w:val="0"/>
      <w:marTop w:val="0"/>
      <w:marBottom w:val="0"/>
      <w:divBdr>
        <w:top w:val="none" w:sz="0" w:space="0" w:color="auto"/>
        <w:left w:val="none" w:sz="0" w:space="0" w:color="auto"/>
        <w:bottom w:val="none" w:sz="0" w:space="0" w:color="auto"/>
        <w:right w:val="none" w:sz="0" w:space="0" w:color="auto"/>
      </w:divBdr>
      <w:divsChild>
        <w:div w:id="2145155589">
          <w:marLeft w:val="0"/>
          <w:marRight w:val="0"/>
          <w:marTop w:val="0"/>
          <w:marBottom w:val="0"/>
          <w:divBdr>
            <w:top w:val="none" w:sz="0" w:space="0" w:color="auto"/>
            <w:left w:val="none" w:sz="0" w:space="0" w:color="auto"/>
            <w:bottom w:val="none" w:sz="0" w:space="0" w:color="auto"/>
            <w:right w:val="none" w:sz="0" w:space="0" w:color="auto"/>
          </w:divBdr>
          <w:divsChild>
            <w:div w:id="961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083">
      <w:bodyDiv w:val="1"/>
      <w:marLeft w:val="0"/>
      <w:marRight w:val="0"/>
      <w:marTop w:val="0"/>
      <w:marBottom w:val="0"/>
      <w:divBdr>
        <w:top w:val="none" w:sz="0" w:space="0" w:color="auto"/>
        <w:left w:val="none" w:sz="0" w:space="0" w:color="auto"/>
        <w:bottom w:val="none" w:sz="0" w:space="0" w:color="auto"/>
        <w:right w:val="none" w:sz="0" w:space="0" w:color="auto"/>
      </w:divBdr>
    </w:div>
    <w:div w:id="105187986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69616382">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25930852">
      <w:bodyDiv w:val="1"/>
      <w:marLeft w:val="0"/>
      <w:marRight w:val="0"/>
      <w:marTop w:val="0"/>
      <w:marBottom w:val="0"/>
      <w:divBdr>
        <w:top w:val="none" w:sz="0" w:space="0" w:color="auto"/>
        <w:left w:val="none" w:sz="0" w:space="0" w:color="auto"/>
        <w:bottom w:val="none" w:sz="0" w:space="0" w:color="auto"/>
        <w:right w:val="none" w:sz="0" w:space="0" w:color="auto"/>
      </w:divBdr>
    </w:div>
    <w:div w:id="1128356964">
      <w:bodyDiv w:val="1"/>
      <w:marLeft w:val="0"/>
      <w:marRight w:val="0"/>
      <w:marTop w:val="0"/>
      <w:marBottom w:val="0"/>
      <w:divBdr>
        <w:top w:val="none" w:sz="0" w:space="0" w:color="auto"/>
        <w:left w:val="none" w:sz="0" w:space="0" w:color="auto"/>
        <w:bottom w:val="none" w:sz="0" w:space="0" w:color="auto"/>
        <w:right w:val="none" w:sz="0" w:space="0" w:color="auto"/>
      </w:divBdr>
    </w:div>
    <w:div w:id="1144928017">
      <w:bodyDiv w:val="1"/>
      <w:marLeft w:val="0"/>
      <w:marRight w:val="0"/>
      <w:marTop w:val="0"/>
      <w:marBottom w:val="0"/>
      <w:divBdr>
        <w:top w:val="none" w:sz="0" w:space="0" w:color="auto"/>
        <w:left w:val="none" w:sz="0" w:space="0" w:color="auto"/>
        <w:bottom w:val="none" w:sz="0" w:space="0" w:color="auto"/>
        <w:right w:val="none" w:sz="0" w:space="0" w:color="auto"/>
      </w:divBdr>
    </w:div>
    <w:div w:id="1180392667">
      <w:bodyDiv w:val="1"/>
      <w:marLeft w:val="0"/>
      <w:marRight w:val="0"/>
      <w:marTop w:val="0"/>
      <w:marBottom w:val="0"/>
      <w:divBdr>
        <w:top w:val="none" w:sz="0" w:space="0" w:color="auto"/>
        <w:left w:val="none" w:sz="0" w:space="0" w:color="auto"/>
        <w:bottom w:val="none" w:sz="0" w:space="0" w:color="auto"/>
        <w:right w:val="none" w:sz="0" w:space="0" w:color="auto"/>
      </w:divBdr>
    </w:div>
    <w:div w:id="1182937944">
      <w:bodyDiv w:val="1"/>
      <w:marLeft w:val="0"/>
      <w:marRight w:val="0"/>
      <w:marTop w:val="0"/>
      <w:marBottom w:val="0"/>
      <w:divBdr>
        <w:top w:val="none" w:sz="0" w:space="0" w:color="auto"/>
        <w:left w:val="none" w:sz="0" w:space="0" w:color="auto"/>
        <w:bottom w:val="none" w:sz="0" w:space="0" w:color="auto"/>
        <w:right w:val="none" w:sz="0" w:space="0" w:color="auto"/>
      </w:divBdr>
    </w:div>
    <w:div w:id="1199275019">
      <w:bodyDiv w:val="1"/>
      <w:marLeft w:val="0"/>
      <w:marRight w:val="0"/>
      <w:marTop w:val="0"/>
      <w:marBottom w:val="0"/>
      <w:divBdr>
        <w:top w:val="none" w:sz="0" w:space="0" w:color="auto"/>
        <w:left w:val="none" w:sz="0" w:space="0" w:color="auto"/>
        <w:bottom w:val="none" w:sz="0" w:space="0" w:color="auto"/>
        <w:right w:val="none" w:sz="0" w:space="0" w:color="auto"/>
      </w:divBdr>
    </w:div>
    <w:div w:id="1245187849">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3808393">
      <w:bodyDiv w:val="1"/>
      <w:marLeft w:val="0"/>
      <w:marRight w:val="0"/>
      <w:marTop w:val="0"/>
      <w:marBottom w:val="0"/>
      <w:divBdr>
        <w:top w:val="none" w:sz="0" w:space="0" w:color="auto"/>
        <w:left w:val="none" w:sz="0" w:space="0" w:color="auto"/>
        <w:bottom w:val="none" w:sz="0" w:space="0" w:color="auto"/>
        <w:right w:val="none" w:sz="0" w:space="0" w:color="auto"/>
      </w:divBdr>
    </w:div>
    <w:div w:id="129887877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71149511">
      <w:bodyDiv w:val="1"/>
      <w:marLeft w:val="0"/>
      <w:marRight w:val="0"/>
      <w:marTop w:val="0"/>
      <w:marBottom w:val="0"/>
      <w:divBdr>
        <w:top w:val="none" w:sz="0" w:space="0" w:color="auto"/>
        <w:left w:val="none" w:sz="0" w:space="0" w:color="auto"/>
        <w:bottom w:val="none" w:sz="0" w:space="0" w:color="auto"/>
        <w:right w:val="none" w:sz="0" w:space="0" w:color="auto"/>
      </w:divBdr>
    </w:div>
    <w:div w:id="1388264691">
      <w:bodyDiv w:val="1"/>
      <w:marLeft w:val="0"/>
      <w:marRight w:val="0"/>
      <w:marTop w:val="0"/>
      <w:marBottom w:val="0"/>
      <w:divBdr>
        <w:top w:val="none" w:sz="0" w:space="0" w:color="auto"/>
        <w:left w:val="none" w:sz="0" w:space="0" w:color="auto"/>
        <w:bottom w:val="none" w:sz="0" w:space="0" w:color="auto"/>
        <w:right w:val="none" w:sz="0" w:space="0" w:color="auto"/>
      </w:divBdr>
    </w:div>
    <w:div w:id="1389458015">
      <w:bodyDiv w:val="1"/>
      <w:marLeft w:val="0"/>
      <w:marRight w:val="0"/>
      <w:marTop w:val="0"/>
      <w:marBottom w:val="0"/>
      <w:divBdr>
        <w:top w:val="none" w:sz="0" w:space="0" w:color="auto"/>
        <w:left w:val="none" w:sz="0" w:space="0" w:color="auto"/>
        <w:bottom w:val="none" w:sz="0" w:space="0" w:color="auto"/>
        <w:right w:val="none" w:sz="0" w:space="0" w:color="auto"/>
      </w:divBdr>
    </w:div>
    <w:div w:id="1395422532">
      <w:bodyDiv w:val="1"/>
      <w:marLeft w:val="0"/>
      <w:marRight w:val="0"/>
      <w:marTop w:val="0"/>
      <w:marBottom w:val="0"/>
      <w:divBdr>
        <w:top w:val="none" w:sz="0" w:space="0" w:color="auto"/>
        <w:left w:val="none" w:sz="0" w:space="0" w:color="auto"/>
        <w:bottom w:val="none" w:sz="0" w:space="0" w:color="auto"/>
        <w:right w:val="none" w:sz="0" w:space="0" w:color="auto"/>
      </w:divBdr>
    </w:div>
    <w:div w:id="1399744811">
      <w:bodyDiv w:val="1"/>
      <w:marLeft w:val="0"/>
      <w:marRight w:val="0"/>
      <w:marTop w:val="0"/>
      <w:marBottom w:val="0"/>
      <w:divBdr>
        <w:top w:val="none" w:sz="0" w:space="0" w:color="auto"/>
        <w:left w:val="none" w:sz="0" w:space="0" w:color="auto"/>
        <w:bottom w:val="none" w:sz="0" w:space="0" w:color="auto"/>
        <w:right w:val="none" w:sz="0" w:space="0" w:color="auto"/>
      </w:divBdr>
    </w:div>
    <w:div w:id="1419012817">
      <w:bodyDiv w:val="1"/>
      <w:marLeft w:val="0"/>
      <w:marRight w:val="0"/>
      <w:marTop w:val="0"/>
      <w:marBottom w:val="0"/>
      <w:divBdr>
        <w:top w:val="none" w:sz="0" w:space="0" w:color="auto"/>
        <w:left w:val="none" w:sz="0" w:space="0" w:color="auto"/>
        <w:bottom w:val="none" w:sz="0" w:space="0" w:color="auto"/>
        <w:right w:val="none" w:sz="0" w:space="0" w:color="auto"/>
      </w:divBdr>
    </w:div>
    <w:div w:id="1458914702">
      <w:bodyDiv w:val="1"/>
      <w:marLeft w:val="0"/>
      <w:marRight w:val="0"/>
      <w:marTop w:val="0"/>
      <w:marBottom w:val="0"/>
      <w:divBdr>
        <w:top w:val="none" w:sz="0" w:space="0" w:color="auto"/>
        <w:left w:val="none" w:sz="0" w:space="0" w:color="auto"/>
        <w:bottom w:val="none" w:sz="0" w:space="0" w:color="auto"/>
        <w:right w:val="none" w:sz="0" w:space="0" w:color="auto"/>
      </w:divBdr>
    </w:div>
    <w:div w:id="1474248079">
      <w:bodyDiv w:val="1"/>
      <w:marLeft w:val="0"/>
      <w:marRight w:val="0"/>
      <w:marTop w:val="0"/>
      <w:marBottom w:val="0"/>
      <w:divBdr>
        <w:top w:val="none" w:sz="0" w:space="0" w:color="auto"/>
        <w:left w:val="none" w:sz="0" w:space="0" w:color="auto"/>
        <w:bottom w:val="none" w:sz="0" w:space="0" w:color="auto"/>
        <w:right w:val="none" w:sz="0" w:space="0" w:color="auto"/>
      </w:divBdr>
      <w:divsChild>
        <w:div w:id="586503750">
          <w:marLeft w:val="0"/>
          <w:marRight w:val="0"/>
          <w:marTop w:val="0"/>
          <w:marBottom w:val="0"/>
          <w:divBdr>
            <w:top w:val="none" w:sz="0" w:space="0" w:color="auto"/>
            <w:left w:val="none" w:sz="0" w:space="0" w:color="auto"/>
            <w:bottom w:val="none" w:sz="0" w:space="0" w:color="auto"/>
            <w:right w:val="none" w:sz="0" w:space="0" w:color="auto"/>
          </w:divBdr>
          <w:divsChild>
            <w:div w:id="1288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88547622">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02702172">
      <w:bodyDiv w:val="1"/>
      <w:marLeft w:val="0"/>
      <w:marRight w:val="0"/>
      <w:marTop w:val="0"/>
      <w:marBottom w:val="0"/>
      <w:divBdr>
        <w:top w:val="none" w:sz="0" w:space="0" w:color="auto"/>
        <w:left w:val="none" w:sz="0" w:space="0" w:color="auto"/>
        <w:bottom w:val="none" w:sz="0" w:space="0" w:color="auto"/>
        <w:right w:val="none" w:sz="0" w:space="0" w:color="auto"/>
      </w:divBdr>
    </w:div>
    <w:div w:id="1511217431">
      <w:bodyDiv w:val="1"/>
      <w:marLeft w:val="0"/>
      <w:marRight w:val="0"/>
      <w:marTop w:val="0"/>
      <w:marBottom w:val="0"/>
      <w:divBdr>
        <w:top w:val="none" w:sz="0" w:space="0" w:color="auto"/>
        <w:left w:val="none" w:sz="0" w:space="0" w:color="auto"/>
        <w:bottom w:val="none" w:sz="0" w:space="0" w:color="auto"/>
        <w:right w:val="none" w:sz="0" w:space="0" w:color="auto"/>
      </w:divBdr>
    </w:div>
    <w:div w:id="1517770816">
      <w:bodyDiv w:val="1"/>
      <w:marLeft w:val="0"/>
      <w:marRight w:val="0"/>
      <w:marTop w:val="0"/>
      <w:marBottom w:val="0"/>
      <w:divBdr>
        <w:top w:val="none" w:sz="0" w:space="0" w:color="auto"/>
        <w:left w:val="none" w:sz="0" w:space="0" w:color="auto"/>
        <w:bottom w:val="none" w:sz="0" w:space="0" w:color="auto"/>
        <w:right w:val="none" w:sz="0" w:space="0" w:color="auto"/>
      </w:divBdr>
    </w:div>
    <w:div w:id="1530221834">
      <w:bodyDiv w:val="1"/>
      <w:marLeft w:val="0"/>
      <w:marRight w:val="0"/>
      <w:marTop w:val="0"/>
      <w:marBottom w:val="0"/>
      <w:divBdr>
        <w:top w:val="none" w:sz="0" w:space="0" w:color="auto"/>
        <w:left w:val="none" w:sz="0" w:space="0" w:color="auto"/>
        <w:bottom w:val="none" w:sz="0" w:space="0" w:color="auto"/>
        <w:right w:val="none" w:sz="0" w:space="0" w:color="auto"/>
      </w:divBdr>
    </w:div>
    <w:div w:id="1562445808">
      <w:bodyDiv w:val="1"/>
      <w:marLeft w:val="0"/>
      <w:marRight w:val="0"/>
      <w:marTop w:val="0"/>
      <w:marBottom w:val="0"/>
      <w:divBdr>
        <w:top w:val="none" w:sz="0" w:space="0" w:color="auto"/>
        <w:left w:val="none" w:sz="0" w:space="0" w:color="auto"/>
        <w:bottom w:val="none" w:sz="0" w:space="0" w:color="auto"/>
        <w:right w:val="none" w:sz="0" w:space="0" w:color="auto"/>
      </w:divBdr>
    </w:div>
    <w:div w:id="1604221675">
      <w:bodyDiv w:val="1"/>
      <w:marLeft w:val="0"/>
      <w:marRight w:val="0"/>
      <w:marTop w:val="0"/>
      <w:marBottom w:val="0"/>
      <w:divBdr>
        <w:top w:val="none" w:sz="0" w:space="0" w:color="auto"/>
        <w:left w:val="none" w:sz="0" w:space="0" w:color="auto"/>
        <w:bottom w:val="none" w:sz="0" w:space="0" w:color="auto"/>
        <w:right w:val="none" w:sz="0" w:space="0" w:color="auto"/>
      </w:divBdr>
    </w:div>
    <w:div w:id="1610891202">
      <w:bodyDiv w:val="1"/>
      <w:marLeft w:val="0"/>
      <w:marRight w:val="0"/>
      <w:marTop w:val="0"/>
      <w:marBottom w:val="0"/>
      <w:divBdr>
        <w:top w:val="none" w:sz="0" w:space="0" w:color="auto"/>
        <w:left w:val="none" w:sz="0" w:space="0" w:color="auto"/>
        <w:bottom w:val="none" w:sz="0" w:space="0" w:color="auto"/>
        <w:right w:val="none" w:sz="0" w:space="0" w:color="auto"/>
      </w:divBdr>
    </w:div>
    <w:div w:id="1613900342">
      <w:bodyDiv w:val="1"/>
      <w:marLeft w:val="0"/>
      <w:marRight w:val="0"/>
      <w:marTop w:val="0"/>
      <w:marBottom w:val="0"/>
      <w:divBdr>
        <w:top w:val="none" w:sz="0" w:space="0" w:color="auto"/>
        <w:left w:val="none" w:sz="0" w:space="0" w:color="auto"/>
        <w:bottom w:val="none" w:sz="0" w:space="0" w:color="auto"/>
        <w:right w:val="none" w:sz="0" w:space="0" w:color="auto"/>
      </w:divBdr>
    </w:div>
    <w:div w:id="1618756159">
      <w:bodyDiv w:val="1"/>
      <w:marLeft w:val="0"/>
      <w:marRight w:val="0"/>
      <w:marTop w:val="0"/>
      <w:marBottom w:val="0"/>
      <w:divBdr>
        <w:top w:val="none" w:sz="0" w:space="0" w:color="auto"/>
        <w:left w:val="none" w:sz="0" w:space="0" w:color="auto"/>
        <w:bottom w:val="none" w:sz="0" w:space="0" w:color="auto"/>
        <w:right w:val="none" w:sz="0" w:space="0" w:color="auto"/>
      </w:divBdr>
    </w:div>
    <w:div w:id="1631279431">
      <w:bodyDiv w:val="1"/>
      <w:marLeft w:val="0"/>
      <w:marRight w:val="0"/>
      <w:marTop w:val="0"/>
      <w:marBottom w:val="0"/>
      <w:divBdr>
        <w:top w:val="none" w:sz="0" w:space="0" w:color="auto"/>
        <w:left w:val="none" w:sz="0" w:space="0" w:color="auto"/>
        <w:bottom w:val="none" w:sz="0" w:space="0" w:color="auto"/>
        <w:right w:val="none" w:sz="0" w:space="0" w:color="auto"/>
      </w:divBdr>
    </w:div>
    <w:div w:id="1644888952">
      <w:bodyDiv w:val="1"/>
      <w:marLeft w:val="0"/>
      <w:marRight w:val="0"/>
      <w:marTop w:val="0"/>
      <w:marBottom w:val="0"/>
      <w:divBdr>
        <w:top w:val="none" w:sz="0" w:space="0" w:color="auto"/>
        <w:left w:val="none" w:sz="0" w:space="0" w:color="auto"/>
        <w:bottom w:val="none" w:sz="0" w:space="0" w:color="auto"/>
        <w:right w:val="none" w:sz="0" w:space="0" w:color="auto"/>
      </w:divBdr>
    </w:div>
    <w:div w:id="1645960912">
      <w:bodyDiv w:val="1"/>
      <w:marLeft w:val="0"/>
      <w:marRight w:val="0"/>
      <w:marTop w:val="0"/>
      <w:marBottom w:val="0"/>
      <w:divBdr>
        <w:top w:val="none" w:sz="0" w:space="0" w:color="auto"/>
        <w:left w:val="none" w:sz="0" w:space="0" w:color="auto"/>
        <w:bottom w:val="none" w:sz="0" w:space="0" w:color="auto"/>
        <w:right w:val="none" w:sz="0" w:space="0" w:color="auto"/>
      </w:divBdr>
    </w:div>
    <w:div w:id="1650205492">
      <w:bodyDiv w:val="1"/>
      <w:marLeft w:val="0"/>
      <w:marRight w:val="0"/>
      <w:marTop w:val="0"/>
      <w:marBottom w:val="0"/>
      <w:divBdr>
        <w:top w:val="none" w:sz="0" w:space="0" w:color="auto"/>
        <w:left w:val="none" w:sz="0" w:space="0" w:color="auto"/>
        <w:bottom w:val="none" w:sz="0" w:space="0" w:color="auto"/>
        <w:right w:val="none" w:sz="0" w:space="0" w:color="auto"/>
      </w:divBdr>
    </w:div>
    <w:div w:id="1653676844">
      <w:bodyDiv w:val="1"/>
      <w:marLeft w:val="0"/>
      <w:marRight w:val="0"/>
      <w:marTop w:val="0"/>
      <w:marBottom w:val="0"/>
      <w:divBdr>
        <w:top w:val="none" w:sz="0" w:space="0" w:color="auto"/>
        <w:left w:val="none" w:sz="0" w:space="0" w:color="auto"/>
        <w:bottom w:val="none" w:sz="0" w:space="0" w:color="auto"/>
        <w:right w:val="none" w:sz="0" w:space="0" w:color="auto"/>
      </w:divBdr>
    </w:div>
    <w:div w:id="1666080825">
      <w:bodyDiv w:val="1"/>
      <w:marLeft w:val="0"/>
      <w:marRight w:val="0"/>
      <w:marTop w:val="0"/>
      <w:marBottom w:val="0"/>
      <w:divBdr>
        <w:top w:val="none" w:sz="0" w:space="0" w:color="auto"/>
        <w:left w:val="none" w:sz="0" w:space="0" w:color="auto"/>
        <w:bottom w:val="none" w:sz="0" w:space="0" w:color="auto"/>
        <w:right w:val="none" w:sz="0" w:space="0" w:color="auto"/>
      </w:divBdr>
    </w:div>
    <w:div w:id="1685863015">
      <w:bodyDiv w:val="1"/>
      <w:marLeft w:val="0"/>
      <w:marRight w:val="0"/>
      <w:marTop w:val="0"/>
      <w:marBottom w:val="0"/>
      <w:divBdr>
        <w:top w:val="none" w:sz="0" w:space="0" w:color="auto"/>
        <w:left w:val="none" w:sz="0" w:space="0" w:color="auto"/>
        <w:bottom w:val="none" w:sz="0" w:space="0" w:color="auto"/>
        <w:right w:val="none" w:sz="0" w:space="0" w:color="auto"/>
      </w:divBdr>
    </w:div>
    <w:div w:id="1694645472">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40592913">
      <w:bodyDiv w:val="1"/>
      <w:marLeft w:val="0"/>
      <w:marRight w:val="0"/>
      <w:marTop w:val="0"/>
      <w:marBottom w:val="0"/>
      <w:divBdr>
        <w:top w:val="none" w:sz="0" w:space="0" w:color="auto"/>
        <w:left w:val="none" w:sz="0" w:space="0" w:color="auto"/>
        <w:bottom w:val="none" w:sz="0" w:space="0" w:color="auto"/>
        <w:right w:val="none" w:sz="0" w:space="0" w:color="auto"/>
      </w:divBdr>
    </w:div>
    <w:div w:id="1746956329">
      <w:bodyDiv w:val="1"/>
      <w:marLeft w:val="0"/>
      <w:marRight w:val="0"/>
      <w:marTop w:val="0"/>
      <w:marBottom w:val="0"/>
      <w:divBdr>
        <w:top w:val="none" w:sz="0" w:space="0" w:color="auto"/>
        <w:left w:val="none" w:sz="0" w:space="0" w:color="auto"/>
        <w:bottom w:val="none" w:sz="0" w:space="0" w:color="auto"/>
        <w:right w:val="none" w:sz="0" w:space="0" w:color="auto"/>
      </w:divBdr>
    </w:div>
    <w:div w:id="1769961972">
      <w:bodyDiv w:val="1"/>
      <w:marLeft w:val="0"/>
      <w:marRight w:val="0"/>
      <w:marTop w:val="0"/>
      <w:marBottom w:val="0"/>
      <w:divBdr>
        <w:top w:val="none" w:sz="0" w:space="0" w:color="auto"/>
        <w:left w:val="none" w:sz="0" w:space="0" w:color="auto"/>
        <w:bottom w:val="none" w:sz="0" w:space="0" w:color="auto"/>
        <w:right w:val="none" w:sz="0" w:space="0" w:color="auto"/>
      </w:divBdr>
    </w:div>
    <w:div w:id="1786920323">
      <w:bodyDiv w:val="1"/>
      <w:marLeft w:val="0"/>
      <w:marRight w:val="0"/>
      <w:marTop w:val="0"/>
      <w:marBottom w:val="0"/>
      <w:divBdr>
        <w:top w:val="none" w:sz="0" w:space="0" w:color="auto"/>
        <w:left w:val="none" w:sz="0" w:space="0" w:color="auto"/>
        <w:bottom w:val="none" w:sz="0" w:space="0" w:color="auto"/>
        <w:right w:val="none" w:sz="0" w:space="0" w:color="auto"/>
      </w:divBdr>
    </w:div>
    <w:div w:id="1790591192">
      <w:bodyDiv w:val="1"/>
      <w:marLeft w:val="0"/>
      <w:marRight w:val="0"/>
      <w:marTop w:val="0"/>
      <w:marBottom w:val="0"/>
      <w:divBdr>
        <w:top w:val="none" w:sz="0" w:space="0" w:color="auto"/>
        <w:left w:val="none" w:sz="0" w:space="0" w:color="auto"/>
        <w:bottom w:val="none" w:sz="0" w:space="0" w:color="auto"/>
        <w:right w:val="none" w:sz="0" w:space="0" w:color="auto"/>
      </w:divBdr>
    </w:div>
    <w:div w:id="1816682659">
      <w:bodyDiv w:val="1"/>
      <w:marLeft w:val="0"/>
      <w:marRight w:val="0"/>
      <w:marTop w:val="0"/>
      <w:marBottom w:val="0"/>
      <w:divBdr>
        <w:top w:val="none" w:sz="0" w:space="0" w:color="auto"/>
        <w:left w:val="none" w:sz="0" w:space="0" w:color="auto"/>
        <w:bottom w:val="none" w:sz="0" w:space="0" w:color="auto"/>
        <w:right w:val="none" w:sz="0" w:space="0" w:color="auto"/>
      </w:divBdr>
    </w:div>
    <w:div w:id="1835992980">
      <w:bodyDiv w:val="1"/>
      <w:marLeft w:val="0"/>
      <w:marRight w:val="0"/>
      <w:marTop w:val="0"/>
      <w:marBottom w:val="0"/>
      <w:divBdr>
        <w:top w:val="none" w:sz="0" w:space="0" w:color="auto"/>
        <w:left w:val="none" w:sz="0" w:space="0" w:color="auto"/>
        <w:bottom w:val="none" w:sz="0" w:space="0" w:color="auto"/>
        <w:right w:val="none" w:sz="0" w:space="0" w:color="auto"/>
      </w:divBdr>
    </w:div>
    <w:div w:id="1846703868">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6626459">
      <w:bodyDiv w:val="1"/>
      <w:marLeft w:val="0"/>
      <w:marRight w:val="0"/>
      <w:marTop w:val="0"/>
      <w:marBottom w:val="0"/>
      <w:divBdr>
        <w:top w:val="none" w:sz="0" w:space="0" w:color="auto"/>
        <w:left w:val="none" w:sz="0" w:space="0" w:color="auto"/>
        <w:bottom w:val="none" w:sz="0" w:space="0" w:color="auto"/>
        <w:right w:val="none" w:sz="0" w:space="0" w:color="auto"/>
      </w:divBdr>
    </w:div>
    <w:div w:id="1889410060">
      <w:bodyDiv w:val="1"/>
      <w:marLeft w:val="0"/>
      <w:marRight w:val="0"/>
      <w:marTop w:val="0"/>
      <w:marBottom w:val="0"/>
      <w:divBdr>
        <w:top w:val="none" w:sz="0" w:space="0" w:color="auto"/>
        <w:left w:val="none" w:sz="0" w:space="0" w:color="auto"/>
        <w:bottom w:val="none" w:sz="0" w:space="0" w:color="auto"/>
        <w:right w:val="none" w:sz="0" w:space="0" w:color="auto"/>
      </w:divBdr>
    </w:div>
    <w:div w:id="1907717861">
      <w:bodyDiv w:val="1"/>
      <w:marLeft w:val="0"/>
      <w:marRight w:val="0"/>
      <w:marTop w:val="0"/>
      <w:marBottom w:val="0"/>
      <w:divBdr>
        <w:top w:val="none" w:sz="0" w:space="0" w:color="auto"/>
        <w:left w:val="none" w:sz="0" w:space="0" w:color="auto"/>
        <w:bottom w:val="none" w:sz="0" w:space="0" w:color="auto"/>
        <w:right w:val="none" w:sz="0" w:space="0" w:color="auto"/>
      </w:divBdr>
    </w:div>
    <w:div w:id="1910533014">
      <w:bodyDiv w:val="1"/>
      <w:marLeft w:val="0"/>
      <w:marRight w:val="0"/>
      <w:marTop w:val="0"/>
      <w:marBottom w:val="0"/>
      <w:divBdr>
        <w:top w:val="none" w:sz="0" w:space="0" w:color="auto"/>
        <w:left w:val="none" w:sz="0" w:space="0" w:color="auto"/>
        <w:bottom w:val="none" w:sz="0" w:space="0" w:color="auto"/>
        <w:right w:val="none" w:sz="0" w:space="0" w:color="auto"/>
      </w:divBdr>
    </w:div>
    <w:div w:id="1941840395">
      <w:bodyDiv w:val="1"/>
      <w:marLeft w:val="0"/>
      <w:marRight w:val="0"/>
      <w:marTop w:val="0"/>
      <w:marBottom w:val="0"/>
      <w:divBdr>
        <w:top w:val="none" w:sz="0" w:space="0" w:color="auto"/>
        <w:left w:val="none" w:sz="0" w:space="0" w:color="auto"/>
        <w:bottom w:val="none" w:sz="0" w:space="0" w:color="auto"/>
        <w:right w:val="none" w:sz="0" w:space="0" w:color="auto"/>
      </w:divBdr>
    </w:div>
    <w:div w:id="203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17160242">
          <w:marLeft w:val="0"/>
          <w:marRight w:val="0"/>
          <w:marTop w:val="0"/>
          <w:marBottom w:val="0"/>
          <w:divBdr>
            <w:top w:val="none" w:sz="0" w:space="0" w:color="auto"/>
            <w:left w:val="none" w:sz="0" w:space="0" w:color="auto"/>
            <w:bottom w:val="none" w:sz="0" w:space="0" w:color="auto"/>
            <w:right w:val="none" w:sz="0" w:space="0" w:color="auto"/>
          </w:divBdr>
          <w:divsChild>
            <w:div w:id="12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4401">
      <w:bodyDiv w:val="1"/>
      <w:marLeft w:val="0"/>
      <w:marRight w:val="0"/>
      <w:marTop w:val="0"/>
      <w:marBottom w:val="0"/>
      <w:divBdr>
        <w:top w:val="none" w:sz="0" w:space="0" w:color="auto"/>
        <w:left w:val="none" w:sz="0" w:space="0" w:color="auto"/>
        <w:bottom w:val="none" w:sz="0" w:space="0" w:color="auto"/>
        <w:right w:val="none" w:sz="0" w:space="0" w:color="auto"/>
      </w:divBdr>
    </w:div>
    <w:div w:id="2101942826">
      <w:bodyDiv w:val="1"/>
      <w:marLeft w:val="0"/>
      <w:marRight w:val="0"/>
      <w:marTop w:val="0"/>
      <w:marBottom w:val="0"/>
      <w:divBdr>
        <w:top w:val="none" w:sz="0" w:space="0" w:color="auto"/>
        <w:left w:val="none" w:sz="0" w:space="0" w:color="auto"/>
        <w:bottom w:val="none" w:sz="0" w:space="0" w:color="auto"/>
        <w:right w:val="none" w:sz="0" w:space="0" w:color="auto"/>
      </w:divBdr>
      <w:divsChild>
        <w:div w:id="552011539">
          <w:marLeft w:val="0"/>
          <w:marRight w:val="255"/>
          <w:marTop w:val="0"/>
          <w:marBottom w:val="0"/>
          <w:divBdr>
            <w:top w:val="none" w:sz="0" w:space="0" w:color="auto"/>
            <w:left w:val="none" w:sz="0" w:space="0" w:color="auto"/>
            <w:bottom w:val="none" w:sz="0" w:space="0" w:color="auto"/>
            <w:right w:val="none" w:sz="0" w:space="0" w:color="auto"/>
          </w:divBdr>
          <w:divsChild>
            <w:div w:id="1937640239">
              <w:marLeft w:val="0"/>
              <w:marRight w:val="0"/>
              <w:marTop w:val="0"/>
              <w:marBottom w:val="0"/>
              <w:divBdr>
                <w:top w:val="none" w:sz="0" w:space="0" w:color="auto"/>
                <w:left w:val="none" w:sz="0" w:space="0" w:color="auto"/>
                <w:bottom w:val="none" w:sz="0" w:space="0" w:color="auto"/>
                <w:right w:val="none" w:sz="0" w:space="0" w:color="auto"/>
              </w:divBdr>
              <w:divsChild>
                <w:div w:id="1885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3123">
      <w:bodyDiv w:val="1"/>
      <w:marLeft w:val="0"/>
      <w:marRight w:val="0"/>
      <w:marTop w:val="0"/>
      <w:marBottom w:val="0"/>
      <w:divBdr>
        <w:top w:val="none" w:sz="0" w:space="0" w:color="auto"/>
        <w:left w:val="none" w:sz="0" w:space="0" w:color="auto"/>
        <w:bottom w:val="none" w:sz="0" w:space="0" w:color="auto"/>
        <w:right w:val="none" w:sz="0" w:space="0" w:color="auto"/>
      </w:divBdr>
    </w:div>
    <w:div w:id="2104524669">
      <w:bodyDiv w:val="1"/>
      <w:marLeft w:val="0"/>
      <w:marRight w:val="0"/>
      <w:marTop w:val="0"/>
      <w:marBottom w:val="0"/>
      <w:divBdr>
        <w:top w:val="none" w:sz="0" w:space="0" w:color="auto"/>
        <w:left w:val="none" w:sz="0" w:space="0" w:color="auto"/>
        <w:bottom w:val="none" w:sz="0" w:space="0" w:color="auto"/>
        <w:right w:val="none" w:sz="0" w:space="0" w:color="auto"/>
      </w:divBdr>
    </w:div>
    <w:div w:id="21084269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sources-marines.gov.pf" TargetMode="External"/><Relationship Id="rId5" Type="http://schemas.openxmlformats.org/officeDocument/2006/relationships/webSettings" Target="webSettings.xml"/><Relationship Id="rId10" Type="http://schemas.openxmlformats.org/officeDocument/2006/relationships/hyperlink" Target="http://ressources-marines.gov.pf" TargetMode="External"/><Relationship Id="rId4" Type="http://schemas.openxmlformats.org/officeDocument/2006/relationships/settings" Target="settings.xml"/><Relationship Id="rId9" Type="http://schemas.openxmlformats.org/officeDocument/2006/relationships/hyperlink" Target="http://ressources-marines.gov.p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8CAC-DAFF-4B75-ABB9-CEB3AB53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17</Pages>
  <Words>7214</Words>
  <Characters>39680</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128</cp:revision>
  <cp:lastPrinted>2021-12-23T02:29:00Z</cp:lastPrinted>
  <dcterms:created xsi:type="dcterms:W3CDTF">2021-12-13T23:21:00Z</dcterms:created>
  <dcterms:modified xsi:type="dcterms:W3CDTF">2021-12-23T03:17:00Z</dcterms:modified>
</cp:coreProperties>
</file>