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894E" w14:textId="77777777" w:rsidR="00625270" w:rsidRPr="00CF60AA" w:rsidRDefault="00625270" w:rsidP="00CF60AA">
      <w:pPr>
        <w:jc w:val="both"/>
        <w:rPr>
          <w:rFonts w:ascii="Cambria" w:hAnsi="Cambria"/>
          <w:lang w:eastAsia="fr-FR"/>
        </w:rPr>
      </w:pPr>
      <w:r w:rsidRPr="00CF60AA">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CF60AA">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CF60AA">
        <w:rPr>
          <w:rFonts w:ascii="Cambria" w:hAnsi="Cambria"/>
          <w:lang w:eastAsia="fr-FR"/>
        </w:rPr>
        <w:t xml:space="preserve"> </w:t>
      </w:r>
    </w:p>
    <w:p w14:paraId="5B96777C" w14:textId="77777777" w:rsidR="00625270" w:rsidRPr="00CF60AA" w:rsidRDefault="00625270" w:rsidP="00CF60AA">
      <w:pPr>
        <w:jc w:val="both"/>
        <w:rPr>
          <w:rFonts w:ascii="Cambria" w:hAnsi="Cambria"/>
          <w:color w:val="993366"/>
        </w:rPr>
      </w:pPr>
    </w:p>
    <w:p w14:paraId="3672BD85" w14:textId="77777777" w:rsidR="00625270" w:rsidRPr="00CF60AA" w:rsidRDefault="00625270" w:rsidP="00CF60AA">
      <w:pPr>
        <w:jc w:val="both"/>
        <w:rPr>
          <w:rFonts w:ascii="Cambria" w:hAnsi="Cambria"/>
          <w:color w:val="993366"/>
        </w:rPr>
      </w:pPr>
    </w:p>
    <w:p w14:paraId="6ADD5940" w14:textId="77777777" w:rsidR="00625270" w:rsidRPr="00CF60AA" w:rsidRDefault="00625270" w:rsidP="00CF60AA">
      <w:pPr>
        <w:jc w:val="both"/>
        <w:rPr>
          <w:rFonts w:ascii="Cambria" w:hAnsi="Cambria"/>
          <w:color w:val="993366"/>
        </w:rPr>
      </w:pPr>
    </w:p>
    <w:p w14:paraId="48B5E675" w14:textId="77777777" w:rsidR="00625270" w:rsidRPr="00CF60AA" w:rsidRDefault="00625270" w:rsidP="00CF60AA">
      <w:pPr>
        <w:jc w:val="both"/>
        <w:rPr>
          <w:rFonts w:ascii="Cambria" w:hAnsi="Cambria"/>
          <w:color w:val="993366"/>
        </w:rPr>
      </w:pPr>
    </w:p>
    <w:p w14:paraId="0556FA3D" w14:textId="77777777" w:rsidR="00625270" w:rsidRPr="00CF60AA" w:rsidRDefault="00625270" w:rsidP="00CF60AA">
      <w:pPr>
        <w:tabs>
          <w:tab w:val="center" w:pos="4533"/>
          <w:tab w:val="left" w:pos="6544"/>
        </w:tabs>
        <w:jc w:val="both"/>
        <w:rPr>
          <w:rFonts w:ascii="Cambria" w:hAnsi="Cambria"/>
          <w:u w:val="single"/>
        </w:rPr>
      </w:pPr>
      <w:r w:rsidRPr="00CF60AA">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CF60AA" w:rsidRDefault="00625270" w:rsidP="00CF60AA">
      <w:pPr>
        <w:tabs>
          <w:tab w:val="left" w:pos="3240"/>
        </w:tabs>
        <w:jc w:val="center"/>
        <w:rPr>
          <w:rFonts w:ascii="Cambria" w:hAnsi="Cambria" w:cs="Arial"/>
          <w:b/>
        </w:rPr>
      </w:pPr>
      <w:r w:rsidRPr="00CF60AA">
        <w:rPr>
          <w:rFonts w:ascii="Cambria" w:hAnsi="Cambria" w:cs="Arial"/>
          <w:b/>
        </w:rPr>
        <w:t>BUREAU DE LA COMMUNICATION</w:t>
      </w:r>
    </w:p>
    <w:p w14:paraId="48860829" w14:textId="729362DB" w:rsidR="00625270" w:rsidRPr="00CF60AA" w:rsidRDefault="004C71F3" w:rsidP="00CF60AA">
      <w:pPr>
        <w:tabs>
          <w:tab w:val="left" w:pos="3240"/>
        </w:tabs>
        <w:jc w:val="center"/>
        <w:rPr>
          <w:rFonts w:ascii="Cambria" w:hAnsi="Cambria" w:cs="Arial"/>
          <w:b/>
          <w:i/>
        </w:rPr>
      </w:pPr>
      <w:r w:rsidRPr="00CF60AA">
        <w:rPr>
          <w:rFonts w:ascii="Cambria" w:hAnsi="Cambria" w:cs="Arial"/>
          <w:b/>
          <w:i/>
        </w:rPr>
        <w:t>Mercredi</w:t>
      </w:r>
      <w:r w:rsidR="00625270" w:rsidRPr="00CF60AA">
        <w:rPr>
          <w:rFonts w:ascii="Cambria" w:hAnsi="Cambria" w:cs="Arial"/>
          <w:b/>
          <w:i/>
        </w:rPr>
        <w:t xml:space="preserve"> </w:t>
      </w:r>
      <w:r w:rsidR="00D95AFF">
        <w:rPr>
          <w:rFonts w:ascii="Cambria" w:hAnsi="Cambria" w:cs="Arial"/>
          <w:b/>
          <w:i/>
        </w:rPr>
        <w:t>1 décembre</w:t>
      </w:r>
      <w:r w:rsidR="00625270" w:rsidRPr="00CF60AA">
        <w:rPr>
          <w:rFonts w:ascii="Cambria" w:hAnsi="Cambria" w:cs="Arial"/>
          <w:b/>
          <w:i/>
        </w:rPr>
        <w:t xml:space="preserve"> 202</w:t>
      </w:r>
      <w:r w:rsidR="00456DD6" w:rsidRPr="00CF60AA">
        <w:rPr>
          <w:rFonts w:ascii="Cambria" w:hAnsi="Cambria" w:cs="Arial"/>
          <w:b/>
          <w:i/>
        </w:rPr>
        <w:t>1</w:t>
      </w:r>
    </w:p>
    <w:p w14:paraId="58F3DB1E" w14:textId="77777777" w:rsidR="00625270" w:rsidRPr="00CF60AA" w:rsidRDefault="00625270" w:rsidP="00CF60AA">
      <w:pPr>
        <w:tabs>
          <w:tab w:val="left" w:pos="3240"/>
        </w:tabs>
        <w:jc w:val="both"/>
        <w:rPr>
          <w:rFonts w:ascii="Cambria" w:hAnsi="Cambria"/>
        </w:rPr>
      </w:pPr>
      <w:r w:rsidRPr="00CF60AA">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CF60AA" w:rsidRDefault="00625270" w:rsidP="00CF60AA">
      <w:pPr>
        <w:overflowPunct w:val="0"/>
        <w:autoSpaceDE w:val="0"/>
        <w:autoSpaceDN w:val="0"/>
        <w:adjustRightInd w:val="0"/>
        <w:spacing w:before="120"/>
        <w:jc w:val="both"/>
        <w:rPr>
          <w:rFonts w:ascii="Cambria" w:hAnsi="Cambria"/>
          <w:b/>
          <w:lang w:eastAsia="fr-FR"/>
        </w:rPr>
      </w:pPr>
    </w:p>
    <w:p w14:paraId="4D703140" w14:textId="641E3027" w:rsidR="004C71F3" w:rsidRPr="00CF60AA" w:rsidRDefault="004C71F3" w:rsidP="00CF60AA">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CF60AA">
        <w:rPr>
          <w:rFonts w:ascii="Cambria" w:hAnsi="Cambria"/>
          <w:b/>
        </w:rPr>
        <w:t>Compte rendu du Conseil des ministres</w:t>
      </w:r>
    </w:p>
    <w:p w14:paraId="23E3B0A2" w14:textId="0847956C" w:rsidR="00690ED4" w:rsidRDefault="00690ED4" w:rsidP="00CF60AA">
      <w:pPr>
        <w:widowControl w:val="0"/>
        <w:autoSpaceDE w:val="0"/>
        <w:autoSpaceDN w:val="0"/>
        <w:adjustRightInd w:val="0"/>
        <w:spacing w:before="120"/>
        <w:jc w:val="both"/>
        <w:rPr>
          <w:rFonts w:ascii="Cambria" w:hAnsi="Cambria"/>
          <w:lang w:eastAsia="fr-FR"/>
        </w:rPr>
      </w:pPr>
    </w:p>
    <w:p w14:paraId="6524973B" w14:textId="6C4507B5" w:rsidR="00561D2B" w:rsidRDefault="00261AEC" w:rsidP="00CF60AA">
      <w:pPr>
        <w:widowControl w:val="0"/>
        <w:autoSpaceDE w:val="0"/>
        <w:autoSpaceDN w:val="0"/>
        <w:adjustRightInd w:val="0"/>
        <w:spacing w:before="120"/>
        <w:jc w:val="both"/>
        <w:rPr>
          <w:rFonts w:ascii="Cambria" w:hAnsi="Cambria"/>
          <w:lang w:eastAsia="fr-FR"/>
        </w:rPr>
      </w:pPr>
      <w:r>
        <w:rPr>
          <w:rFonts w:ascii="Cambria" w:hAnsi="Cambria"/>
          <w:lang w:eastAsia="fr-FR"/>
        </w:rPr>
        <w:t xml:space="preserve">Le Conseil des ministres s’est réuni ce mercredi </w:t>
      </w:r>
      <w:r w:rsidR="00D95AFF">
        <w:rPr>
          <w:rFonts w:ascii="Cambria" w:hAnsi="Cambria"/>
          <w:lang w:eastAsia="fr-FR"/>
        </w:rPr>
        <w:t>1 décembre</w:t>
      </w:r>
      <w:r>
        <w:rPr>
          <w:rFonts w:ascii="Cambria" w:hAnsi="Cambria"/>
          <w:lang w:eastAsia="fr-FR"/>
        </w:rPr>
        <w:t xml:space="preserve"> 2021.</w:t>
      </w:r>
      <w:r w:rsidR="006E08F8">
        <w:rPr>
          <w:rFonts w:ascii="Cambria" w:hAnsi="Cambria"/>
          <w:lang w:eastAsia="fr-FR"/>
        </w:rPr>
        <w:t xml:space="preserve"> </w:t>
      </w:r>
      <w:r>
        <w:rPr>
          <w:rFonts w:ascii="Cambria" w:hAnsi="Cambria"/>
          <w:lang w:eastAsia="fr-FR"/>
        </w:rPr>
        <w:t>Parmi les dossiers examinés, il a adopté les dossiers suivants</w:t>
      </w:r>
      <w:r w:rsidR="004F6EBC">
        <w:rPr>
          <w:rFonts w:ascii="Cambria" w:hAnsi="Cambria"/>
          <w:lang w:eastAsia="fr-FR"/>
        </w:rPr>
        <w:t xml:space="preserve"> (lien du sommaire </w:t>
      </w:r>
      <w:r w:rsidR="00566602">
        <w:rPr>
          <w:rFonts w:ascii="Cambria" w:hAnsi="Cambria"/>
          <w:lang w:eastAsia="fr-FR"/>
        </w:rPr>
        <w:t>interactif</w:t>
      </w:r>
      <w:r w:rsidR="004F6EBC">
        <w:rPr>
          <w:rFonts w:ascii="Cambria" w:hAnsi="Cambria"/>
          <w:lang w:eastAsia="fr-FR"/>
        </w:rPr>
        <w:t>)</w:t>
      </w:r>
      <w:r>
        <w:rPr>
          <w:rFonts w:ascii="Cambria" w:hAnsi="Cambria"/>
          <w:lang w:eastAsia="fr-FR"/>
        </w:rPr>
        <w:t> :</w:t>
      </w:r>
      <w:r w:rsidR="001B0339">
        <w:rPr>
          <w:rFonts w:ascii="Cambria" w:hAnsi="Cambria"/>
          <w:lang w:eastAsia="fr-FR"/>
        </w:rPr>
        <w:t xml:space="preserve"> </w:t>
      </w:r>
    </w:p>
    <w:p w14:paraId="4AB6D9AE" w14:textId="77777777" w:rsidR="00226F02" w:rsidRDefault="00226F02" w:rsidP="00CF60AA">
      <w:pPr>
        <w:widowControl w:val="0"/>
        <w:autoSpaceDE w:val="0"/>
        <w:autoSpaceDN w:val="0"/>
        <w:adjustRightInd w:val="0"/>
        <w:spacing w:before="120"/>
        <w:jc w:val="both"/>
        <w:rPr>
          <w:rFonts w:ascii="Cambria" w:hAnsi="Cambria"/>
          <w:lang w:eastAsia="fr-FR"/>
        </w:rPr>
      </w:pPr>
    </w:p>
    <w:sdt>
      <w:sdtPr>
        <w:rPr>
          <w:rFonts w:ascii="Times New Roman" w:eastAsia="Times New Roman" w:hAnsi="Times New Roman"/>
          <w:b w:val="0"/>
          <w:bCs w:val="0"/>
          <w:noProof w:val="0"/>
          <w:sz w:val="24"/>
          <w:szCs w:val="24"/>
          <w:lang w:eastAsia="es-ES"/>
        </w:rPr>
        <w:id w:val="-1045363697"/>
        <w:docPartObj>
          <w:docPartGallery w:val="Table of Contents"/>
          <w:docPartUnique/>
        </w:docPartObj>
      </w:sdtPr>
      <w:sdtEndPr/>
      <w:sdtContent>
        <w:p w14:paraId="44470C1C" w14:textId="275D7491" w:rsidR="00DB22DD" w:rsidRDefault="0065694E">
          <w:pPr>
            <w:pStyle w:val="TM1"/>
            <w:rPr>
              <w:rFonts w:asciiTheme="minorHAnsi" w:hAnsiTheme="minorHAnsi" w:cstheme="minorBidi"/>
              <w:b w:val="0"/>
              <w:bCs w:val="0"/>
            </w:rPr>
          </w:pPr>
          <w:r w:rsidRPr="00C53E63">
            <w:fldChar w:fldCharType="begin"/>
          </w:r>
          <w:r w:rsidRPr="00C53E63">
            <w:instrText xml:space="preserve"> TOC \o "1-3" \h \z \u </w:instrText>
          </w:r>
          <w:r w:rsidRPr="00C53E63">
            <w:fldChar w:fldCharType="separate"/>
          </w:r>
          <w:hyperlink w:anchor="_Toc89269568" w:history="1">
            <w:r w:rsidR="00DB22DD" w:rsidRPr="0076112B">
              <w:rPr>
                <w:rStyle w:val="Lienhypertexte"/>
              </w:rPr>
              <w:t>VP</w:t>
            </w:r>
            <w:r w:rsidR="007B23D5">
              <w:rPr>
                <w:rStyle w:val="Lienhypertexte"/>
              </w:rPr>
              <w:t xml:space="preserve"> - Vice-président, ministre du Logement et de l’aménagement</w:t>
            </w:r>
            <w:r w:rsidR="00DB22DD">
              <w:rPr>
                <w:webHidden/>
              </w:rPr>
              <w:tab/>
            </w:r>
            <w:r w:rsidR="00DB22DD">
              <w:rPr>
                <w:webHidden/>
              </w:rPr>
              <w:fldChar w:fldCharType="begin"/>
            </w:r>
            <w:r w:rsidR="00DB22DD">
              <w:rPr>
                <w:webHidden/>
              </w:rPr>
              <w:instrText xml:space="preserve"> PAGEREF _Toc89269568 \h </w:instrText>
            </w:r>
            <w:r w:rsidR="00DB22DD">
              <w:rPr>
                <w:webHidden/>
              </w:rPr>
            </w:r>
            <w:r w:rsidR="00DB22DD">
              <w:rPr>
                <w:webHidden/>
              </w:rPr>
              <w:fldChar w:fldCharType="separate"/>
            </w:r>
            <w:r w:rsidR="00DB22DD">
              <w:rPr>
                <w:webHidden/>
              </w:rPr>
              <w:t>2</w:t>
            </w:r>
            <w:r w:rsidR="00DB22DD">
              <w:rPr>
                <w:webHidden/>
              </w:rPr>
              <w:fldChar w:fldCharType="end"/>
            </w:r>
          </w:hyperlink>
        </w:p>
        <w:p w14:paraId="74A856C6" w14:textId="49048CD8" w:rsidR="00DB22DD" w:rsidRDefault="00B6016F">
          <w:pPr>
            <w:pStyle w:val="TM2"/>
            <w:rPr>
              <w:rFonts w:cstheme="minorBidi"/>
              <w:noProof/>
            </w:rPr>
          </w:pPr>
          <w:hyperlink w:anchor="_Toc89269569" w:history="1">
            <w:r w:rsidR="00DB22DD" w:rsidRPr="0076112B">
              <w:rPr>
                <w:rStyle w:val="Lienhypertexte"/>
                <w:noProof/>
              </w:rPr>
              <w:t>Simplification des procédures d’instruction relatives au permis d’aménager</w:t>
            </w:r>
            <w:r w:rsidR="00DB22DD">
              <w:rPr>
                <w:noProof/>
                <w:webHidden/>
              </w:rPr>
              <w:tab/>
            </w:r>
            <w:r w:rsidR="00DB22DD">
              <w:rPr>
                <w:noProof/>
                <w:webHidden/>
              </w:rPr>
              <w:fldChar w:fldCharType="begin"/>
            </w:r>
            <w:r w:rsidR="00DB22DD">
              <w:rPr>
                <w:noProof/>
                <w:webHidden/>
              </w:rPr>
              <w:instrText xml:space="preserve"> PAGEREF _Toc89269569 \h </w:instrText>
            </w:r>
            <w:r w:rsidR="00DB22DD">
              <w:rPr>
                <w:noProof/>
                <w:webHidden/>
              </w:rPr>
            </w:r>
            <w:r w:rsidR="00DB22DD">
              <w:rPr>
                <w:noProof/>
                <w:webHidden/>
              </w:rPr>
              <w:fldChar w:fldCharType="separate"/>
            </w:r>
            <w:r w:rsidR="00DB22DD">
              <w:rPr>
                <w:noProof/>
                <w:webHidden/>
              </w:rPr>
              <w:t>2</w:t>
            </w:r>
            <w:r w:rsidR="00DB22DD">
              <w:rPr>
                <w:noProof/>
                <w:webHidden/>
              </w:rPr>
              <w:fldChar w:fldCharType="end"/>
            </w:r>
          </w:hyperlink>
        </w:p>
        <w:p w14:paraId="7915EA81" w14:textId="16B7BB9B" w:rsidR="00DB22DD" w:rsidRDefault="00B6016F">
          <w:pPr>
            <w:pStyle w:val="TM1"/>
            <w:rPr>
              <w:rFonts w:asciiTheme="minorHAnsi" w:hAnsiTheme="minorHAnsi" w:cstheme="minorBidi"/>
              <w:b w:val="0"/>
              <w:bCs w:val="0"/>
            </w:rPr>
          </w:pPr>
          <w:hyperlink w:anchor="_Toc89269570" w:history="1">
            <w:r w:rsidR="00DB22DD" w:rsidRPr="0076112B">
              <w:rPr>
                <w:rStyle w:val="Lienhypertexte"/>
              </w:rPr>
              <w:t>MEF</w:t>
            </w:r>
            <w:r w:rsidR="007B23D5">
              <w:rPr>
                <w:rStyle w:val="Lienhypertexte"/>
              </w:rPr>
              <w:t xml:space="preserve"> - ministre des Finances, de l’économie et du tourisme</w:t>
            </w:r>
            <w:r w:rsidR="00DB22DD">
              <w:rPr>
                <w:webHidden/>
              </w:rPr>
              <w:tab/>
            </w:r>
            <w:r w:rsidR="00DB22DD">
              <w:rPr>
                <w:webHidden/>
              </w:rPr>
              <w:fldChar w:fldCharType="begin"/>
            </w:r>
            <w:r w:rsidR="00DB22DD">
              <w:rPr>
                <w:webHidden/>
              </w:rPr>
              <w:instrText xml:space="preserve"> PAGEREF _Toc89269570 \h </w:instrText>
            </w:r>
            <w:r w:rsidR="00DB22DD">
              <w:rPr>
                <w:webHidden/>
              </w:rPr>
            </w:r>
            <w:r w:rsidR="00DB22DD">
              <w:rPr>
                <w:webHidden/>
              </w:rPr>
              <w:fldChar w:fldCharType="separate"/>
            </w:r>
            <w:r w:rsidR="00DB22DD">
              <w:rPr>
                <w:webHidden/>
              </w:rPr>
              <w:t>2</w:t>
            </w:r>
            <w:r w:rsidR="00DB22DD">
              <w:rPr>
                <w:webHidden/>
              </w:rPr>
              <w:fldChar w:fldCharType="end"/>
            </w:r>
          </w:hyperlink>
        </w:p>
        <w:p w14:paraId="58D24B60" w14:textId="69D3FBF6" w:rsidR="00DB22DD" w:rsidRDefault="00B6016F">
          <w:pPr>
            <w:pStyle w:val="TM2"/>
            <w:rPr>
              <w:rFonts w:cstheme="minorBidi"/>
              <w:noProof/>
            </w:rPr>
          </w:pPr>
          <w:hyperlink w:anchor="_Toc89269571" w:history="1">
            <w:r w:rsidR="00DB22DD" w:rsidRPr="0076112B">
              <w:rPr>
                <w:rStyle w:val="Lienhypertexte"/>
                <w:noProof/>
              </w:rPr>
              <w:t>Approbation des comptes semestriels du régime général des salariés (RGS) relatifs à la période du 1</w:t>
            </w:r>
            <w:r w:rsidR="00DB22DD" w:rsidRPr="0076112B">
              <w:rPr>
                <w:rStyle w:val="Lienhypertexte"/>
                <w:noProof/>
                <w:vertAlign w:val="superscript"/>
              </w:rPr>
              <w:t>er</w:t>
            </w:r>
            <w:r w:rsidR="00DB22DD" w:rsidRPr="0076112B">
              <w:rPr>
                <w:rStyle w:val="Lienhypertexte"/>
                <w:noProof/>
              </w:rPr>
              <w:t xml:space="preserve"> janvier au 30 juin 2021</w:t>
            </w:r>
            <w:r w:rsidR="00DB22DD">
              <w:rPr>
                <w:noProof/>
                <w:webHidden/>
              </w:rPr>
              <w:tab/>
            </w:r>
            <w:r w:rsidR="00DB22DD">
              <w:rPr>
                <w:noProof/>
                <w:webHidden/>
              </w:rPr>
              <w:fldChar w:fldCharType="begin"/>
            </w:r>
            <w:r w:rsidR="00DB22DD">
              <w:rPr>
                <w:noProof/>
                <w:webHidden/>
              </w:rPr>
              <w:instrText xml:space="preserve"> PAGEREF _Toc89269571 \h </w:instrText>
            </w:r>
            <w:r w:rsidR="00DB22DD">
              <w:rPr>
                <w:noProof/>
                <w:webHidden/>
              </w:rPr>
            </w:r>
            <w:r w:rsidR="00DB22DD">
              <w:rPr>
                <w:noProof/>
                <w:webHidden/>
              </w:rPr>
              <w:fldChar w:fldCharType="separate"/>
            </w:r>
            <w:r w:rsidR="00DB22DD">
              <w:rPr>
                <w:noProof/>
                <w:webHidden/>
              </w:rPr>
              <w:t>2</w:t>
            </w:r>
            <w:r w:rsidR="00DB22DD">
              <w:rPr>
                <w:noProof/>
                <w:webHidden/>
              </w:rPr>
              <w:fldChar w:fldCharType="end"/>
            </w:r>
          </w:hyperlink>
        </w:p>
        <w:p w14:paraId="16A28D1A" w14:textId="3D82A918" w:rsidR="00DB22DD" w:rsidRDefault="00B6016F">
          <w:pPr>
            <w:pStyle w:val="TM2"/>
            <w:rPr>
              <w:rFonts w:cstheme="minorBidi"/>
              <w:noProof/>
            </w:rPr>
          </w:pPr>
          <w:hyperlink w:anchor="_Toc89269572" w:history="1">
            <w:r w:rsidR="00DB22DD" w:rsidRPr="0076112B">
              <w:rPr>
                <w:rStyle w:val="Lienhypertexte"/>
                <w:noProof/>
              </w:rPr>
              <w:t>Projet de loi du Pays portant simplification et performance du système fiscal, en faveur de la solidarité et de l’emploi</w:t>
            </w:r>
            <w:r w:rsidR="00DB22DD">
              <w:rPr>
                <w:noProof/>
                <w:webHidden/>
              </w:rPr>
              <w:tab/>
            </w:r>
            <w:r w:rsidR="00DB22DD">
              <w:rPr>
                <w:noProof/>
                <w:webHidden/>
              </w:rPr>
              <w:fldChar w:fldCharType="begin"/>
            </w:r>
            <w:r w:rsidR="00DB22DD">
              <w:rPr>
                <w:noProof/>
                <w:webHidden/>
              </w:rPr>
              <w:instrText xml:space="preserve"> PAGEREF _Toc89269572 \h </w:instrText>
            </w:r>
            <w:r w:rsidR="00DB22DD">
              <w:rPr>
                <w:noProof/>
                <w:webHidden/>
              </w:rPr>
            </w:r>
            <w:r w:rsidR="00DB22DD">
              <w:rPr>
                <w:noProof/>
                <w:webHidden/>
              </w:rPr>
              <w:fldChar w:fldCharType="separate"/>
            </w:r>
            <w:r w:rsidR="00DB22DD">
              <w:rPr>
                <w:noProof/>
                <w:webHidden/>
              </w:rPr>
              <w:t>3</w:t>
            </w:r>
            <w:r w:rsidR="00DB22DD">
              <w:rPr>
                <w:noProof/>
                <w:webHidden/>
              </w:rPr>
              <w:fldChar w:fldCharType="end"/>
            </w:r>
          </w:hyperlink>
        </w:p>
        <w:p w14:paraId="750BCF25" w14:textId="39D3A117" w:rsidR="00DB22DD" w:rsidRDefault="00B6016F">
          <w:pPr>
            <w:pStyle w:val="TM2"/>
            <w:rPr>
              <w:rFonts w:cstheme="minorBidi"/>
              <w:noProof/>
            </w:rPr>
          </w:pPr>
          <w:hyperlink w:anchor="_Toc89269573" w:history="1">
            <w:r w:rsidR="00DB22DD" w:rsidRPr="0076112B">
              <w:rPr>
                <w:rStyle w:val="Lienhypertexte"/>
                <w:noProof/>
              </w:rPr>
              <w:t>Prix des hydrocarbures</w:t>
            </w:r>
            <w:r w:rsidR="00DB22DD">
              <w:rPr>
                <w:noProof/>
                <w:webHidden/>
              </w:rPr>
              <w:tab/>
            </w:r>
            <w:r w:rsidR="00DB22DD">
              <w:rPr>
                <w:noProof/>
                <w:webHidden/>
              </w:rPr>
              <w:fldChar w:fldCharType="begin"/>
            </w:r>
            <w:r w:rsidR="00DB22DD">
              <w:rPr>
                <w:noProof/>
                <w:webHidden/>
              </w:rPr>
              <w:instrText xml:space="preserve"> PAGEREF _Toc89269573 \h </w:instrText>
            </w:r>
            <w:r w:rsidR="00DB22DD">
              <w:rPr>
                <w:noProof/>
                <w:webHidden/>
              </w:rPr>
            </w:r>
            <w:r w:rsidR="00DB22DD">
              <w:rPr>
                <w:noProof/>
                <w:webHidden/>
              </w:rPr>
              <w:fldChar w:fldCharType="separate"/>
            </w:r>
            <w:r w:rsidR="00DB22DD">
              <w:rPr>
                <w:noProof/>
                <w:webHidden/>
              </w:rPr>
              <w:t>4</w:t>
            </w:r>
            <w:r w:rsidR="00DB22DD">
              <w:rPr>
                <w:noProof/>
                <w:webHidden/>
              </w:rPr>
              <w:fldChar w:fldCharType="end"/>
            </w:r>
          </w:hyperlink>
        </w:p>
        <w:p w14:paraId="6116C131" w14:textId="562E0B64" w:rsidR="00DB22DD" w:rsidRDefault="00B6016F">
          <w:pPr>
            <w:pStyle w:val="TM1"/>
            <w:rPr>
              <w:rFonts w:asciiTheme="minorHAnsi" w:hAnsiTheme="minorHAnsi" w:cstheme="minorBidi"/>
              <w:b w:val="0"/>
              <w:bCs w:val="0"/>
            </w:rPr>
          </w:pPr>
          <w:hyperlink w:anchor="_Toc89269574" w:history="1">
            <w:r w:rsidR="00DB22DD" w:rsidRPr="0076112B">
              <w:rPr>
                <w:rStyle w:val="Lienhypertexte"/>
              </w:rPr>
              <w:t>MED</w:t>
            </w:r>
            <w:r w:rsidR="007B23D5">
              <w:rPr>
                <w:rStyle w:val="Lienhypertexte"/>
              </w:rPr>
              <w:t xml:space="preserve"> - ministre de l’Agriculture, de l’économie bleue et du domaine</w:t>
            </w:r>
            <w:r w:rsidR="00DB22DD">
              <w:rPr>
                <w:webHidden/>
              </w:rPr>
              <w:tab/>
            </w:r>
            <w:r w:rsidR="00DB22DD">
              <w:rPr>
                <w:webHidden/>
              </w:rPr>
              <w:fldChar w:fldCharType="begin"/>
            </w:r>
            <w:r w:rsidR="00DB22DD">
              <w:rPr>
                <w:webHidden/>
              </w:rPr>
              <w:instrText xml:space="preserve"> PAGEREF _Toc89269574 \h </w:instrText>
            </w:r>
            <w:r w:rsidR="00DB22DD">
              <w:rPr>
                <w:webHidden/>
              </w:rPr>
            </w:r>
            <w:r w:rsidR="00DB22DD">
              <w:rPr>
                <w:webHidden/>
              </w:rPr>
              <w:fldChar w:fldCharType="separate"/>
            </w:r>
            <w:r w:rsidR="00DB22DD">
              <w:rPr>
                <w:webHidden/>
              </w:rPr>
              <w:t>4</w:t>
            </w:r>
            <w:r w:rsidR="00DB22DD">
              <w:rPr>
                <w:webHidden/>
              </w:rPr>
              <w:fldChar w:fldCharType="end"/>
            </w:r>
          </w:hyperlink>
        </w:p>
        <w:p w14:paraId="40FE4D4B" w14:textId="00027713" w:rsidR="00DB22DD" w:rsidRDefault="00B6016F">
          <w:pPr>
            <w:pStyle w:val="TM2"/>
            <w:rPr>
              <w:rFonts w:cstheme="minorBidi"/>
              <w:noProof/>
            </w:rPr>
          </w:pPr>
          <w:hyperlink w:anchor="_Toc89269575" w:history="1">
            <w:r w:rsidR="00DB22DD" w:rsidRPr="0076112B">
              <w:rPr>
                <w:rStyle w:val="Lienhypertexte"/>
                <w:noProof/>
              </w:rPr>
              <w:t>Le CRIOBE fête ses 50 ans</w:t>
            </w:r>
            <w:r w:rsidR="00DB22DD">
              <w:rPr>
                <w:noProof/>
                <w:webHidden/>
              </w:rPr>
              <w:tab/>
            </w:r>
            <w:r w:rsidR="00DB22DD">
              <w:rPr>
                <w:noProof/>
                <w:webHidden/>
              </w:rPr>
              <w:fldChar w:fldCharType="begin"/>
            </w:r>
            <w:r w:rsidR="00DB22DD">
              <w:rPr>
                <w:noProof/>
                <w:webHidden/>
              </w:rPr>
              <w:instrText xml:space="preserve"> PAGEREF _Toc89269575 \h </w:instrText>
            </w:r>
            <w:r w:rsidR="00DB22DD">
              <w:rPr>
                <w:noProof/>
                <w:webHidden/>
              </w:rPr>
            </w:r>
            <w:r w:rsidR="00DB22DD">
              <w:rPr>
                <w:noProof/>
                <w:webHidden/>
              </w:rPr>
              <w:fldChar w:fldCharType="separate"/>
            </w:r>
            <w:r w:rsidR="00DB22DD">
              <w:rPr>
                <w:noProof/>
                <w:webHidden/>
              </w:rPr>
              <w:t>4</w:t>
            </w:r>
            <w:r w:rsidR="00DB22DD">
              <w:rPr>
                <w:noProof/>
                <w:webHidden/>
              </w:rPr>
              <w:fldChar w:fldCharType="end"/>
            </w:r>
          </w:hyperlink>
        </w:p>
        <w:p w14:paraId="76E7FD93" w14:textId="59D836FB" w:rsidR="00DB22DD" w:rsidRDefault="00B6016F">
          <w:pPr>
            <w:pStyle w:val="TM2"/>
            <w:rPr>
              <w:rFonts w:cstheme="minorBidi"/>
              <w:noProof/>
            </w:rPr>
          </w:pPr>
          <w:hyperlink w:anchor="_Toc89269576" w:history="1">
            <w:r w:rsidR="00DB22DD" w:rsidRPr="0076112B">
              <w:rPr>
                <w:rStyle w:val="Lienhypertexte"/>
                <w:noProof/>
              </w:rPr>
              <w:t>Subventions au Comité polynésien des maisons familiales rurales (CPMFR)</w:t>
            </w:r>
            <w:r w:rsidR="00DB22DD">
              <w:rPr>
                <w:noProof/>
                <w:webHidden/>
              </w:rPr>
              <w:tab/>
            </w:r>
            <w:r w:rsidR="00DB22DD">
              <w:rPr>
                <w:noProof/>
                <w:webHidden/>
              </w:rPr>
              <w:fldChar w:fldCharType="begin"/>
            </w:r>
            <w:r w:rsidR="00DB22DD">
              <w:rPr>
                <w:noProof/>
                <w:webHidden/>
              </w:rPr>
              <w:instrText xml:space="preserve"> PAGEREF _Toc89269576 \h </w:instrText>
            </w:r>
            <w:r w:rsidR="00DB22DD">
              <w:rPr>
                <w:noProof/>
                <w:webHidden/>
              </w:rPr>
            </w:r>
            <w:r w:rsidR="00DB22DD">
              <w:rPr>
                <w:noProof/>
                <w:webHidden/>
              </w:rPr>
              <w:fldChar w:fldCharType="separate"/>
            </w:r>
            <w:r w:rsidR="00DB22DD">
              <w:rPr>
                <w:noProof/>
                <w:webHidden/>
              </w:rPr>
              <w:t>4</w:t>
            </w:r>
            <w:r w:rsidR="00DB22DD">
              <w:rPr>
                <w:noProof/>
                <w:webHidden/>
              </w:rPr>
              <w:fldChar w:fldCharType="end"/>
            </w:r>
          </w:hyperlink>
        </w:p>
        <w:p w14:paraId="3CF7ED9C" w14:textId="06D59672" w:rsidR="00DB22DD" w:rsidRDefault="00B6016F">
          <w:pPr>
            <w:pStyle w:val="TM1"/>
            <w:rPr>
              <w:rFonts w:asciiTheme="minorHAnsi" w:hAnsiTheme="minorHAnsi" w:cstheme="minorBidi"/>
              <w:b w:val="0"/>
              <w:bCs w:val="0"/>
            </w:rPr>
          </w:pPr>
          <w:hyperlink w:anchor="_Toc89269577" w:history="1">
            <w:r w:rsidR="00DB22DD" w:rsidRPr="0076112B">
              <w:rPr>
                <w:rStyle w:val="Lienhypertexte"/>
              </w:rPr>
              <w:t>MCE</w:t>
            </w:r>
            <w:r w:rsidR="007B23D5">
              <w:rPr>
                <w:rStyle w:val="Lienhypertexte"/>
              </w:rPr>
              <w:t xml:space="preserve"> - ministre de la Culture et de l’environnement</w:t>
            </w:r>
            <w:r w:rsidR="00DB22DD">
              <w:rPr>
                <w:webHidden/>
              </w:rPr>
              <w:tab/>
            </w:r>
            <w:r w:rsidR="00DB22DD">
              <w:rPr>
                <w:webHidden/>
              </w:rPr>
              <w:fldChar w:fldCharType="begin"/>
            </w:r>
            <w:r w:rsidR="00DB22DD">
              <w:rPr>
                <w:webHidden/>
              </w:rPr>
              <w:instrText xml:space="preserve"> PAGEREF _Toc89269577 \h </w:instrText>
            </w:r>
            <w:r w:rsidR="00DB22DD">
              <w:rPr>
                <w:webHidden/>
              </w:rPr>
            </w:r>
            <w:r w:rsidR="00DB22DD">
              <w:rPr>
                <w:webHidden/>
              </w:rPr>
              <w:fldChar w:fldCharType="separate"/>
            </w:r>
            <w:r w:rsidR="00DB22DD">
              <w:rPr>
                <w:webHidden/>
              </w:rPr>
              <w:t>5</w:t>
            </w:r>
            <w:r w:rsidR="00DB22DD">
              <w:rPr>
                <w:webHidden/>
              </w:rPr>
              <w:fldChar w:fldCharType="end"/>
            </w:r>
          </w:hyperlink>
        </w:p>
        <w:p w14:paraId="0E63413B" w14:textId="456B8BF2" w:rsidR="00DB22DD" w:rsidRDefault="00B6016F">
          <w:pPr>
            <w:pStyle w:val="TM2"/>
            <w:rPr>
              <w:rFonts w:cstheme="minorBidi"/>
              <w:noProof/>
            </w:rPr>
          </w:pPr>
          <w:hyperlink w:anchor="_Toc89269578" w:history="1">
            <w:r w:rsidR="00DB22DD" w:rsidRPr="0076112B">
              <w:rPr>
                <w:rStyle w:val="Lienhypertexte"/>
                <w:noProof/>
              </w:rPr>
              <w:t>Subvention en faveur du COPF et d’une association culturelle</w:t>
            </w:r>
            <w:r w:rsidR="00DB22DD">
              <w:rPr>
                <w:noProof/>
                <w:webHidden/>
              </w:rPr>
              <w:tab/>
            </w:r>
            <w:r w:rsidR="00DB22DD">
              <w:rPr>
                <w:noProof/>
                <w:webHidden/>
              </w:rPr>
              <w:fldChar w:fldCharType="begin"/>
            </w:r>
            <w:r w:rsidR="00DB22DD">
              <w:rPr>
                <w:noProof/>
                <w:webHidden/>
              </w:rPr>
              <w:instrText xml:space="preserve"> PAGEREF _Toc89269578 \h </w:instrText>
            </w:r>
            <w:r w:rsidR="00DB22DD">
              <w:rPr>
                <w:noProof/>
                <w:webHidden/>
              </w:rPr>
            </w:r>
            <w:r w:rsidR="00DB22DD">
              <w:rPr>
                <w:noProof/>
                <w:webHidden/>
              </w:rPr>
              <w:fldChar w:fldCharType="separate"/>
            </w:r>
            <w:r w:rsidR="00DB22DD">
              <w:rPr>
                <w:noProof/>
                <w:webHidden/>
              </w:rPr>
              <w:t>5</w:t>
            </w:r>
            <w:r w:rsidR="00DB22DD">
              <w:rPr>
                <w:noProof/>
                <w:webHidden/>
              </w:rPr>
              <w:fldChar w:fldCharType="end"/>
            </w:r>
          </w:hyperlink>
        </w:p>
        <w:p w14:paraId="10CA39D2" w14:textId="68674BE3" w:rsidR="00DB22DD" w:rsidRDefault="00B6016F">
          <w:pPr>
            <w:pStyle w:val="TM1"/>
            <w:rPr>
              <w:rFonts w:asciiTheme="minorHAnsi" w:hAnsiTheme="minorHAnsi" w:cstheme="minorBidi"/>
              <w:b w:val="0"/>
              <w:bCs w:val="0"/>
            </w:rPr>
          </w:pPr>
          <w:hyperlink w:anchor="_Toc89269579" w:history="1">
            <w:r w:rsidR="00DB22DD" w:rsidRPr="0076112B">
              <w:rPr>
                <w:rStyle w:val="Lienhypertexte"/>
              </w:rPr>
              <w:t>MSP</w:t>
            </w:r>
            <w:r w:rsidR="007B23D5">
              <w:rPr>
                <w:rStyle w:val="Lienhypertexte"/>
              </w:rPr>
              <w:t xml:space="preserve"> - ministre de la Santé</w:t>
            </w:r>
            <w:r w:rsidR="00DB22DD">
              <w:rPr>
                <w:webHidden/>
              </w:rPr>
              <w:tab/>
            </w:r>
            <w:r w:rsidR="00DB22DD">
              <w:rPr>
                <w:webHidden/>
              </w:rPr>
              <w:fldChar w:fldCharType="begin"/>
            </w:r>
            <w:r w:rsidR="00DB22DD">
              <w:rPr>
                <w:webHidden/>
              </w:rPr>
              <w:instrText xml:space="preserve"> PAGEREF _Toc89269579 \h </w:instrText>
            </w:r>
            <w:r w:rsidR="00DB22DD">
              <w:rPr>
                <w:webHidden/>
              </w:rPr>
            </w:r>
            <w:r w:rsidR="00DB22DD">
              <w:rPr>
                <w:webHidden/>
              </w:rPr>
              <w:fldChar w:fldCharType="separate"/>
            </w:r>
            <w:r w:rsidR="00DB22DD">
              <w:rPr>
                <w:webHidden/>
              </w:rPr>
              <w:t>5</w:t>
            </w:r>
            <w:r w:rsidR="00DB22DD">
              <w:rPr>
                <w:webHidden/>
              </w:rPr>
              <w:fldChar w:fldCharType="end"/>
            </w:r>
          </w:hyperlink>
        </w:p>
        <w:p w14:paraId="3918E869" w14:textId="1CA1535B" w:rsidR="00DB22DD" w:rsidRDefault="00B6016F">
          <w:pPr>
            <w:pStyle w:val="TM2"/>
            <w:rPr>
              <w:rFonts w:cstheme="minorBidi"/>
              <w:noProof/>
            </w:rPr>
          </w:pPr>
          <w:hyperlink w:anchor="_Toc89269580" w:history="1">
            <w:r w:rsidR="00DB22DD" w:rsidRPr="0076112B">
              <w:rPr>
                <w:rStyle w:val="Lienhypertexte"/>
                <w:rFonts w:eastAsia="Times New Roman"/>
                <w:noProof/>
              </w:rPr>
              <w:t>Prorogation deux arrêtés portant diverses mesures prises pour faire face à l’épidémie de covid-19</w:t>
            </w:r>
            <w:r w:rsidR="00DB22DD">
              <w:rPr>
                <w:noProof/>
                <w:webHidden/>
              </w:rPr>
              <w:tab/>
            </w:r>
            <w:r w:rsidR="00DB22DD">
              <w:rPr>
                <w:noProof/>
                <w:webHidden/>
              </w:rPr>
              <w:fldChar w:fldCharType="begin"/>
            </w:r>
            <w:r w:rsidR="00DB22DD">
              <w:rPr>
                <w:noProof/>
                <w:webHidden/>
              </w:rPr>
              <w:instrText xml:space="preserve"> PAGEREF _Toc89269580 \h </w:instrText>
            </w:r>
            <w:r w:rsidR="00DB22DD">
              <w:rPr>
                <w:noProof/>
                <w:webHidden/>
              </w:rPr>
            </w:r>
            <w:r w:rsidR="00DB22DD">
              <w:rPr>
                <w:noProof/>
                <w:webHidden/>
              </w:rPr>
              <w:fldChar w:fldCharType="separate"/>
            </w:r>
            <w:r w:rsidR="00DB22DD">
              <w:rPr>
                <w:noProof/>
                <w:webHidden/>
              </w:rPr>
              <w:t>5</w:t>
            </w:r>
            <w:r w:rsidR="00DB22DD">
              <w:rPr>
                <w:noProof/>
                <w:webHidden/>
              </w:rPr>
              <w:fldChar w:fldCharType="end"/>
            </w:r>
          </w:hyperlink>
        </w:p>
        <w:p w14:paraId="0B98C3B0" w14:textId="6F7199C0" w:rsidR="00DB22DD" w:rsidRDefault="00B6016F">
          <w:pPr>
            <w:pStyle w:val="TM1"/>
            <w:rPr>
              <w:rFonts w:asciiTheme="minorHAnsi" w:hAnsiTheme="minorHAnsi" w:cstheme="minorBidi"/>
              <w:b w:val="0"/>
              <w:bCs w:val="0"/>
            </w:rPr>
          </w:pPr>
          <w:hyperlink w:anchor="_Toc89269581" w:history="1">
            <w:r w:rsidR="00DB22DD" w:rsidRPr="0076112B">
              <w:rPr>
                <w:rStyle w:val="Lienhypertexte"/>
              </w:rPr>
              <w:t>MEA</w:t>
            </w:r>
            <w:r w:rsidR="007B23D5">
              <w:rPr>
                <w:rStyle w:val="Lienhypertexte"/>
              </w:rPr>
              <w:t xml:space="preserve"> - ministre de l’Education, du travail et de la modernisation de l’administration</w:t>
            </w:r>
            <w:r w:rsidR="00DB22DD">
              <w:rPr>
                <w:webHidden/>
              </w:rPr>
              <w:tab/>
            </w:r>
            <w:r w:rsidR="00DB22DD">
              <w:rPr>
                <w:webHidden/>
              </w:rPr>
              <w:fldChar w:fldCharType="begin"/>
            </w:r>
            <w:r w:rsidR="00DB22DD">
              <w:rPr>
                <w:webHidden/>
              </w:rPr>
              <w:instrText xml:space="preserve"> PAGEREF _Toc89269581 \h </w:instrText>
            </w:r>
            <w:r w:rsidR="00DB22DD">
              <w:rPr>
                <w:webHidden/>
              </w:rPr>
            </w:r>
            <w:r w:rsidR="00DB22DD">
              <w:rPr>
                <w:webHidden/>
              </w:rPr>
              <w:fldChar w:fldCharType="separate"/>
            </w:r>
            <w:r w:rsidR="00DB22DD">
              <w:rPr>
                <w:webHidden/>
              </w:rPr>
              <w:t>6</w:t>
            </w:r>
            <w:r w:rsidR="00DB22DD">
              <w:rPr>
                <w:webHidden/>
              </w:rPr>
              <w:fldChar w:fldCharType="end"/>
            </w:r>
          </w:hyperlink>
        </w:p>
        <w:p w14:paraId="7E97EB9C" w14:textId="15BD1B30" w:rsidR="00DB22DD" w:rsidRDefault="00B6016F">
          <w:pPr>
            <w:pStyle w:val="TM2"/>
            <w:rPr>
              <w:rFonts w:cstheme="minorBidi"/>
              <w:noProof/>
            </w:rPr>
          </w:pPr>
          <w:hyperlink w:anchor="_Toc89269582" w:history="1">
            <w:r w:rsidR="00DB22DD" w:rsidRPr="0076112B">
              <w:rPr>
                <w:rStyle w:val="Lienhypertexte"/>
                <w:rFonts w:eastAsia="Times New Roman"/>
                <w:noProof/>
              </w:rPr>
              <w:t>Relèvement du salaire horaire minimum interprofessionnel garanti (SMIG) à compter du 1</w:t>
            </w:r>
            <w:r w:rsidR="00DB22DD" w:rsidRPr="0076112B">
              <w:rPr>
                <w:rStyle w:val="Lienhypertexte"/>
                <w:rFonts w:eastAsia="Times New Roman"/>
                <w:noProof/>
                <w:vertAlign w:val="superscript"/>
              </w:rPr>
              <w:t>er</w:t>
            </w:r>
            <w:r w:rsidR="00DB22DD" w:rsidRPr="0076112B">
              <w:rPr>
                <w:rStyle w:val="Lienhypertexte"/>
                <w:rFonts w:eastAsia="Times New Roman"/>
                <w:noProof/>
              </w:rPr>
              <w:t xml:space="preserve"> décembre</w:t>
            </w:r>
            <w:r w:rsidR="00DB22DD">
              <w:rPr>
                <w:noProof/>
                <w:webHidden/>
              </w:rPr>
              <w:tab/>
            </w:r>
            <w:r w:rsidR="00DB22DD">
              <w:rPr>
                <w:noProof/>
                <w:webHidden/>
              </w:rPr>
              <w:fldChar w:fldCharType="begin"/>
            </w:r>
            <w:r w:rsidR="00DB22DD">
              <w:rPr>
                <w:noProof/>
                <w:webHidden/>
              </w:rPr>
              <w:instrText xml:space="preserve"> PAGEREF _Toc89269582 \h </w:instrText>
            </w:r>
            <w:r w:rsidR="00DB22DD">
              <w:rPr>
                <w:noProof/>
                <w:webHidden/>
              </w:rPr>
            </w:r>
            <w:r w:rsidR="00DB22DD">
              <w:rPr>
                <w:noProof/>
                <w:webHidden/>
              </w:rPr>
              <w:fldChar w:fldCharType="separate"/>
            </w:r>
            <w:r w:rsidR="00DB22DD">
              <w:rPr>
                <w:noProof/>
                <w:webHidden/>
              </w:rPr>
              <w:t>6</w:t>
            </w:r>
            <w:r w:rsidR="00DB22DD">
              <w:rPr>
                <w:noProof/>
                <w:webHidden/>
              </w:rPr>
              <w:fldChar w:fldCharType="end"/>
            </w:r>
          </w:hyperlink>
        </w:p>
        <w:p w14:paraId="2536B41D" w14:textId="3542B33C" w:rsidR="00DB22DD" w:rsidRDefault="00B6016F">
          <w:pPr>
            <w:pStyle w:val="TM1"/>
            <w:rPr>
              <w:rFonts w:asciiTheme="minorHAnsi" w:hAnsiTheme="minorHAnsi" w:cstheme="minorBidi"/>
              <w:b w:val="0"/>
              <w:bCs w:val="0"/>
            </w:rPr>
          </w:pPr>
          <w:hyperlink w:anchor="_Toc89269583" w:history="1">
            <w:r w:rsidR="00DB22DD" w:rsidRPr="0076112B">
              <w:rPr>
                <w:rStyle w:val="Lienhypertexte"/>
              </w:rPr>
              <w:t>MFA</w:t>
            </w:r>
            <w:r w:rsidR="007B23D5">
              <w:rPr>
                <w:rStyle w:val="Lienhypertexte"/>
              </w:rPr>
              <w:t xml:space="preserve"> - ministre de la Famille et des affaires sociales</w:t>
            </w:r>
            <w:r w:rsidR="00DB22DD">
              <w:rPr>
                <w:webHidden/>
              </w:rPr>
              <w:tab/>
            </w:r>
            <w:r w:rsidR="00DB22DD">
              <w:rPr>
                <w:webHidden/>
              </w:rPr>
              <w:fldChar w:fldCharType="begin"/>
            </w:r>
            <w:r w:rsidR="00DB22DD">
              <w:rPr>
                <w:webHidden/>
              </w:rPr>
              <w:instrText xml:space="preserve"> PAGEREF _Toc89269583 \h </w:instrText>
            </w:r>
            <w:r w:rsidR="00DB22DD">
              <w:rPr>
                <w:webHidden/>
              </w:rPr>
            </w:r>
            <w:r w:rsidR="00DB22DD">
              <w:rPr>
                <w:webHidden/>
              </w:rPr>
              <w:fldChar w:fldCharType="separate"/>
            </w:r>
            <w:r w:rsidR="00DB22DD">
              <w:rPr>
                <w:webHidden/>
              </w:rPr>
              <w:t>6</w:t>
            </w:r>
            <w:r w:rsidR="00DB22DD">
              <w:rPr>
                <w:webHidden/>
              </w:rPr>
              <w:fldChar w:fldCharType="end"/>
            </w:r>
          </w:hyperlink>
        </w:p>
        <w:p w14:paraId="3EA87A80" w14:textId="5F942916" w:rsidR="00DB22DD" w:rsidRDefault="00B6016F">
          <w:pPr>
            <w:pStyle w:val="TM2"/>
            <w:rPr>
              <w:rFonts w:cstheme="minorBidi"/>
              <w:noProof/>
            </w:rPr>
          </w:pPr>
          <w:hyperlink w:anchor="_Toc89269584" w:history="1">
            <w:r w:rsidR="00DB22DD" w:rsidRPr="0076112B">
              <w:rPr>
                <w:rStyle w:val="Lienhypertexte"/>
                <w:rFonts w:eastAsia="Times New Roman"/>
                <w:noProof/>
              </w:rPr>
              <w:t>Journée internationale des droits des personnes porteuses de handicap</w:t>
            </w:r>
            <w:r w:rsidR="00DB22DD">
              <w:rPr>
                <w:noProof/>
                <w:webHidden/>
              </w:rPr>
              <w:tab/>
            </w:r>
            <w:r w:rsidR="00DB22DD">
              <w:rPr>
                <w:noProof/>
                <w:webHidden/>
              </w:rPr>
              <w:fldChar w:fldCharType="begin"/>
            </w:r>
            <w:r w:rsidR="00DB22DD">
              <w:rPr>
                <w:noProof/>
                <w:webHidden/>
              </w:rPr>
              <w:instrText xml:space="preserve"> PAGEREF _Toc89269584 \h </w:instrText>
            </w:r>
            <w:r w:rsidR="00DB22DD">
              <w:rPr>
                <w:noProof/>
                <w:webHidden/>
              </w:rPr>
            </w:r>
            <w:r w:rsidR="00DB22DD">
              <w:rPr>
                <w:noProof/>
                <w:webHidden/>
              </w:rPr>
              <w:fldChar w:fldCharType="separate"/>
            </w:r>
            <w:r w:rsidR="00DB22DD">
              <w:rPr>
                <w:noProof/>
                <w:webHidden/>
              </w:rPr>
              <w:t>6</w:t>
            </w:r>
            <w:r w:rsidR="00DB22DD">
              <w:rPr>
                <w:noProof/>
                <w:webHidden/>
              </w:rPr>
              <w:fldChar w:fldCharType="end"/>
            </w:r>
          </w:hyperlink>
        </w:p>
        <w:p w14:paraId="1B6A2F8C" w14:textId="607062A8" w:rsidR="008560D1" w:rsidRPr="001E591D" w:rsidRDefault="0065694E" w:rsidP="001E591D">
          <w:pPr>
            <w:spacing w:line="276" w:lineRule="auto"/>
          </w:pPr>
          <w:r w:rsidRPr="00C53E63">
            <w:rPr>
              <w:rFonts w:ascii="Cambria" w:hAnsi="Cambria"/>
              <w:b/>
              <w:bCs/>
              <w:sz w:val="22"/>
              <w:szCs w:val="22"/>
            </w:rPr>
            <w:fldChar w:fldCharType="end"/>
          </w:r>
        </w:p>
      </w:sdtContent>
    </w:sdt>
    <w:bookmarkStart w:id="0" w:name="_Hlk61440491" w:displacedByCustomXml="prev"/>
    <w:bookmarkEnd w:id="0"/>
    <w:p w14:paraId="68280776" w14:textId="2EBE313D" w:rsidR="00854E57" w:rsidRPr="008D68E2" w:rsidRDefault="00936C76" w:rsidP="008D68E2">
      <w:pPr>
        <w:spacing w:after="160" w:line="259" w:lineRule="auto"/>
      </w:pPr>
      <w:r>
        <w:br w:type="page"/>
      </w:r>
    </w:p>
    <w:p w14:paraId="4084B57C" w14:textId="6417B902" w:rsidR="00F532C7" w:rsidRDefault="00F532C7" w:rsidP="00F532C7">
      <w:pPr>
        <w:pStyle w:val="Titre1"/>
      </w:pPr>
      <w:bookmarkStart w:id="1" w:name="_Toc89269568"/>
      <w:r w:rsidRPr="00F532C7">
        <w:lastRenderedPageBreak/>
        <w:t xml:space="preserve">- </w:t>
      </w:r>
      <w:r w:rsidR="00D95AFF">
        <w:t>VP</w:t>
      </w:r>
      <w:r>
        <w:t>-</w:t>
      </w:r>
      <w:bookmarkEnd w:id="1"/>
    </w:p>
    <w:p w14:paraId="52280971" w14:textId="64FF27BD" w:rsidR="00380DE7" w:rsidRDefault="00380DE7" w:rsidP="00380DE7"/>
    <w:p w14:paraId="5D587D2B" w14:textId="0F95A4D9" w:rsidR="00380DE7" w:rsidRDefault="004E4ACE" w:rsidP="00380DE7">
      <w:pPr>
        <w:pStyle w:val="Titre2"/>
        <w:rPr>
          <w:rStyle w:val="lev"/>
          <w:b/>
          <w:bCs w:val="0"/>
        </w:rPr>
      </w:pPr>
      <w:bookmarkStart w:id="2" w:name="_Toc89269569"/>
      <w:bookmarkStart w:id="3" w:name="_Hlk88550294"/>
      <w:r>
        <w:rPr>
          <w:rStyle w:val="lev"/>
          <w:b/>
          <w:bCs w:val="0"/>
        </w:rPr>
        <w:t>Simplification des procédures d’instruction relatives au permis d’aménager</w:t>
      </w:r>
      <w:bookmarkEnd w:id="2"/>
    </w:p>
    <w:p w14:paraId="2DBA04D3" w14:textId="3607211A" w:rsidR="00380DE7" w:rsidRDefault="00380DE7" w:rsidP="00380DE7"/>
    <w:bookmarkEnd w:id="3"/>
    <w:p w14:paraId="3F262BA5" w14:textId="3B20C59A" w:rsidR="00B14B11" w:rsidRPr="00B14B11" w:rsidRDefault="004648DB" w:rsidP="00B14B11">
      <w:pPr>
        <w:jc w:val="both"/>
        <w:rPr>
          <w:rFonts w:ascii="Cambria" w:hAnsi="Cambria" w:cs="Arial"/>
        </w:rPr>
      </w:pPr>
      <w:r>
        <w:rPr>
          <w:rFonts w:ascii="Cambria" w:hAnsi="Cambria" w:cs="Arial"/>
        </w:rPr>
        <w:t>Afin de</w:t>
      </w:r>
      <w:r w:rsidR="00B14B11" w:rsidRPr="00B14B11">
        <w:rPr>
          <w:rFonts w:ascii="Cambria" w:hAnsi="Cambria" w:cs="Arial"/>
        </w:rPr>
        <w:t xml:space="preserve"> simplifi</w:t>
      </w:r>
      <w:r>
        <w:rPr>
          <w:rFonts w:ascii="Cambria" w:hAnsi="Cambria" w:cs="Arial"/>
        </w:rPr>
        <w:t>er</w:t>
      </w:r>
      <w:r w:rsidR="00B14B11" w:rsidRPr="00B14B11">
        <w:rPr>
          <w:rFonts w:ascii="Cambria" w:hAnsi="Cambria" w:cs="Arial"/>
        </w:rPr>
        <w:t xml:space="preserve"> </w:t>
      </w:r>
      <w:r>
        <w:rPr>
          <w:rFonts w:ascii="Cambria" w:hAnsi="Cambria" w:cs="Arial"/>
        </w:rPr>
        <w:t>l</w:t>
      </w:r>
      <w:r w:rsidR="00B14B11" w:rsidRPr="00B14B11">
        <w:rPr>
          <w:rFonts w:ascii="Cambria" w:hAnsi="Cambria" w:cs="Arial"/>
        </w:rPr>
        <w:t>es procédures d’instruction des autorisations de travaux immobiliers et de mettre en cohérence la règlementation du code de l’aménagement de la Polynésie française, la loi du pays du 9 novembre 2021 a modifié plusieurs chapitres du code de l’aménagement.</w:t>
      </w:r>
    </w:p>
    <w:p w14:paraId="36654032" w14:textId="77777777" w:rsidR="00B14B11" w:rsidRPr="00B14B11" w:rsidRDefault="00B14B11" w:rsidP="00B14B11">
      <w:pPr>
        <w:jc w:val="both"/>
        <w:rPr>
          <w:rFonts w:ascii="Cambria" w:hAnsi="Cambria" w:cs="Arial"/>
        </w:rPr>
      </w:pPr>
    </w:p>
    <w:p w14:paraId="5766BD91" w14:textId="28554236" w:rsidR="00B14B11" w:rsidRDefault="00B14B11" w:rsidP="00B14B11">
      <w:pPr>
        <w:jc w:val="both"/>
        <w:rPr>
          <w:rFonts w:ascii="Cambria" w:hAnsi="Cambria" w:cs="Arial"/>
        </w:rPr>
      </w:pPr>
      <w:r w:rsidRPr="00B14B11">
        <w:rPr>
          <w:rFonts w:ascii="Cambria" w:hAnsi="Cambria" w:cs="Arial"/>
        </w:rPr>
        <w:t>En particulier, le permis d’aménager est obligatoire pour l’instruction des exhaussements et affouillements. La modification principale concerne le seuil à partir duquel un permis d’aménager est nécessaire, ainsi la règlementation propose désormais :</w:t>
      </w:r>
    </w:p>
    <w:p w14:paraId="69D9DC2B" w14:textId="77777777" w:rsidR="00B14B11" w:rsidRDefault="00B14B11" w:rsidP="00B14B11">
      <w:pPr>
        <w:jc w:val="both"/>
        <w:rPr>
          <w:rFonts w:ascii="Cambria" w:hAnsi="Cambria" w:cs="Arial"/>
        </w:rPr>
      </w:pPr>
    </w:p>
    <w:p w14:paraId="7F078DCC" w14:textId="1BF33B09" w:rsidR="00B14B11" w:rsidRPr="00B14B11" w:rsidRDefault="00B14B11" w:rsidP="00B14B11">
      <w:pPr>
        <w:pStyle w:val="Paragraphedeliste"/>
        <w:numPr>
          <w:ilvl w:val="0"/>
          <w:numId w:val="18"/>
        </w:numPr>
        <w:jc w:val="both"/>
        <w:rPr>
          <w:rFonts w:ascii="Cambria" w:hAnsi="Cambria" w:cs="Arial"/>
        </w:rPr>
      </w:pPr>
      <w:r w:rsidRPr="00B14B11">
        <w:rPr>
          <w:rFonts w:ascii="Cambria" w:hAnsi="Cambria" w:cs="Arial"/>
        </w:rPr>
        <w:t>De 0 à 200 m3 : aménagements non soumis à autorisation administrative</w:t>
      </w:r>
      <w:r>
        <w:rPr>
          <w:rFonts w:ascii="Cambria" w:hAnsi="Cambria" w:cs="Arial"/>
        </w:rPr>
        <w:t> ;</w:t>
      </w:r>
    </w:p>
    <w:p w14:paraId="5FD7D307" w14:textId="291E3D08" w:rsidR="00B14B11" w:rsidRPr="00B14B11" w:rsidRDefault="00B14B11" w:rsidP="00B14B11">
      <w:pPr>
        <w:pStyle w:val="Paragraphedeliste"/>
        <w:numPr>
          <w:ilvl w:val="0"/>
          <w:numId w:val="18"/>
        </w:numPr>
        <w:jc w:val="both"/>
        <w:rPr>
          <w:rFonts w:ascii="Cambria" w:hAnsi="Cambria" w:cs="Arial"/>
        </w:rPr>
      </w:pPr>
      <w:r w:rsidRPr="00B14B11">
        <w:rPr>
          <w:rFonts w:ascii="Cambria" w:hAnsi="Cambria" w:cs="Arial"/>
        </w:rPr>
        <w:t>De plus de 200 m3 à 1000 m3 : déclaration préalable d’aménager ;</w:t>
      </w:r>
    </w:p>
    <w:p w14:paraId="75C7A090" w14:textId="3F6160F8" w:rsidR="00B14B11" w:rsidRPr="00B14B11" w:rsidRDefault="00B14B11" w:rsidP="00B14B11">
      <w:pPr>
        <w:pStyle w:val="Paragraphedeliste"/>
        <w:numPr>
          <w:ilvl w:val="0"/>
          <w:numId w:val="18"/>
        </w:numPr>
        <w:jc w:val="both"/>
        <w:rPr>
          <w:rFonts w:ascii="Cambria" w:hAnsi="Cambria" w:cs="Arial"/>
        </w:rPr>
      </w:pPr>
      <w:r w:rsidRPr="00B14B11">
        <w:rPr>
          <w:rFonts w:ascii="Cambria" w:hAnsi="Cambria" w:cs="Arial"/>
        </w:rPr>
        <w:t>Au-delà de 1000m3 : permis d’aménager</w:t>
      </w:r>
      <w:r>
        <w:rPr>
          <w:rFonts w:ascii="Cambria" w:hAnsi="Cambria" w:cs="Arial"/>
        </w:rPr>
        <w:t> ;</w:t>
      </w:r>
    </w:p>
    <w:p w14:paraId="0667992B" w14:textId="30AE29B4" w:rsidR="00B14B11" w:rsidRDefault="00B14B11" w:rsidP="00B14B11">
      <w:pPr>
        <w:pStyle w:val="Paragraphedeliste"/>
        <w:numPr>
          <w:ilvl w:val="0"/>
          <w:numId w:val="18"/>
        </w:numPr>
        <w:jc w:val="both"/>
        <w:rPr>
          <w:rFonts w:ascii="Cambria" w:hAnsi="Cambria" w:cs="Arial"/>
        </w:rPr>
      </w:pPr>
      <w:r w:rsidRPr="00B14B11">
        <w:rPr>
          <w:rFonts w:ascii="Cambria" w:hAnsi="Cambria" w:cs="Arial"/>
        </w:rPr>
        <w:t>A partir de 2000m3 : permis d’aménager avec évaluation d’impact environnemental, conformément au code de l’environnement.</w:t>
      </w:r>
    </w:p>
    <w:p w14:paraId="2482BE27" w14:textId="77777777" w:rsidR="00B14B11" w:rsidRPr="00B14B11" w:rsidRDefault="00B14B11" w:rsidP="00B14B11">
      <w:pPr>
        <w:jc w:val="both"/>
        <w:rPr>
          <w:rFonts w:ascii="Cambria" w:hAnsi="Cambria" w:cs="Arial"/>
        </w:rPr>
      </w:pPr>
    </w:p>
    <w:p w14:paraId="75A38229" w14:textId="1D066417" w:rsidR="00B14B11" w:rsidRDefault="00B14B11" w:rsidP="00B14B11">
      <w:pPr>
        <w:jc w:val="both"/>
        <w:rPr>
          <w:rFonts w:ascii="Cambria" w:hAnsi="Cambria" w:cs="Arial"/>
        </w:rPr>
      </w:pPr>
      <w:r w:rsidRPr="00B14B11">
        <w:rPr>
          <w:rFonts w:ascii="Cambria" w:hAnsi="Cambria" w:cs="Arial"/>
        </w:rPr>
        <w:t>Les dispositions de l’arrêté d’application permettent de rationaliser les procédures d’instruction de la déclaration préalable d’aménager et de d’instruction du permis d’aménager. Une procédure d’instruction unique est mise en place pour le permis de construire et le permis d’aménager, de même que pour les déclarations préalables de travaux et les déclarations préalables d’aménager.</w:t>
      </w:r>
    </w:p>
    <w:p w14:paraId="77B59A45" w14:textId="77777777" w:rsidR="00B14B11" w:rsidRPr="00B14B11" w:rsidRDefault="00B14B11" w:rsidP="00B14B11">
      <w:pPr>
        <w:jc w:val="both"/>
        <w:rPr>
          <w:rFonts w:ascii="Cambria" w:hAnsi="Cambria" w:cs="Arial"/>
        </w:rPr>
      </w:pPr>
    </w:p>
    <w:p w14:paraId="1CC55BF4" w14:textId="77777777" w:rsidR="00B14B11" w:rsidRPr="00B14B11" w:rsidRDefault="00B14B11" w:rsidP="00B14B11">
      <w:pPr>
        <w:jc w:val="both"/>
        <w:rPr>
          <w:rFonts w:ascii="Cambria" w:hAnsi="Cambria" w:cs="Arial"/>
        </w:rPr>
      </w:pPr>
      <w:r w:rsidRPr="00B14B11">
        <w:rPr>
          <w:rFonts w:ascii="Cambria" w:hAnsi="Cambria" w:cs="Arial"/>
        </w:rPr>
        <w:t>Enfin, pour favoriser l’accession au logement aux personnes à mobilité réduite (PMR), le seuil obligeant les programmes de logements à proposer un logement adapté aux PMR est abaissé à 25 au lieu de 50. Ainsi, les programmes de logements en immeubles collectifs ou en groupements d'habitation devront disposer d'un logement utilisable par une personne handicapée à mobilité réduite par tanche de 25 logements, ou fraction de tranche de 25 logements supplémentaires.</w:t>
      </w:r>
    </w:p>
    <w:p w14:paraId="7E72912C" w14:textId="1FC7D1A0" w:rsidR="00FA26F2" w:rsidRDefault="00FA26F2" w:rsidP="00380DE7"/>
    <w:p w14:paraId="4FC19B80" w14:textId="77777777" w:rsidR="0071264C" w:rsidRDefault="0071264C" w:rsidP="00380DE7"/>
    <w:p w14:paraId="491BD1D9" w14:textId="48C948D2" w:rsidR="00380DE7" w:rsidRPr="00380DE7" w:rsidRDefault="00380DE7" w:rsidP="00EE0217">
      <w:pPr>
        <w:pStyle w:val="Titre1"/>
      </w:pPr>
      <w:bookmarkStart w:id="4" w:name="_Toc89269570"/>
      <w:r w:rsidRPr="00F532C7">
        <w:t>- M</w:t>
      </w:r>
      <w:r>
        <w:t>EF-</w:t>
      </w:r>
      <w:bookmarkEnd w:id="4"/>
    </w:p>
    <w:p w14:paraId="19C49745" w14:textId="77777777" w:rsidR="00F532C7" w:rsidRPr="00F532C7" w:rsidRDefault="00F532C7" w:rsidP="00F532C7"/>
    <w:p w14:paraId="35F8B260" w14:textId="20DFDF86" w:rsidR="00561739" w:rsidRDefault="00561739" w:rsidP="00561739">
      <w:bookmarkStart w:id="5" w:name="_Hlk88043263"/>
      <w:bookmarkStart w:id="6" w:name="_Hlk88043438"/>
    </w:p>
    <w:p w14:paraId="56703170" w14:textId="106B8AD9" w:rsidR="00561739" w:rsidRDefault="00561739" w:rsidP="00561739">
      <w:pPr>
        <w:pStyle w:val="Titre2"/>
        <w:rPr>
          <w:rStyle w:val="lev"/>
          <w:b/>
          <w:bCs w:val="0"/>
        </w:rPr>
      </w:pPr>
      <w:bookmarkStart w:id="7" w:name="_Toc89269571"/>
      <w:r>
        <w:rPr>
          <w:rStyle w:val="lev"/>
          <w:b/>
          <w:bCs w:val="0"/>
        </w:rPr>
        <w:t xml:space="preserve">Approbation des comptes semestriels du </w:t>
      </w:r>
      <w:r w:rsidR="0049706D">
        <w:rPr>
          <w:rStyle w:val="lev"/>
          <w:b/>
          <w:bCs w:val="0"/>
        </w:rPr>
        <w:t>régime général des salariés (RGS) relatifs à la période du 1</w:t>
      </w:r>
      <w:r w:rsidR="0049706D" w:rsidRPr="0049706D">
        <w:rPr>
          <w:rStyle w:val="lev"/>
          <w:b/>
          <w:bCs w:val="0"/>
          <w:vertAlign w:val="superscript"/>
        </w:rPr>
        <w:t>er</w:t>
      </w:r>
      <w:r w:rsidR="0049706D">
        <w:rPr>
          <w:rStyle w:val="lev"/>
          <w:b/>
          <w:bCs w:val="0"/>
        </w:rPr>
        <w:t xml:space="preserve"> janvier au 30 juin 2021</w:t>
      </w:r>
      <w:bookmarkEnd w:id="7"/>
    </w:p>
    <w:p w14:paraId="478ED891" w14:textId="77777777" w:rsidR="00561739" w:rsidRPr="00561739" w:rsidRDefault="00561739" w:rsidP="00561739"/>
    <w:bookmarkEnd w:id="5"/>
    <w:bookmarkEnd w:id="6"/>
    <w:p w14:paraId="01526C89" w14:textId="35209074" w:rsidR="0049706D" w:rsidRDefault="0049706D" w:rsidP="0049706D">
      <w:pPr>
        <w:pStyle w:val="NormalWeb"/>
        <w:jc w:val="both"/>
        <w:rPr>
          <w:rFonts w:ascii="Cambria" w:hAnsi="Cambria" w:cs="Arial"/>
        </w:rPr>
      </w:pPr>
      <w:r w:rsidRPr="0049706D">
        <w:rPr>
          <w:rFonts w:ascii="Cambria" w:hAnsi="Cambria" w:cs="Arial"/>
        </w:rPr>
        <w:t>Les comptes du premier semestre 2021 du RGS présentent un déficit global prévisionnel de 7,878 milliards F</w:t>
      </w:r>
      <w:r>
        <w:rPr>
          <w:rFonts w:ascii="Cambria" w:hAnsi="Cambria" w:cs="Arial"/>
        </w:rPr>
        <w:t>cfp</w:t>
      </w:r>
      <w:r w:rsidRPr="0049706D">
        <w:rPr>
          <w:rFonts w:ascii="Cambria" w:hAnsi="Cambria" w:cs="Arial"/>
        </w:rPr>
        <w:t>, contre 10 milliards prévus initialement en novembre 2020. Le niveau des recettes et des dépenses apparaît en augmentation par rapport aux prévisions portées au budget primitif. Ainsi, au 30 juin 2021, les produits ont progressé et s’élèvent à 94,624 milliards F</w:t>
      </w:r>
      <w:r>
        <w:rPr>
          <w:rFonts w:ascii="Cambria" w:hAnsi="Cambria" w:cs="Arial"/>
        </w:rPr>
        <w:t>cfp</w:t>
      </w:r>
      <w:r w:rsidRPr="0049706D">
        <w:rPr>
          <w:rFonts w:ascii="Cambria" w:hAnsi="Cambria" w:cs="Arial"/>
        </w:rPr>
        <w:t>, soit une légère augmentation de 2,931 milliards F</w:t>
      </w:r>
      <w:r>
        <w:rPr>
          <w:rFonts w:ascii="Cambria" w:hAnsi="Cambria" w:cs="Arial"/>
        </w:rPr>
        <w:t>cfp</w:t>
      </w:r>
      <w:r w:rsidRPr="0049706D">
        <w:rPr>
          <w:rFonts w:ascii="Cambria" w:hAnsi="Cambria" w:cs="Arial"/>
        </w:rPr>
        <w:t xml:space="preserve"> (3,2 %).  </w:t>
      </w:r>
    </w:p>
    <w:p w14:paraId="421865C9" w14:textId="1CF6C8A0" w:rsidR="00157387" w:rsidRDefault="0049706D" w:rsidP="0049706D">
      <w:pPr>
        <w:pStyle w:val="NormalWeb"/>
        <w:jc w:val="both"/>
        <w:rPr>
          <w:rFonts w:ascii="Cambria" w:hAnsi="Cambria" w:cs="Arial"/>
        </w:rPr>
      </w:pPr>
      <w:r w:rsidRPr="0049706D">
        <w:rPr>
          <w:rFonts w:ascii="Cambria" w:hAnsi="Cambria" w:cs="Arial"/>
        </w:rPr>
        <w:t xml:space="preserve">Pour mémoire, en 2020, la crise sanitaire a entraîné une perte estimée à 3 000 emplois salariés. Puis la situation s’est progressivement stabilisée autour de 64 000 emplois salariés depuis août 2020 pour atteindre son niveau le plus haut de 2019 (avant la crise </w:t>
      </w:r>
      <w:r w:rsidRPr="0049706D">
        <w:rPr>
          <w:rFonts w:ascii="Cambria" w:hAnsi="Cambria" w:cs="Arial"/>
        </w:rPr>
        <w:lastRenderedPageBreak/>
        <w:t>sanitaire) de 66 541 salariés en juillet 2021. Il est de 65 529 emplois salariés à juin 2021. Le nombre d’emplois en ETP</w:t>
      </w:r>
      <w:r w:rsidR="0073010E">
        <w:rPr>
          <w:rFonts w:ascii="Cambria" w:hAnsi="Cambria" w:cs="Arial"/>
        </w:rPr>
        <w:t xml:space="preserve"> (équivalent temps plein)</w:t>
      </w:r>
      <w:r w:rsidRPr="0049706D">
        <w:rPr>
          <w:rFonts w:ascii="Cambria" w:hAnsi="Cambria" w:cs="Arial"/>
        </w:rPr>
        <w:t xml:space="preserve"> au 30 juin 2021 est de 55 416. </w:t>
      </w:r>
    </w:p>
    <w:p w14:paraId="4B5FA57C" w14:textId="1549F02D" w:rsidR="00157387" w:rsidRDefault="0049706D" w:rsidP="0049706D">
      <w:pPr>
        <w:pStyle w:val="NormalWeb"/>
        <w:jc w:val="both"/>
        <w:rPr>
          <w:rFonts w:ascii="Cambria" w:hAnsi="Cambria" w:cs="Arial"/>
        </w:rPr>
      </w:pPr>
      <w:r w:rsidRPr="0049706D">
        <w:rPr>
          <w:rFonts w:ascii="Cambria" w:hAnsi="Cambria" w:cs="Arial"/>
        </w:rPr>
        <w:t>Ces paramètres favorables de l’évolution de l’emploi ont permis de stabiliser l’assiette des cotisations d’assurance maladie (AM) autour de 18 milliards F</w:t>
      </w:r>
      <w:r w:rsidR="00157387">
        <w:rPr>
          <w:rFonts w:ascii="Cambria" w:hAnsi="Cambria" w:cs="Arial"/>
        </w:rPr>
        <w:t>cfp</w:t>
      </w:r>
      <w:r w:rsidRPr="0049706D">
        <w:rPr>
          <w:rFonts w:ascii="Cambria" w:hAnsi="Cambria" w:cs="Arial"/>
        </w:rPr>
        <w:t xml:space="preserve"> au deuxième trimestre 2021. Cette assiette a progressé globalement de + 2,6 % par rapport au premier trimestre 2021. Elle est supérieure de + 9 % (+1,5 milliard F</w:t>
      </w:r>
      <w:r w:rsidR="00157387">
        <w:rPr>
          <w:rFonts w:ascii="Cambria" w:hAnsi="Cambria" w:cs="Arial"/>
        </w:rPr>
        <w:t>cfp</w:t>
      </w:r>
      <w:r w:rsidRPr="0049706D">
        <w:rPr>
          <w:rFonts w:ascii="Cambria" w:hAnsi="Cambria" w:cs="Arial"/>
        </w:rPr>
        <w:t xml:space="preserve">) aux prévisions et de + 7 % (+ 1,2 milliard </w:t>
      </w:r>
      <w:r w:rsidR="00157387">
        <w:rPr>
          <w:rFonts w:ascii="Cambria" w:hAnsi="Cambria" w:cs="Arial"/>
        </w:rPr>
        <w:t>Fcfp</w:t>
      </w:r>
      <w:r w:rsidRPr="0049706D">
        <w:rPr>
          <w:rFonts w:ascii="Cambria" w:hAnsi="Cambria" w:cs="Arial"/>
        </w:rPr>
        <w:t xml:space="preserve">) aux réalisations de juillet 2020. </w:t>
      </w:r>
    </w:p>
    <w:p w14:paraId="0AEB8A81" w14:textId="77777777" w:rsidR="00157387" w:rsidRDefault="0049706D" w:rsidP="0049706D">
      <w:pPr>
        <w:pStyle w:val="NormalWeb"/>
        <w:jc w:val="both"/>
        <w:rPr>
          <w:rFonts w:ascii="Cambria" w:hAnsi="Cambria" w:cs="Arial"/>
        </w:rPr>
      </w:pPr>
      <w:r w:rsidRPr="0049706D">
        <w:rPr>
          <w:rFonts w:ascii="Cambria" w:hAnsi="Cambria" w:cs="Arial"/>
        </w:rPr>
        <w:t xml:space="preserve">Pour rappel, les dispositifs d’aides créés en 2020 ont été soumis à cotisations à partir du mois d’avril 2021, ayant entraîné un impact positif sur les rentrées de cotisations sociales. Par exemple, pour le DIESE, les sommes assujetties à cotisations représentent 3 % des salaires déclarés mensuellement correspondant à une moyenne mensuelle de bénéficiaires de 5 400 personnes. </w:t>
      </w:r>
    </w:p>
    <w:p w14:paraId="4B2BA633" w14:textId="0BF67F2D" w:rsidR="0073010E" w:rsidRDefault="0049706D" w:rsidP="0049706D">
      <w:pPr>
        <w:pStyle w:val="NormalWeb"/>
        <w:jc w:val="both"/>
        <w:rPr>
          <w:rFonts w:ascii="Cambria" w:hAnsi="Cambria" w:cs="Arial"/>
        </w:rPr>
      </w:pPr>
      <w:r w:rsidRPr="0049706D">
        <w:rPr>
          <w:rFonts w:ascii="Cambria" w:hAnsi="Cambria" w:cs="Arial"/>
        </w:rPr>
        <w:t>Au titre des charges, le premier atterrissage présente un montant total des charges réalisé à hauteur de 102,602 milliards F</w:t>
      </w:r>
      <w:r w:rsidR="00157387">
        <w:rPr>
          <w:rFonts w:ascii="Cambria" w:hAnsi="Cambria" w:cs="Arial"/>
        </w:rPr>
        <w:t>cfp</w:t>
      </w:r>
      <w:r w:rsidRPr="0049706D">
        <w:rPr>
          <w:rFonts w:ascii="Cambria" w:hAnsi="Cambria" w:cs="Arial"/>
        </w:rPr>
        <w:t>, soit une hausse de près de 744 millions F</w:t>
      </w:r>
      <w:r w:rsidR="00157387">
        <w:rPr>
          <w:rFonts w:ascii="Cambria" w:hAnsi="Cambria" w:cs="Arial"/>
        </w:rPr>
        <w:t>cfp</w:t>
      </w:r>
      <w:r w:rsidRPr="0049706D">
        <w:rPr>
          <w:rFonts w:ascii="Cambria" w:hAnsi="Cambria" w:cs="Arial"/>
        </w:rPr>
        <w:t xml:space="preserve"> (0,73 %). S’agissant des charges d’assurance maladie, on note un dépassement de + 2,039 milliards F</w:t>
      </w:r>
      <w:r w:rsidR="00157387">
        <w:rPr>
          <w:rFonts w:ascii="Cambria" w:hAnsi="Cambria" w:cs="Arial"/>
        </w:rPr>
        <w:t>cfp</w:t>
      </w:r>
      <w:r w:rsidRPr="0049706D">
        <w:rPr>
          <w:rFonts w:ascii="Cambria" w:hAnsi="Cambria" w:cs="Arial"/>
        </w:rPr>
        <w:t xml:space="preserve"> entre le budget primitif et les réalisations, ce qui porte le montant des dépenses à 44 milliards F</w:t>
      </w:r>
      <w:r w:rsidR="00157387">
        <w:rPr>
          <w:rFonts w:ascii="Cambria" w:hAnsi="Cambria" w:cs="Arial"/>
        </w:rPr>
        <w:t>cfp</w:t>
      </w:r>
      <w:r w:rsidRPr="0049706D">
        <w:rPr>
          <w:rFonts w:ascii="Cambria" w:hAnsi="Cambria" w:cs="Arial"/>
        </w:rPr>
        <w:t>, soit + 4,9 %.</w:t>
      </w:r>
      <w:r w:rsidR="00157387">
        <w:rPr>
          <w:rFonts w:ascii="Cambria" w:hAnsi="Cambria" w:cs="Arial"/>
        </w:rPr>
        <w:t xml:space="preserve"> </w:t>
      </w:r>
      <w:r w:rsidRPr="0049706D">
        <w:rPr>
          <w:rFonts w:ascii="Cambria" w:hAnsi="Cambria" w:cs="Arial"/>
        </w:rPr>
        <w:t xml:space="preserve">Cette augmentation couvre notamment les dépenses ayant servi à financer les mesures de lutte contre la </w:t>
      </w:r>
      <w:r w:rsidR="00157387">
        <w:rPr>
          <w:rFonts w:ascii="Cambria" w:hAnsi="Cambria" w:cs="Arial"/>
        </w:rPr>
        <w:t>C</w:t>
      </w:r>
      <w:r w:rsidRPr="0049706D">
        <w:rPr>
          <w:rFonts w:ascii="Cambria" w:hAnsi="Cambria" w:cs="Arial"/>
        </w:rPr>
        <w:t xml:space="preserve">ovid-19 (+ 273 millions </w:t>
      </w:r>
      <w:r w:rsidR="00157387">
        <w:rPr>
          <w:rFonts w:ascii="Cambria" w:hAnsi="Cambria" w:cs="Arial"/>
        </w:rPr>
        <w:t>Fcfp</w:t>
      </w:r>
      <w:r w:rsidRPr="0049706D">
        <w:rPr>
          <w:rFonts w:ascii="Cambria" w:hAnsi="Cambria" w:cs="Arial"/>
        </w:rPr>
        <w:t>), les médicaments onéreux (+ 489 millions F</w:t>
      </w:r>
      <w:r w:rsidR="00157387">
        <w:rPr>
          <w:rFonts w:ascii="Cambria" w:hAnsi="Cambria" w:cs="Arial"/>
        </w:rPr>
        <w:t>cfp</w:t>
      </w:r>
      <w:r w:rsidRPr="0049706D">
        <w:rPr>
          <w:rFonts w:ascii="Cambria" w:hAnsi="Cambria" w:cs="Arial"/>
        </w:rPr>
        <w:t>), les non mises à jour de la NABM</w:t>
      </w:r>
      <w:r w:rsidR="007B23D5">
        <w:rPr>
          <w:rFonts w:ascii="Cambria" w:hAnsi="Cambria" w:cs="Arial"/>
        </w:rPr>
        <w:t xml:space="preserve"> (Nomenclature des actes biologiques et médicaux)</w:t>
      </w:r>
      <w:r w:rsidRPr="0049706D">
        <w:rPr>
          <w:rFonts w:ascii="Cambria" w:hAnsi="Cambria" w:cs="Arial"/>
        </w:rPr>
        <w:t xml:space="preserve"> (+ 195 millions F</w:t>
      </w:r>
      <w:r w:rsidR="00157387">
        <w:rPr>
          <w:rFonts w:ascii="Cambria" w:hAnsi="Cambria" w:cs="Arial"/>
        </w:rPr>
        <w:t>cfp</w:t>
      </w:r>
      <w:r w:rsidRPr="0049706D">
        <w:rPr>
          <w:rFonts w:ascii="Cambria" w:hAnsi="Cambria" w:cs="Arial"/>
        </w:rPr>
        <w:t>), les non mises à jour des tarifs des kinésithérapeutes (+ 86 millions F</w:t>
      </w:r>
      <w:r w:rsidR="00157387">
        <w:rPr>
          <w:rFonts w:ascii="Cambria" w:hAnsi="Cambria" w:cs="Arial"/>
        </w:rPr>
        <w:t>cfp</w:t>
      </w:r>
      <w:r w:rsidRPr="0049706D">
        <w:rPr>
          <w:rFonts w:ascii="Cambria" w:hAnsi="Cambria" w:cs="Arial"/>
        </w:rPr>
        <w:t>) et les indemnités journalières (+ 1,2 milliard F</w:t>
      </w:r>
      <w:r w:rsidR="00157387">
        <w:rPr>
          <w:rFonts w:ascii="Cambria" w:hAnsi="Cambria" w:cs="Arial"/>
        </w:rPr>
        <w:t>cfp</w:t>
      </w:r>
      <w:r w:rsidRPr="0049706D">
        <w:rPr>
          <w:rFonts w:ascii="Cambria" w:hAnsi="Cambria" w:cs="Arial"/>
        </w:rPr>
        <w:t xml:space="preserve"> dont + 618 millions F</w:t>
      </w:r>
      <w:r w:rsidR="00157387">
        <w:rPr>
          <w:rFonts w:ascii="Cambria" w:hAnsi="Cambria" w:cs="Arial"/>
        </w:rPr>
        <w:t>cfp</w:t>
      </w:r>
      <w:r w:rsidRPr="0049706D">
        <w:rPr>
          <w:rFonts w:ascii="Cambria" w:hAnsi="Cambria" w:cs="Arial"/>
        </w:rPr>
        <w:t xml:space="preserve"> liés à la Covid-19).</w:t>
      </w:r>
    </w:p>
    <w:p w14:paraId="586AC7CD" w14:textId="77777777" w:rsidR="00A451F7" w:rsidRDefault="00A451F7" w:rsidP="0049706D">
      <w:pPr>
        <w:pStyle w:val="NormalWeb"/>
        <w:jc w:val="both"/>
        <w:rPr>
          <w:rFonts w:ascii="Cambria" w:hAnsi="Cambria" w:cs="Arial"/>
        </w:rPr>
      </w:pPr>
    </w:p>
    <w:p w14:paraId="4F7179C6" w14:textId="0373A84C" w:rsidR="00157387" w:rsidRDefault="00B34D62" w:rsidP="00157387">
      <w:pPr>
        <w:pStyle w:val="Titre2"/>
        <w:rPr>
          <w:rStyle w:val="lev"/>
          <w:b/>
          <w:bCs w:val="0"/>
        </w:rPr>
      </w:pPr>
      <w:bookmarkStart w:id="8" w:name="_Toc89269572"/>
      <w:r>
        <w:rPr>
          <w:rStyle w:val="lev"/>
          <w:b/>
          <w:bCs w:val="0"/>
        </w:rPr>
        <w:t>Projet de loi du Pays portant simplification et performance du système fiscal, en faveur de la solidarité et de l’emploi</w:t>
      </w:r>
      <w:bookmarkEnd w:id="8"/>
      <w:r>
        <w:rPr>
          <w:rStyle w:val="lev"/>
          <w:b/>
          <w:bCs w:val="0"/>
        </w:rPr>
        <w:t xml:space="preserve"> </w:t>
      </w:r>
    </w:p>
    <w:p w14:paraId="68D208BF" w14:textId="77777777" w:rsidR="00B34D62" w:rsidRDefault="00B34D62" w:rsidP="00B34D62">
      <w:pPr>
        <w:jc w:val="both"/>
        <w:rPr>
          <w:rFonts w:ascii="Cambria" w:hAnsi="Cambria" w:cs="Arial"/>
          <w:color w:val="000000"/>
          <w:lang w:eastAsia="fr-FR"/>
        </w:rPr>
      </w:pPr>
    </w:p>
    <w:p w14:paraId="613F875E" w14:textId="77777777" w:rsidR="00B34D62" w:rsidRDefault="00B34D62" w:rsidP="00B34D62">
      <w:pPr>
        <w:pStyle w:val="NormalWeb"/>
        <w:jc w:val="both"/>
        <w:rPr>
          <w:rFonts w:ascii="Cambria" w:hAnsi="Cambria" w:cs="Arial"/>
        </w:rPr>
      </w:pPr>
      <w:r w:rsidRPr="00B34D62">
        <w:rPr>
          <w:rFonts w:ascii="Cambria" w:hAnsi="Cambria" w:cs="Arial"/>
        </w:rPr>
        <w:t xml:space="preserve">Le projet de loi du </w:t>
      </w:r>
      <w:r>
        <w:rPr>
          <w:rFonts w:ascii="Cambria" w:hAnsi="Cambria" w:cs="Arial"/>
        </w:rPr>
        <w:t>P</w:t>
      </w:r>
      <w:r w:rsidRPr="00B34D62">
        <w:rPr>
          <w:rFonts w:ascii="Cambria" w:hAnsi="Cambria" w:cs="Arial"/>
        </w:rPr>
        <w:t xml:space="preserve">ays portant simplification et performance du système fiscal, en faveur de la solidarité et de l'emploi, présenté en </w:t>
      </w:r>
      <w:r>
        <w:rPr>
          <w:rFonts w:ascii="Cambria" w:hAnsi="Cambria" w:cs="Arial"/>
        </w:rPr>
        <w:t>C</w:t>
      </w:r>
      <w:r w:rsidRPr="00B34D62">
        <w:rPr>
          <w:rFonts w:ascii="Cambria" w:hAnsi="Cambria" w:cs="Arial"/>
        </w:rPr>
        <w:t xml:space="preserve">onseil des ministres, a pour objectif de fédérer l’ensemble des acteurs autour d’un idéal, la sauvegarde de notre modèle social, la relance économique, et la restauration de la confiance dans l’avenir. </w:t>
      </w:r>
    </w:p>
    <w:p w14:paraId="6012DF43" w14:textId="690789D4" w:rsidR="00B34D62" w:rsidRPr="00B34D62" w:rsidRDefault="00B34D62" w:rsidP="00B34D62">
      <w:pPr>
        <w:pStyle w:val="NormalWeb"/>
        <w:jc w:val="both"/>
        <w:rPr>
          <w:rFonts w:ascii="Cambria" w:hAnsi="Cambria" w:cs="Arial"/>
        </w:rPr>
      </w:pPr>
      <w:r w:rsidRPr="00B34D62">
        <w:rPr>
          <w:rFonts w:ascii="Cambria" w:hAnsi="Cambria" w:cs="Arial"/>
        </w:rPr>
        <w:t xml:space="preserve">Il est construit sur trois piliers : la solidarité, la compétitivité et l’emploi, la simplification et la performance. </w:t>
      </w:r>
    </w:p>
    <w:p w14:paraId="4F0BE5C1" w14:textId="54592B5E" w:rsidR="00B34D62" w:rsidRPr="00B34D62" w:rsidRDefault="00B34D62" w:rsidP="00B34D62">
      <w:pPr>
        <w:pStyle w:val="NormalWeb"/>
        <w:numPr>
          <w:ilvl w:val="0"/>
          <w:numId w:val="20"/>
        </w:numPr>
        <w:jc w:val="both"/>
        <w:rPr>
          <w:rFonts w:ascii="Cambria" w:hAnsi="Cambria" w:cs="Arial"/>
        </w:rPr>
      </w:pPr>
      <w:r w:rsidRPr="00B34D62">
        <w:rPr>
          <w:rFonts w:ascii="Cambria" w:hAnsi="Cambria" w:cs="Arial"/>
        </w:rPr>
        <w:t xml:space="preserve">La solidarité, pour sauver </w:t>
      </w:r>
      <w:r>
        <w:rPr>
          <w:rFonts w:ascii="Cambria" w:hAnsi="Cambria" w:cs="Arial"/>
        </w:rPr>
        <w:t>le</w:t>
      </w:r>
      <w:r w:rsidRPr="00B34D62">
        <w:rPr>
          <w:rFonts w:ascii="Cambria" w:hAnsi="Cambria" w:cs="Arial"/>
        </w:rPr>
        <w:t xml:space="preserve"> système de protection sociale par la participation de tous. Compte tenu des dynamiques en cours et des besoins nouveaux, le financement de la protection sociale ne peut plus être envisagé par une simple augmentation des taux de cotisation, mais par la mise en œuvre d’un cadre fiscal plus résilient, notamment durant les périodes de crise, en s’appuyant sur des facteurs pérennes comme les revenus ou la consommation.</w:t>
      </w:r>
    </w:p>
    <w:p w14:paraId="167A03D8" w14:textId="77777777" w:rsidR="00B34D62" w:rsidRPr="00B34D62" w:rsidRDefault="00B34D62" w:rsidP="00B34D62">
      <w:pPr>
        <w:pStyle w:val="NormalWeb"/>
        <w:numPr>
          <w:ilvl w:val="0"/>
          <w:numId w:val="20"/>
        </w:numPr>
        <w:jc w:val="both"/>
        <w:rPr>
          <w:rFonts w:ascii="Cambria" w:hAnsi="Cambria" w:cs="Arial"/>
        </w:rPr>
      </w:pPr>
      <w:r w:rsidRPr="00B34D62">
        <w:rPr>
          <w:rFonts w:ascii="Cambria" w:hAnsi="Cambria" w:cs="Arial"/>
        </w:rPr>
        <w:t xml:space="preserve">La compétitivité et l’emploi pour relancer l’économie, par l’encouragement à l’investissement, le développement de l’initiative privée et le réinvestissement des fonds localement. La relance économique et la préservation du pouvoir d’achat sont sensibles à la pression fiscale. Il ne s’agit pas d’augmenter le rendement mais de moderniser la fiscalité tout en stabilisant les recettes constantes. La modernisation favorisant l’optimisation de l’assiette, en contribuant en particulier à l’attractivité du territoire et au développement de l’activité, elle permet l’accroissement des recettes sans accroître la pression fiscale. Ainsi les secteurs les </w:t>
      </w:r>
      <w:r w:rsidRPr="00B34D62">
        <w:rPr>
          <w:rFonts w:ascii="Cambria" w:hAnsi="Cambria" w:cs="Arial"/>
        </w:rPr>
        <w:lastRenderedPageBreak/>
        <w:t>plus exposés à la compétitivité internationale sont soulagés et le marché intérieur est protégé sans pour autant créer de nouvelles rentes de situation.</w:t>
      </w:r>
    </w:p>
    <w:p w14:paraId="61F22A11" w14:textId="17F7E8EC" w:rsidR="00B34D62" w:rsidRPr="00B34D62" w:rsidRDefault="00B34D62" w:rsidP="00B34D62">
      <w:pPr>
        <w:pStyle w:val="NormalWeb"/>
        <w:numPr>
          <w:ilvl w:val="0"/>
          <w:numId w:val="20"/>
        </w:numPr>
        <w:jc w:val="both"/>
        <w:rPr>
          <w:rFonts w:ascii="Cambria" w:hAnsi="Cambria" w:cs="Arial"/>
        </w:rPr>
      </w:pPr>
      <w:r w:rsidRPr="00B34D62">
        <w:rPr>
          <w:rFonts w:ascii="Cambria" w:hAnsi="Cambria" w:cs="Arial"/>
        </w:rPr>
        <w:t xml:space="preserve">La simplification et la performance, pour améliorer la lisibilité du système. La simplicité et la lisibilité du système fiscal sont gages de compréhension et d’acceptabilité. Un système stable et prévisible encourage l’investissement et contribue à restaurer la confiance dans l’avenir. Par cet effort de lisibilité pluriannuelle, le </w:t>
      </w:r>
      <w:r>
        <w:rPr>
          <w:rFonts w:ascii="Cambria" w:hAnsi="Cambria" w:cs="Arial"/>
        </w:rPr>
        <w:t>G</w:t>
      </w:r>
      <w:r w:rsidRPr="00B34D62">
        <w:rPr>
          <w:rFonts w:ascii="Cambria" w:hAnsi="Cambria" w:cs="Arial"/>
        </w:rPr>
        <w:t xml:space="preserve">ouvernement entend conclure un pacte fiscal avec les forces vives polynésiennes. </w:t>
      </w:r>
    </w:p>
    <w:p w14:paraId="78AF1AB8" w14:textId="70A10CD6" w:rsidR="00B34D62" w:rsidRDefault="00B34D62" w:rsidP="0049706D">
      <w:pPr>
        <w:pStyle w:val="NormalWeb"/>
        <w:jc w:val="both"/>
        <w:rPr>
          <w:rFonts w:ascii="Cambria" w:hAnsi="Cambria" w:cs="Arial"/>
        </w:rPr>
      </w:pPr>
    </w:p>
    <w:p w14:paraId="0CCD8C00" w14:textId="58D5856E" w:rsidR="00B34D62" w:rsidRDefault="00B34D62" w:rsidP="00B34D62">
      <w:pPr>
        <w:pStyle w:val="Titre2"/>
        <w:rPr>
          <w:lang w:eastAsia="fr-FR"/>
        </w:rPr>
      </w:pPr>
      <w:bookmarkStart w:id="9" w:name="_Toc89269573"/>
      <w:r>
        <w:rPr>
          <w:lang w:eastAsia="fr-FR"/>
        </w:rPr>
        <w:t>Prix des hydrocarbures</w:t>
      </w:r>
      <w:bookmarkEnd w:id="9"/>
    </w:p>
    <w:p w14:paraId="126CBCAF" w14:textId="708F3261" w:rsidR="00B34D62" w:rsidRDefault="00B34D62" w:rsidP="00B34D62">
      <w:pPr>
        <w:rPr>
          <w:lang w:eastAsia="fr-FR"/>
        </w:rPr>
      </w:pPr>
    </w:p>
    <w:p w14:paraId="3C634EB5" w14:textId="3A35C254" w:rsidR="00B34D62" w:rsidRPr="00B34D62" w:rsidRDefault="00B34D62" w:rsidP="00B34D62">
      <w:pPr>
        <w:pStyle w:val="NormalWeb"/>
        <w:jc w:val="both"/>
        <w:rPr>
          <w:rFonts w:ascii="Cambria" w:hAnsi="Cambria" w:cs="Arial"/>
        </w:rPr>
      </w:pPr>
      <w:r w:rsidRPr="00B34D62">
        <w:rPr>
          <w:rFonts w:ascii="Cambria" w:hAnsi="Cambria" w:cs="Arial"/>
        </w:rPr>
        <w:t>Malgré les tendances haussières des prix sur les marchés à l’international aux dates de chargement, le Conseil des ministres a décidé de maintenir les prix des hydrocarbures à leurs niveaux actuels pour le mois de décembre 2021.</w:t>
      </w:r>
    </w:p>
    <w:p w14:paraId="6D7661A7" w14:textId="2A076251" w:rsidR="00B34D62" w:rsidRDefault="00B34D62" w:rsidP="0049706D">
      <w:pPr>
        <w:pStyle w:val="NormalWeb"/>
        <w:jc w:val="both"/>
        <w:rPr>
          <w:rFonts w:ascii="Cambria" w:hAnsi="Cambria" w:cs="Arial"/>
        </w:rPr>
      </w:pPr>
    </w:p>
    <w:p w14:paraId="7853814F" w14:textId="77777777" w:rsidR="00DB22DD" w:rsidRPr="00887AD1" w:rsidRDefault="00DB22DD" w:rsidP="0049706D">
      <w:pPr>
        <w:pStyle w:val="NormalWeb"/>
        <w:jc w:val="both"/>
        <w:rPr>
          <w:rFonts w:ascii="Cambria" w:hAnsi="Cambria" w:cs="Arial"/>
        </w:rPr>
      </w:pPr>
    </w:p>
    <w:p w14:paraId="3F3CD179" w14:textId="2CD48EC7" w:rsidR="0006201F" w:rsidRDefault="0006201F" w:rsidP="0006201F">
      <w:pPr>
        <w:pStyle w:val="Titre1"/>
      </w:pPr>
      <w:bookmarkStart w:id="10" w:name="_Toc89269574"/>
      <w:r w:rsidRPr="00F532C7">
        <w:t xml:space="preserve">- </w:t>
      </w:r>
      <w:r>
        <w:t>MED-</w:t>
      </w:r>
      <w:bookmarkEnd w:id="10"/>
    </w:p>
    <w:p w14:paraId="42B6D8EA" w14:textId="77777777" w:rsidR="0006201F" w:rsidRPr="0006201F" w:rsidRDefault="0006201F" w:rsidP="0006201F"/>
    <w:p w14:paraId="62BFF0D7" w14:textId="2D0FF541" w:rsidR="0006201F" w:rsidRDefault="00723D84" w:rsidP="0006201F">
      <w:pPr>
        <w:pStyle w:val="Titre2"/>
        <w:rPr>
          <w:lang w:eastAsia="fr-FR"/>
        </w:rPr>
      </w:pPr>
      <w:bookmarkStart w:id="11" w:name="_Toc89269575"/>
      <w:r>
        <w:rPr>
          <w:lang w:eastAsia="fr-FR"/>
        </w:rPr>
        <w:t>Le CRIOBE fête ses 50 ans</w:t>
      </w:r>
      <w:bookmarkEnd w:id="11"/>
    </w:p>
    <w:p w14:paraId="5840906F" w14:textId="3FF1D9A7" w:rsidR="00723D84" w:rsidRDefault="00723D84" w:rsidP="00723D84">
      <w:pPr>
        <w:rPr>
          <w:lang w:eastAsia="fr-FR"/>
        </w:rPr>
      </w:pPr>
    </w:p>
    <w:p w14:paraId="52579437" w14:textId="7EEF5CA3" w:rsidR="00723D84" w:rsidRDefault="00723D84" w:rsidP="00723D84">
      <w:pPr>
        <w:jc w:val="both"/>
        <w:rPr>
          <w:rFonts w:ascii="Cambria" w:hAnsi="Cambria" w:cs="Arial"/>
          <w:color w:val="000000"/>
          <w:lang w:eastAsia="fr-FR"/>
        </w:rPr>
      </w:pPr>
      <w:r w:rsidRPr="00723D84">
        <w:rPr>
          <w:rFonts w:ascii="Cambria" w:hAnsi="Cambria" w:cs="Arial"/>
          <w:color w:val="000000"/>
          <w:lang w:eastAsia="fr-FR"/>
        </w:rPr>
        <w:t>Créé en 1971, le CRIOBE est le plus éminent laboratoire français pour l’étude des écosystèmes coralliens.</w:t>
      </w:r>
    </w:p>
    <w:p w14:paraId="3FC1DFDC" w14:textId="77777777" w:rsidR="00723D84" w:rsidRPr="00723D84" w:rsidRDefault="00723D84" w:rsidP="00723D84">
      <w:pPr>
        <w:jc w:val="both"/>
        <w:rPr>
          <w:rFonts w:ascii="Cambria" w:hAnsi="Cambria" w:cs="Arial"/>
          <w:color w:val="000000"/>
          <w:lang w:eastAsia="fr-FR"/>
        </w:rPr>
      </w:pPr>
    </w:p>
    <w:p w14:paraId="04DDF2E7" w14:textId="0BB5E480" w:rsidR="00723D84" w:rsidRDefault="00723D84" w:rsidP="00723D84">
      <w:pPr>
        <w:jc w:val="both"/>
        <w:rPr>
          <w:rFonts w:ascii="Cambria" w:hAnsi="Cambria" w:cs="Arial"/>
          <w:color w:val="000000"/>
          <w:lang w:eastAsia="fr-FR"/>
        </w:rPr>
      </w:pPr>
      <w:r w:rsidRPr="00723D84">
        <w:rPr>
          <w:rFonts w:ascii="Cambria" w:hAnsi="Cambria" w:cs="Arial"/>
          <w:color w:val="000000"/>
          <w:lang w:eastAsia="fr-FR"/>
        </w:rPr>
        <w:t>Regroupant près de 90 personnes, chercheurs, enseignants-chercheurs, personnels administratifs et techniques, issues du Centre National de Recherche Scientifique (CNRS), de l’École Pratiques des Hautes Études (EPHE) et de l’Université de Perpignan (UPVD), cette unité de recherche et de services apporte une meilleure lisibilité aux recherches françaises sur les récifs coralliens en lien avec les problématiques environnementales.</w:t>
      </w:r>
    </w:p>
    <w:p w14:paraId="5C0BB35A" w14:textId="77777777" w:rsidR="00723D84" w:rsidRPr="00723D84" w:rsidRDefault="00723D84" w:rsidP="00723D84">
      <w:pPr>
        <w:jc w:val="both"/>
        <w:rPr>
          <w:rFonts w:ascii="Cambria" w:hAnsi="Cambria" w:cs="Arial"/>
          <w:color w:val="000000"/>
          <w:lang w:eastAsia="fr-FR"/>
        </w:rPr>
      </w:pPr>
    </w:p>
    <w:p w14:paraId="51BC3121" w14:textId="47EC6E05" w:rsidR="00723D84" w:rsidRDefault="00723D84" w:rsidP="00723D84">
      <w:pPr>
        <w:jc w:val="both"/>
        <w:rPr>
          <w:rFonts w:ascii="Cambria" w:hAnsi="Cambria" w:cs="Arial"/>
          <w:color w:val="000000"/>
          <w:lang w:eastAsia="fr-FR"/>
        </w:rPr>
      </w:pPr>
      <w:r w:rsidRPr="00723D84">
        <w:rPr>
          <w:rFonts w:ascii="Cambria" w:hAnsi="Cambria" w:cs="Arial"/>
          <w:color w:val="000000"/>
          <w:lang w:eastAsia="fr-FR"/>
        </w:rPr>
        <w:t>Ses activités s’exercent au travers de multiples disciplines : l’écologie, la génétique, la chimie sur deux sites géographiques principaux, le campus de l’Université de Perpignan (France métropolitaine) et la station de terrain sur l’île de Moorea (Polynésie française).</w:t>
      </w:r>
    </w:p>
    <w:p w14:paraId="6A2D9879" w14:textId="77777777" w:rsidR="0071264C" w:rsidRDefault="0071264C" w:rsidP="00723D84">
      <w:pPr>
        <w:jc w:val="both"/>
        <w:rPr>
          <w:rFonts w:ascii="Cambria" w:hAnsi="Cambria" w:cs="Arial"/>
          <w:color w:val="000000"/>
          <w:lang w:eastAsia="fr-FR"/>
        </w:rPr>
      </w:pPr>
    </w:p>
    <w:p w14:paraId="3BB59515" w14:textId="51775611" w:rsidR="00723D84" w:rsidRPr="00723D84" w:rsidRDefault="00723D84" w:rsidP="00723D84">
      <w:pPr>
        <w:jc w:val="both"/>
        <w:rPr>
          <w:rFonts w:ascii="Cambria" w:hAnsi="Cambria" w:cs="Arial"/>
          <w:color w:val="000000"/>
          <w:lang w:eastAsia="fr-FR"/>
        </w:rPr>
      </w:pPr>
      <w:r w:rsidRPr="00723D84">
        <w:rPr>
          <w:rFonts w:ascii="Cambria" w:hAnsi="Cambria" w:cs="Arial"/>
          <w:color w:val="000000"/>
          <w:lang w:eastAsia="fr-FR"/>
        </w:rPr>
        <w:t>La célébration des 50 ans du CRIOBE a été marquée par l’organisation tout au long de l’année d’une série d’événements et se clôturera par une cérémonie en présence des Présidents des trois tutelles CNRS, EPHE et l’UPVD le 7 décembre, à partir de 10h00 à la station du CRIOBE à Moorea.</w:t>
      </w:r>
    </w:p>
    <w:p w14:paraId="02FC1AEC" w14:textId="77777777" w:rsidR="00FA26F2" w:rsidRDefault="00FA26F2" w:rsidP="00C61300">
      <w:pPr>
        <w:jc w:val="both"/>
        <w:rPr>
          <w:rFonts w:ascii="Cambria" w:hAnsi="Cambria"/>
          <w:lang w:eastAsia="fr-FR"/>
        </w:rPr>
      </w:pPr>
    </w:p>
    <w:p w14:paraId="5902FF8B" w14:textId="77777777" w:rsidR="00C61300" w:rsidRDefault="00C61300" w:rsidP="00C61300">
      <w:pPr>
        <w:jc w:val="both"/>
        <w:rPr>
          <w:lang w:eastAsia="fr-FR"/>
        </w:rPr>
      </w:pPr>
    </w:p>
    <w:p w14:paraId="184DF30C" w14:textId="69368487" w:rsidR="0006201F" w:rsidRDefault="00D95AFF" w:rsidP="0006201F">
      <w:pPr>
        <w:pStyle w:val="Titre2"/>
        <w:rPr>
          <w:lang w:eastAsia="fr-FR"/>
        </w:rPr>
      </w:pPr>
      <w:bookmarkStart w:id="12" w:name="_Toc89269576"/>
      <w:r>
        <w:rPr>
          <w:lang w:eastAsia="fr-FR"/>
        </w:rPr>
        <w:t>Subventions</w:t>
      </w:r>
      <w:r w:rsidR="00B57252">
        <w:rPr>
          <w:lang w:eastAsia="fr-FR"/>
        </w:rPr>
        <w:t xml:space="preserve"> au Comité polynésien des maisons familiales rurales (CP</w:t>
      </w:r>
      <w:r>
        <w:rPr>
          <w:lang w:eastAsia="fr-FR"/>
        </w:rPr>
        <w:t>MFR</w:t>
      </w:r>
      <w:r w:rsidR="00B57252">
        <w:rPr>
          <w:lang w:eastAsia="fr-FR"/>
        </w:rPr>
        <w:t>)</w:t>
      </w:r>
      <w:bookmarkEnd w:id="12"/>
    </w:p>
    <w:p w14:paraId="0D28B0CC" w14:textId="77777777" w:rsidR="0006201F" w:rsidRPr="0006201F" w:rsidRDefault="0006201F" w:rsidP="0006201F">
      <w:pPr>
        <w:rPr>
          <w:lang w:eastAsia="fr-FR"/>
        </w:rPr>
      </w:pPr>
    </w:p>
    <w:p w14:paraId="50A39BD3" w14:textId="77777777" w:rsidR="00250361" w:rsidRDefault="006C75C2" w:rsidP="00073530">
      <w:pPr>
        <w:pStyle w:val="NormalWeb"/>
        <w:jc w:val="both"/>
        <w:rPr>
          <w:rFonts w:ascii="Cambria" w:hAnsi="Cambria"/>
          <w:color w:val="auto"/>
        </w:rPr>
      </w:pPr>
      <w:r w:rsidRPr="006C75C2">
        <w:rPr>
          <w:rFonts w:ascii="Cambria" w:hAnsi="Cambria"/>
          <w:color w:val="auto"/>
        </w:rPr>
        <w:t xml:space="preserve">Le </w:t>
      </w:r>
      <w:r>
        <w:rPr>
          <w:rFonts w:ascii="Cambria" w:hAnsi="Cambria"/>
          <w:color w:val="auto"/>
        </w:rPr>
        <w:t>C</w:t>
      </w:r>
      <w:r w:rsidRPr="006C75C2">
        <w:rPr>
          <w:rFonts w:ascii="Cambria" w:hAnsi="Cambria"/>
          <w:color w:val="auto"/>
        </w:rPr>
        <w:t xml:space="preserve">onseil des ministres a octroyé </w:t>
      </w:r>
      <w:r>
        <w:rPr>
          <w:rFonts w:ascii="Cambria" w:hAnsi="Cambria"/>
          <w:color w:val="auto"/>
        </w:rPr>
        <w:t>des</w:t>
      </w:r>
      <w:r w:rsidRPr="006C75C2">
        <w:rPr>
          <w:rFonts w:ascii="Cambria" w:hAnsi="Cambria"/>
          <w:color w:val="auto"/>
        </w:rPr>
        <w:t xml:space="preserve"> aide</w:t>
      </w:r>
      <w:r>
        <w:rPr>
          <w:rFonts w:ascii="Cambria" w:hAnsi="Cambria"/>
          <w:color w:val="auto"/>
        </w:rPr>
        <w:t>s</w:t>
      </w:r>
      <w:r w:rsidRPr="006C75C2">
        <w:rPr>
          <w:rFonts w:ascii="Cambria" w:hAnsi="Cambria"/>
          <w:color w:val="auto"/>
        </w:rPr>
        <w:t xml:space="preserve"> financière</w:t>
      </w:r>
      <w:r>
        <w:rPr>
          <w:rFonts w:ascii="Cambria" w:hAnsi="Cambria"/>
          <w:color w:val="auto"/>
        </w:rPr>
        <w:t>s</w:t>
      </w:r>
      <w:r w:rsidRPr="006C75C2">
        <w:rPr>
          <w:rFonts w:ascii="Cambria" w:hAnsi="Cambria"/>
          <w:color w:val="auto"/>
        </w:rPr>
        <w:t xml:space="preserve"> au Comité polynésien des maisons familiales rurales (CPMFR) pour financer les travaux de réhabilitation, d’aménagement et d’équipements des locaux de la MFR </w:t>
      </w:r>
      <w:r>
        <w:rPr>
          <w:rFonts w:ascii="Cambria" w:hAnsi="Cambria"/>
          <w:color w:val="auto"/>
        </w:rPr>
        <w:t>de</w:t>
      </w:r>
      <w:r w:rsidR="00250361">
        <w:rPr>
          <w:rFonts w:ascii="Cambria" w:hAnsi="Cambria"/>
          <w:color w:val="auto"/>
        </w:rPr>
        <w:t> :</w:t>
      </w:r>
    </w:p>
    <w:p w14:paraId="0862D0B8" w14:textId="7ED13B78" w:rsidR="00250361" w:rsidRDefault="006C75C2" w:rsidP="00250361">
      <w:pPr>
        <w:pStyle w:val="NormalWeb"/>
        <w:numPr>
          <w:ilvl w:val="0"/>
          <w:numId w:val="16"/>
        </w:numPr>
        <w:jc w:val="both"/>
        <w:rPr>
          <w:rFonts w:ascii="Cambria" w:hAnsi="Cambria"/>
          <w:color w:val="auto"/>
        </w:rPr>
      </w:pPr>
      <w:r w:rsidRPr="006C75C2">
        <w:rPr>
          <w:rFonts w:ascii="Cambria" w:hAnsi="Cambria"/>
          <w:color w:val="auto"/>
        </w:rPr>
        <w:t>Tahaa</w:t>
      </w:r>
      <w:r w:rsidR="00250361">
        <w:rPr>
          <w:rFonts w:ascii="Cambria" w:hAnsi="Cambria"/>
          <w:color w:val="auto"/>
        </w:rPr>
        <w:t xml:space="preserve"> : </w:t>
      </w:r>
      <w:r w:rsidR="00491A0E">
        <w:rPr>
          <w:rFonts w:ascii="Cambria" w:hAnsi="Cambria"/>
          <w:color w:val="auto"/>
        </w:rPr>
        <w:t xml:space="preserve">subvention de </w:t>
      </w:r>
      <w:r w:rsidR="00250361">
        <w:rPr>
          <w:rFonts w:ascii="Cambria" w:hAnsi="Cambria"/>
          <w:color w:val="auto"/>
        </w:rPr>
        <w:t>55 000 000 Fcfp</w:t>
      </w:r>
    </w:p>
    <w:p w14:paraId="1B8FA79B" w14:textId="6FEAC312" w:rsidR="00250361" w:rsidRDefault="006C75C2" w:rsidP="00250361">
      <w:pPr>
        <w:pStyle w:val="NormalWeb"/>
        <w:numPr>
          <w:ilvl w:val="0"/>
          <w:numId w:val="16"/>
        </w:numPr>
        <w:jc w:val="both"/>
        <w:rPr>
          <w:rFonts w:ascii="Cambria" w:hAnsi="Cambria"/>
          <w:color w:val="auto"/>
        </w:rPr>
      </w:pPr>
      <w:r w:rsidRPr="00250361">
        <w:rPr>
          <w:rFonts w:ascii="Cambria" w:hAnsi="Cambria"/>
          <w:color w:val="auto"/>
        </w:rPr>
        <w:lastRenderedPageBreak/>
        <w:t>Taharuu Papara</w:t>
      </w:r>
      <w:r w:rsidR="00250361">
        <w:rPr>
          <w:rFonts w:ascii="Cambria" w:hAnsi="Cambria"/>
          <w:color w:val="auto"/>
        </w:rPr>
        <w:t xml:space="preserve"> : </w:t>
      </w:r>
      <w:r w:rsidR="00491A0E">
        <w:rPr>
          <w:rFonts w:ascii="Cambria" w:hAnsi="Cambria"/>
          <w:color w:val="auto"/>
        </w:rPr>
        <w:t xml:space="preserve">subvention de </w:t>
      </w:r>
      <w:r w:rsidR="00250361">
        <w:rPr>
          <w:rFonts w:ascii="Cambria" w:hAnsi="Cambria"/>
          <w:color w:val="auto"/>
        </w:rPr>
        <w:t>20 000 000 Fcfp</w:t>
      </w:r>
    </w:p>
    <w:p w14:paraId="564B7117" w14:textId="5CC8A859" w:rsidR="00AC5B52" w:rsidRPr="00250361" w:rsidRDefault="006C75C2" w:rsidP="00250361">
      <w:pPr>
        <w:pStyle w:val="NormalWeb"/>
        <w:numPr>
          <w:ilvl w:val="0"/>
          <w:numId w:val="16"/>
        </w:numPr>
        <w:jc w:val="both"/>
        <w:rPr>
          <w:rFonts w:ascii="Cambria" w:hAnsi="Cambria"/>
          <w:color w:val="auto"/>
        </w:rPr>
      </w:pPr>
      <w:r w:rsidRPr="00250361">
        <w:rPr>
          <w:rFonts w:ascii="Cambria" w:hAnsi="Cambria"/>
          <w:color w:val="auto"/>
        </w:rPr>
        <w:t>Vairao</w:t>
      </w:r>
      <w:r w:rsidR="00250361">
        <w:rPr>
          <w:rFonts w:ascii="Cambria" w:hAnsi="Cambria"/>
          <w:color w:val="auto"/>
        </w:rPr>
        <w:t xml:space="preserve"> : </w:t>
      </w:r>
      <w:r w:rsidR="00491A0E">
        <w:rPr>
          <w:rFonts w:ascii="Cambria" w:hAnsi="Cambria"/>
          <w:color w:val="auto"/>
        </w:rPr>
        <w:t xml:space="preserve">subvention de </w:t>
      </w:r>
      <w:r w:rsidR="00250361">
        <w:rPr>
          <w:rFonts w:ascii="Cambria" w:hAnsi="Cambria"/>
          <w:color w:val="auto"/>
        </w:rPr>
        <w:t>48 000 000 Fcfp</w:t>
      </w:r>
    </w:p>
    <w:p w14:paraId="724CCDFA" w14:textId="77777777" w:rsidR="00250361" w:rsidRDefault="00250361" w:rsidP="00250361">
      <w:pPr>
        <w:pStyle w:val="NormalWeb"/>
        <w:jc w:val="both"/>
        <w:rPr>
          <w:rFonts w:ascii="Cambria" w:hAnsi="Cambria"/>
        </w:rPr>
      </w:pPr>
      <w:r w:rsidRPr="001665CC">
        <w:rPr>
          <w:rFonts w:ascii="Cambria" w:hAnsi="Cambria"/>
        </w:rPr>
        <w:t>L</w:t>
      </w:r>
      <w:r>
        <w:rPr>
          <w:rFonts w:ascii="Cambria" w:hAnsi="Cambria"/>
        </w:rPr>
        <w:t>es</w:t>
      </w:r>
      <w:r w:rsidRPr="001665CC">
        <w:rPr>
          <w:rFonts w:ascii="Cambria" w:hAnsi="Cambria"/>
        </w:rPr>
        <w:t xml:space="preserve"> maison</w:t>
      </w:r>
      <w:r>
        <w:rPr>
          <w:rFonts w:ascii="Cambria" w:hAnsi="Cambria"/>
        </w:rPr>
        <w:t>s</w:t>
      </w:r>
      <w:r w:rsidRPr="001665CC">
        <w:rPr>
          <w:rFonts w:ascii="Cambria" w:hAnsi="Cambria"/>
        </w:rPr>
        <w:t xml:space="preserve"> familiale</w:t>
      </w:r>
      <w:r>
        <w:rPr>
          <w:rFonts w:ascii="Cambria" w:hAnsi="Cambria"/>
        </w:rPr>
        <w:t>s</w:t>
      </w:r>
      <w:r w:rsidRPr="001665CC">
        <w:rPr>
          <w:rFonts w:ascii="Cambria" w:hAnsi="Cambria"/>
        </w:rPr>
        <w:t xml:space="preserve"> rurale</w:t>
      </w:r>
      <w:r>
        <w:rPr>
          <w:rFonts w:ascii="Cambria" w:hAnsi="Cambria"/>
        </w:rPr>
        <w:t>s</w:t>
      </w:r>
      <w:r w:rsidRPr="001665CC">
        <w:rPr>
          <w:rFonts w:ascii="Cambria" w:hAnsi="Cambria"/>
        </w:rPr>
        <w:t xml:space="preserve"> de Tahaa</w:t>
      </w:r>
      <w:r>
        <w:rPr>
          <w:rFonts w:ascii="Cambria" w:hAnsi="Cambria"/>
        </w:rPr>
        <w:t xml:space="preserve">, Taharuu et Vairao (garçons) </w:t>
      </w:r>
      <w:r w:rsidRPr="001665CC">
        <w:rPr>
          <w:rFonts w:ascii="Cambria" w:hAnsi="Cambria"/>
        </w:rPr>
        <w:t>propose</w:t>
      </w:r>
      <w:r>
        <w:rPr>
          <w:rFonts w:ascii="Cambria" w:hAnsi="Cambria"/>
        </w:rPr>
        <w:t>nt</w:t>
      </w:r>
      <w:r w:rsidRPr="001665CC">
        <w:rPr>
          <w:rFonts w:ascii="Cambria" w:hAnsi="Cambria"/>
        </w:rPr>
        <w:t xml:space="preserve"> des formations scolaires diplômantes de la 4ème de l’enseignement agricole au certificat d’aptitude professionnelle agricole. Elle</w:t>
      </w:r>
      <w:r>
        <w:rPr>
          <w:rFonts w:ascii="Cambria" w:hAnsi="Cambria"/>
        </w:rPr>
        <w:t>s</w:t>
      </w:r>
      <w:r w:rsidRPr="001665CC">
        <w:rPr>
          <w:rFonts w:ascii="Cambria" w:hAnsi="Cambria"/>
        </w:rPr>
        <w:t xml:space="preserve"> accueille</w:t>
      </w:r>
      <w:r>
        <w:rPr>
          <w:rFonts w:ascii="Cambria" w:hAnsi="Cambria"/>
        </w:rPr>
        <w:t>nt</w:t>
      </w:r>
      <w:r w:rsidRPr="001665CC">
        <w:rPr>
          <w:rFonts w:ascii="Cambria" w:hAnsi="Cambria"/>
        </w:rPr>
        <w:t xml:space="preserve"> des élèves de tous niveaux confondus.</w:t>
      </w:r>
    </w:p>
    <w:p w14:paraId="2E921547" w14:textId="0A322264" w:rsidR="001665CC" w:rsidRDefault="001665CC" w:rsidP="00250361">
      <w:pPr>
        <w:pStyle w:val="NormalWeb"/>
        <w:jc w:val="both"/>
        <w:rPr>
          <w:rFonts w:ascii="Cambria" w:hAnsi="Cambria"/>
        </w:rPr>
      </w:pPr>
      <w:r w:rsidRPr="001665CC">
        <w:rPr>
          <w:rFonts w:ascii="Cambria" w:hAnsi="Cambria"/>
        </w:rPr>
        <w:t>Le Comité polynésien des maisons familiales rurales (CPMFR), créé en 1981, représente les 8 associations Maisons familiales rurales (MFR) de Polynésie française auprès des instances publiques (Etat/Pays) et les accompagne dans leur projet associatif, pédagogique et d’investissement.</w:t>
      </w:r>
    </w:p>
    <w:p w14:paraId="026194DB" w14:textId="77777777" w:rsidR="0071264C" w:rsidRPr="001665CC" w:rsidRDefault="0071264C" w:rsidP="00250361">
      <w:pPr>
        <w:pStyle w:val="NormalWeb"/>
        <w:jc w:val="both"/>
        <w:rPr>
          <w:rFonts w:ascii="Cambria" w:hAnsi="Cambria"/>
        </w:rPr>
      </w:pPr>
    </w:p>
    <w:p w14:paraId="3048671C" w14:textId="381209FE" w:rsidR="00D722E2" w:rsidRDefault="00F532C7" w:rsidP="005D084D">
      <w:pPr>
        <w:pStyle w:val="Titre1"/>
      </w:pPr>
      <w:bookmarkStart w:id="13" w:name="_Toc89269577"/>
      <w:r w:rsidRPr="00F532C7">
        <w:t xml:space="preserve">- </w:t>
      </w:r>
      <w:r w:rsidR="00073530">
        <w:t>MCE</w:t>
      </w:r>
      <w:r w:rsidRPr="00F532C7">
        <w:t xml:space="preserve"> </w:t>
      </w:r>
      <w:r>
        <w:t>-</w:t>
      </w:r>
      <w:bookmarkStart w:id="14" w:name="_Hlk88044199"/>
      <w:bookmarkEnd w:id="13"/>
    </w:p>
    <w:bookmarkEnd w:id="14"/>
    <w:p w14:paraId="59F4093D" w14:textId="77777777" w:rsidR="00184AD7" w:rsidRPr="00D95AFF" w:rsidRDefault="00184AD7" w:rsidP="00D95AFF">
      <w:pPr>
        <w:jc w:val="both"/>
        <w:rPr>
          <w:rFonts w:ascii="Cambria" w:hAnsi="Cambria"/>
          <w:lang w:eastAsia="fr-FR"/>
        </w:rPr>
      </w:pPr>
    </w:p>
    <w:p w14:paraId="161FC8E4" w14:textId="34CFDAEC" w:rsidR="00D95AFF" w:rsidRDefault="00D95AFF" w:rsidP="00D95AFF">
      <w:pPr>
        <w:jc w:val="both"/>
        <w:rPr>
          <w:rFonts w:ascii="Cambria" w:hAnsi="Cambria"/>
          <w:lang w:eastAsia="fr-FR"/>
        </w:rPr>
      </w:pPr>
    </w:p>
    <w:p w14:paraId="3EE2581D" w14:textId="50E97924" w:rsidR="00D95AFF" w:rsidRDefault="00D95AFF" w:rsidP="00D95AFF">
      <w:pPr>
        <w:pStyle w:val="Titre2"/>
        <w:rPr>
          <w:lang w:eastAsia="fr-FR"/>
        </w:rPr>
      </w:pPr>
      <w:bookmarkStart w:id="15" w:name="_Toc89269578"/>
      <w:r>
        <w:rPr>
          <w:lang w:eastAsia="fr-FR"/>
        </w:rPr>
        <w:t xml:space="preserve">Subvention </w:t>
      </w:r>
      <w:r w:rsidR="001369DE">
        <w:rPr>
          <w:lang w:eastAsia="fr-FR"/>
        </w:rPr>
        <w:t xml:space="preserve">en faveur du </w:t>
      </w:r>
      <w:r>
        <w:rPr>
          <w:lang w:eastAsia="fr-FR"/>
        </w:rPr>
        <w:t>C</w:t>
      </w:r>
      <w:r w:rsidR="0071264C">
        <w:rPr>
          <w:lang w:eastAsia="fr-FR"/>
        </w:rPr>
        <w:t>OPF</w:t>
      </w:r>
      <w:r w:rsidR="001369DE">
        <w:rPr>
          <w:lang w:eastAsia="fr-FR"/>
        </w:rPr>
        <w:t xml:space="preserve"> et d’une association culturelle</w:t>
      </w:r>
      <w:bookmarkEnd w:id="15"/>
      <w:r w:rsidR="001369DE">
        <w:rPr>
          <w:lang w:eastAsia="fr-FR"/>
        </w:rPr>
        <w:t xml:space="preserve"> </w:t>
      </w:r>
    </w:p>
    <w:p w14:paraId="7DA08763" w14:textId="1276E6B7" w:rsidR="00D95AFF" w:rsidRDefault="00D95AFF" w:rsidP="00D95AFF">
      <w:pPr>
        <w:rPr>
          <w:lang w:eastAsia="fr-FR"/>
        </w:rPr>
      </w:pPr>
    </w:p>
    <w:p w14:paraId="58730F9F" w14:textId="65A107C1" w:rsidR="001369DE" w:rsidRPr="001369DE" w:rsidRDefault="001369DE" w:rsidP="00184AD7">
      <w:pPr>
        <w:jc w:val="both"/>
        <w:rPr>
          <w:rFonts w:ascii="Cambria" w:hAnsi="Cambria"/>
          <w:lang w:eastAsia="fr-FR"/>
        </w:rPr>
      </w:pPr>
      <w:r w:rsidRPr="001369DE">
        <w:rPr>
          <w:rFonts w:ascii="Cambria" w:hAnsi="Cambria"/>
          <w:lang w:eastAsia="fr-FR"/>
        </w:rPr>
        <w:t>Sur proposition d</w:t>
      </w:r>
      <w:r>
        <w:rPr>
          <w:rFonts w:ascii="Cambria" w:hAnsi="Cambria"/>
          <w:lang w:eastAsia="fr-FR"/>
        </w:rPr>
        <w:t>u</w:t>
      </w:r>
      <w:r w:rsidRPr="001369DE">
        <w:rPr>
          <w:rFonts w:ascii="Cambria" w:hAnsi="Cambria"/>
          <w:lang w:eastAsia="fr-FR"/>
        </w:rPr>
        <w:t xml:space="preserve"> </w:t>
      </w:r>
      <w:r>
        <w:rPr>
          <w:rFonts w:ascii="Cambria" w:hAnsi="Cambria"/>
          <w:lang w:eastAsia="fr-FR"/>
        </w:rPr>
        <w:t>m</w:t>
      </w:r>
      <w:r w:rsidRPr="001369DE">
        <w:rPr>
          <w:rFonts w:ascii="Cambria" w:hAnsi="Cambria"/>
          <w:lang w:eastAsia="fr-FR"/>
        </w:rPr>
        <w:t xml:space="preserve">inistre de la </w:t>
      </w:r>
      <w:r w:rsidR="00184AD7">
        <w:rPr>
          <w:rFonts w:ascii="Cambria" w:hAnsi="Cambria"/>
          <w:lang w:eastAsia="fr-FR"/>
        </w:rPr>
        <w:t>C</w:t>
      </w:r>
      <w:r w:rsidRPr="001369DE">
        <w:rPr>
          <w:rFonts w:ascii="Cambria" w:hAnsi="Cambria"/>
          <w:lang w:eastAsia="fr-FR"/>
        </w:rPr>
        <w:t>ulture, de l’environnement en charge de la jeunesse et des sports et de l’artisanat</w:t>
      </w:r>
      <w:r w:rsidR="00184AD7">
        <w:rPr>
          <w:rFonts w:ascii="Cambria" w:hAnsi="Cambria"/>
          <w:lang w:eastAsia="fr-FR"/>
        </w:rPr>
        <w:t xml:space="preserve">, </w:t>
      </w:r>
      <w:r w:rsidR="00184AD7" w:rsidRPr="001369DE">
        <w:rPr>
          <w:rFonts w:ascii="Cambria" w:hAnsi="Cambria"/>
          <w:lang w:eastAsia="fr-FR"/>
        </w:rPr>
        <w:t>Heremoana Maamaatuaiahutapu</w:t>
      </w:r>
      <w:r w:rsidR="00184AD7">
        <w:rPr>
          <w:rFonts w:ascii="Cambria" w:hAnsi="Cambria"/>
          <w:lang w:eastAsia="fr-FR"/>
        </w:rPr>
        <w:t>,</w:t>
      </w:r>
      <w:r w:rsidR="00184AD7" w:rsidRPr="001369DE">
        <w:rPr>
          <w:rFonts w:ascii="Cambria" w:hAnsi="Cambria"/>
          <w:lang w:eastAsia="fr-FR"/>
        </w:rPr>
        <w:t xml:space="preserve"> </w:t>
      </w:r>
      <w:r w:rsidRPr="001369DE">
        <w:rPr>
          <w:rFonts w:ascii="Cambria" w:hAnsi="Cambria"/>
          <w:lang w:eastAsia="fr-FR"/>
        </w:rPr>
        <w:t xml:space="preserve">le Conseil des </w:t>
      </w:r>
      <w:r w:rsidR="00184AD7">
        <w:rPr>
          <w:rFonts w:ascii="Cambria" w:hAnsi="Cambria"/>
          <w:lang w:eastAsia="fr-FR"/>
        </w:rPr>
        <w:t>m</w:t>
      </w:r>
      <w:r w:rsidRPr="001369DE">
        <w:rPr>
          <w:rFonts w:ascii="Cambria" w:hAnsi="Cambria"/>
          <w:lang w:eastAsia="fr-FR"/>
        </w:rPr>
        <w:t>inistres a adopté l'octroi de subventions pour un montant total de</w:t>
      </w:r>
      <w:r w:rsidRPr="001369DE">
        <w:rPr>
          <w:rFonts w:ascii="Cambria" w:hAnsi="Cambria"/>
          <w:b/>
          <w:lang w:eastAsia="fr-FR"/>
        </w:rPr>
        <w:t xml:space="preserve"> </w:t>
      </w:r>
      <w:r w:rsidRPr="001369DE">
        <w:rPr>
          <w:rFonts w:ascii="Cambria" w:hAnsi="Cambria"/>
          <w:bCs/>
          <w:lang w:eastAsia="fr-FR"/>
        </w:rPr>
        <w:t>9 300 000 F</w:t>
      </w:r>
      <w:r w:rsidR="00184AD7">
        <w:rPr>
          <w:rFonts w:ascii="Cambria" w:hAnsi="Cambria"/>
          <w:bCs/>
          <w:lang w:eastAsia="fr-FR"/>
        </w:rPr>
        <w:t>cfp</w:t>
      </w:r>
      <w:r w:rsidRPr="001369DE">
        <w:rPr>
          <w:rFonts w:ascii="Cambria" w:hAnsi="Cambria"/>
          <w:b/>
          <w:lang w:eastAsia="fr-FR"/>
        </w:rPr>
        <w:t xml:space="preserve"> </w:t>
      </w:r>
      <w:r w:rsidRPr="001369DE">
        <w:rPr>
          <w:rFonts w:ascii="Cambria" w:hAnsi="Cambria"/>
          <w:lang w:eastAsia="fr-FR"/>
        </w:rPr>
        <w:t>en faveur du C</w:t>
      </w:r>
      <w:r w:rsidR="00184AD7">
        <w:rPr>
          <w:rFonts w:ascii="Cambria" w:hAnsi="Cambria"/>
          <w:lang w:eastAsia="fr-FR"/>
        </w:rPr>
        <w:t>omité olympique de la Polynésie française (C</w:t>
      </w:r>
      <w:r w:rsidRPr="001369DE">
        <w:rPr>
          <w:rFonts w:ascii="Cambria" w:hAnsi="Cambria"/>
          <w:lang w:eastAsia="fr-FR"/>
        </w:rPr>
        <w:t>OPF</w:t>
      </w:r>
      <w:r w:rsidR="00184AD7">
        <w:rPr>
          <w:rFonts w:ascii="Cambria" w:hAnsi="Cambria"/>
          <w:lang w:eastAsia="fr-FR"/>
        </w:rPr>
        <w:t>)</w:t>
      </w:r>
      <w:r w:rsidRPr="001369DE">
        <w:rPr>
          <w:rFonts w:ascii="Cambria" w:hAnsi="Cambria"/>
          <w:lang w:eastAsia="fr-FR"/>
        </w:rPr>
        <w:t xml:space="preserve"> pour le financement </w:t>
      </w:r>
      <w:r w:rsidR="00184AD7">
        <w:rPr>
          <w:rFonts w:ascii="Cambria" w:hAnsi="Cambria"/>
          <w:lang w:eastAsia="fr-FR"/>
        </w:rPr>
        <w:t>de s</w:t>
      </w:r>
      <w:r w:rsidRPr="001369DE">
        <w:rPr>
          <w:rFonts w:ascii="Cambria" w:hAnsi="Cambria"/>
          <w:lang w:eastAsia="fr-FR"/>
        </w:rPr>
        <w:t>es actions menées en 2021 et en faveur de l’association « Fauna Nui » pour financer l'achat de matériels de jardinage destinés à l'entretien, l'embellissement et l'aménagement des sites archéologiques de Maeva à Huahine, au titre de l'année 2021.</w:t>
      </w:r>
    </w:p>
    <w:p w14:paraId="73AA7967" w14:textId="3694A345" w:rsidR="001778CF" w:rsidRDefault="001778CF" w:rsidP="00887AD1"/>
    <w:p w14:paraId="7F48535F" w14:textId="77777777" w:rsidR="00DB22DD" w:rsidRPr="00887AD1" w:rsidRDefault="00DB22DD" w:rsidP="00887AD1"/>
    <w:p w14:paraId="191151B5" w14:textId="7B90D302" w:rsidR="00561739" w:rsidRDefault="00DF6629" w:rsidP="00CA7DD9">
      <w:pPr>
        <w:pStyle w:val="Titre1"/>
      </w:pPr>
      <w:bookmarkStart w:id="16" w:name="_Toc89269579"/>
      <w:r w:rsidRPr="00F532C7">
        <w:t xml:space="preserve">- </w:t>
      </w:r>
      <w:r w:rsidR="00D95AFF">
        <w:t>MSP</w:t>
      </w:r>
      <w:r>
        <w:t>-</w:t>
      </w:r>
      <w:bookmarkEnd w:id="16"/>
    </w:p>
    <w:p w14:paraId="686BAD64" w14:textId="77777777" w:rsidR="00887AD1" w:rsidRPr="00CA7DD9" w:rsidRDefault="00887AD1" w:rsidP="00CA7DD9"/>
    <w:p w14:paraId="4753D5C2" w14:textId="382D6D8C" w:rsidR="00561739" w:rsidRDefault="00561739" w:rsidP="00561739">
      <w:pPr>
        <w:pStyle w:val="Titre2"/>
        <w:rPr>
          <w:rFonts w:eastAsia="Times New Roman"/>
          <w:lang w:eastAsia="fr-FR"/>
        </w:rPr>
      </w:pPr>
      <w:bookmarkStart w:id="17" w:name="_Toc89269580"/>
      <w:r>
        <w:rPr>
          <w:rFonts w:eastAsia="Times New Roman"/>
          <w:lang w:eastAsia="fr-FR"/>
        </w:rPr>
        <w:t xml:space="preserve">Prorogation </w:t>
      </w:r>
      <w:r w:rsidR="00F40C35" w:rsidRPr="00F40C35">
        <w:rPr>
          <w:rFonts w:eastAsia="Times New Roman"/>
          <w:lang w:eastAsia="fr-FR"/>
        </w:rPr>
        <w:t>deux arrêtés portant diverses mesures prises pour faire face à l’épidémie de covid-19</w:t>
      </w:r>
      <w:bookmarkEnd w:id="17"/>
    </w:p>
    <w:p w14:paraId="50E58600" w14:textId="77777777" w:rsidR="00F40C35" w:rsidRPr="00F40C35" w:rsidRDefault="00F40C35" w:rsidP="00F40C35">
      <w:pPr>
        <w:spacing w:before="100" w:beforeAutospacing="1" w:after="100" w:afterAutospacing="1"/>
        <w:jc w:val="both"/>
        <w:rPr>
          <w:rFonts w:ascii="Cambria" w:hAnsi="Cambria"/>
          <w:lang w:eastAsia="fr-FR"/>
        </w:rPr>
      </w:pPr>
      <w:r w:rsidRPr="00F40C35">
        <w:rPr>
          <w:rFonts w:ascii="Cambria" w:hAnsi="Cambria"/>
          <w:lang w:eastAsia="fr-FR"/>
        </w:rPr>
        <w:t>Les arrêtés du 16 juillet 2020 et du 30 septembre 2020 ci-dessus référencés prévoient la mise en œuvre de plusieurs mesures prises afin de lutter contre la propagation de la covid-19.</w:t>
      </w:r>
    </w:p>
    <w:p w14:paraId="10529E52" w14:textId="4DC7C129" w:rsidR="00F40C35" w:rsidRPr="00F40C35" w:rsidRDefault="00F40C35" w:rsidP="00F40C35">
      <w:pPr>
        <w:spacing w:before="100" w:beforeAutospacing="1" w:after="100" w:afterAutospacing="1"/>
        <w:jc w:val="both"/>
        <w:rPr>
          <w:rFonts w:ascii="Cambria" w:hAnsi="Cambria"/>
          <w:lang w:eastAsia="fr-FR"/>
        </w:rPr>
      </w:pPr>
      <w:r w:rsidRPr="00F40C35">
        <w:rPr>
          <w:rFonts w:ascii="Cambria" w:hAnsi="Cambria"/>
          <w:lang w:eastAsia="fr-FR"/>
        </w:rPr>
        <w:t>Tout d’abord, l’arrêté du 16 juillet 2020 modifié précité prévoit la distanciation physique d’un mètre à respecter en toute circonstance ainsi que l’obligation du port du masque dans certains lieux clos et dans les établissements recevant du public.</w:t>
      </w:r>
    </w:p>
    <w:p w14:paraId="4C906DFB" w14:textId="034A0EC7" w:rsidR="00F40C35" w:rsidRPr="00F40C35" w:rsidRDefault="00F40C35" w:rsidP="00F40C35">
      <w:pPr>
        <w:spacing w:before="100" w:beforeAutospacing="1" w:after="100" w:afterAutospacing="1"/>
        <w:jc w:val="both"/>
        <w:rPr>
          <w:rFonts w:ascii="Cambria" w:hAnsi="Cambria"/>
          <w:lang w:eastAsia="fr-FR"/>
        </w:rPr>
      </w:pPr>
      <w:r w:rsidRPr="00F40C35">
        <w:rPr>
          <w:rFonts w:ascii="Cambria" w:hAnsi="Cambria"/>
          <w:lang w:eastAsia="fr-FR"/>
        </w:rPr>
        <w:t>Quant à l’arrêté du 30 septembre 2020 modifié précité, il permet à des personnes, autres que les techniciens de laboratoires d’analyses de biologie médicale, possédant un des diplômes dont la liste est précisée, à participer à la réalisation de la phase analytique de l’examen, sous la responsabilité du biologiste médical et après avoir été formé et habilité à la réalisation de l’examen de « détection du génome du SARS-CoV-2 par RT PCR ».</w:t>
      </w:r>
    </w:p>
    <w:p w14:paraId="098CD7A2" w14:textId="6156AC12" w:rsidR="00F40C35" w:rsidRPr="00F40C35" w:rsidRDefault="00F40C35" w:rsidP="00F40C35">
      <w:pPr>
        <w:spacing w:before="100" w:beforeAutospacing="1" w:after="100" w:afterAutospacing="1"/>
        <w:jc w:val="both"/>
        <w:rPr>
          <w:rFonts w:ascii="Cambria" w:hAnsi="Cambria"/>
          <w:lang w:eastAsia="fr-FR"/>
        </w:rPr>
      </w:pPr>
      <w:r w:rsidRPr="00F40C35">
        <w:rPr>
          <w:rFonts w:ascii="Cambria" w:hAnsi="Cambria"/>
          <w:lang w:eastAsia="fr-FR"/>
        </w:rPr>
        <w:lastRenderedPageBreak/>
        <w:t>Les deux arrêtés sont applicables jusqu’au 30 novembre 2021</w:t>
      </w:r>
      <w:r w:rsidR="00900126">
        <w:rPr>
          <w:rFonts w:ascii="Cambria" w:hAnsi="Cambria"/>
          <w:lang w:eastAsia="fr-FR"/>
        </w:rPr>
        <w:t xml:space="preserve">. </w:t>
      </w:r>
      <w:r w:rsidRPr="00F40C35">
        <w:rPr>
          <w:rFonts w:ascii="Cambria" w:hAnsi="Cambria"/>
          <w:lang w:eastAsia="fr-FR"/>
        </w:rPr>
        <w:t>Bien que la Polynésie ait surmonté cette seconde vague épidémique avec courage, il est nécessaire de rappeler que nous ne sommes pas à l’abri d’une éventuelle nouvelle vague de contamination. Notamment avec le constat d’une augmentation flagrante des cas positifs en métropole.</w:t>
      </w:r>
    </w:p>
    <w:p w14:paraId="7D17ECDB" w14:textId="74B6DB2D" w:rsidR="00900126" w:rsidRDefault="00F40C35" w:rsidP="00F40C35">
      <w:pPr>
        <w:spacing w:before="100" w:beforeAutospacing="1" w:after="100" w:afterAutospacing="1"/>
        <w:jc w:val="both"/>
        <w:rPr>
          <w:rFonts w:ascii="Cambria" w:hAnsi="Cambria"/>
          <w:lang w:eastAsia="fr-FR"/>
        </w:rPr>
      </w:pPr>
      <w:r w:rsidRPr="00F40C35">
        <w:rPr>
          <w:rFonts w:ascii="Cambria" w:hAnsi="Cambria"/>
          <w:lang w:eastAsia="fr-FR"/>
        </w:rPr>
        <w:t xml:space="preserve">Avec l’apparition du variant </w:t>
      </w:r>
      <w:r w:rsidR="007B23D5">
        <w:rPr>
          <w:rFonts w:ascii="Cambria" w:hAnsi="Cambria"/>
          <w:lang w:eastAsia="fr-FR"/>
        </w:rPr>
        <w:t>O</w:t>
      </w:r>
      <w:r w:rsidRPr="00F40C35">
        <w:rPr>
          <w:rFonts w:ascii="Cambria" w:hAnsi="Cambria"/>
          <w:lang w:eastAsia="fr-FR"/>
        </w:rPr>
        <w:t>micron du SARS-CoV-2 et le risque de nouveaux variants, il est nécessaire de maintenir toutes les mesures pour éviter leur développement. En conséquence, les arrêtés sont prorogés jusqu’au 1</w:t>
      </w:r>
      <w:r w:rsidRPr="00F40C35">
        <w:rPr>
          <w:rFonts w:ascii="Cambria" w:hAnsi="Cambria"/>
          <w:vertAlign w:val="superscript"/>
          <w:lang w:eastAsia="fr-FR"/>
        </w:rPr>
        <w:t>er</w:t>
      </w:r>
      <w:r w:rsidRPr="00F40C35">
        <w:rPr>
          <w:rFonts w:ascii="Cambria" w:hAnsi="Cambria"/>
          <w:lang w:eastAsia="fr-FR"/>
        </w:rPr>
        <w:t xml:space="preserve"> mars 2022</w:t>
      </w:r>
    </w:p>
    <w:p w14:paraId="4A335732" w14:textId="2B71E241" w:rsidR="00887AD1" w:rsidRDefault="00887AD1" w:rsidP="00F40C35">
      <w:pPr>
        <w:spacing w:before="100" w:beforeAutospacing="1" w:after="100" w:afterAutospacing="1"/>
        <w:jc w:val="both"/>
        <w:rPr>
          <w:rFonts w:ascii="Cambria" w:hAnsi="Cambria"/>
          <w:lang w:eastAsia="fr-FR"/>
        </w:rPr>
      </w:pPr>
    </w:p>
    <w:p w14:paraId="28347824" w14:textId="04E435DD" w:rsidR="00E5302D" w:rsidRDefault="00E5302D" w:rsidP="00E5302D">
      <w:pPr>
        <w:pStyle w:val="Titre1"/>
      </w:pPr>
      <w:bookmarkStart w:id="18" w:name="_Toc89269581"/>
      <w:r w:rsidRPr="00F532C7">
        <w:t xml:space="preserve">- </w:t>
      </w:r>
      <w:r>
        <w:t>MEA-</w:t>
      </w:r>
      <w:bookmarkEnd w:id="18"/>
    </w:p>
    <w:p w14:paraId="41F3220C" w14:textId="77777777" w:rsidR="00E5302D" w:rsidRPr="00E5302D" w:rsidRDefault="00E5302D" w:rsidP="00E5302D"/>
    <w:p w14:paraId="6CE4141B" w14:textId="6D928220" w:rsidR="00E5302D" w:rsidRDefault="00E5302D" w:rsidP="00E5302D">
      <w:pPr>
        <w:pStyle w:val="Titre2"/>
        <w:rPr>
          <w:rFonts w:eastAsia="Times New Roman"/>
          <w:lang w:eastAsia="fr-FR"/>
        </w:rPr>
      </w:pPr>
      <w:bookmarkStart w:id="19" w:name="_Toc89269582"/>
      <w:r>
        <w:rPr>
          <w:rFonts w:eastAsia="Times New Roman"/>
          <w:lang w:eastAsia="fr-FR"/>
        </w:rPr>
        <w:t xml:space="preserve">Relèvement du </w:t>
      </w:r>
      <w:r w:rsidR="00606B7D">
        <w:rPr>
          <w:rFonts w:eastAsia="Times New Roman"/>
          <w:lang w:eastAsia="fr-FR"/>
        </w:rPr>
        <w:t>salaire horaire minimum interprofessionnel garanti (</w:t>
      </w:r>
      <w:r>
        <w:rPr>
          <w:rFonts w:eastAsia="Times New Roman"/>
          <w:lang w:eastAsia="fr-FR"/>
        </w:rPr>
        <w:t>SMIG</w:t>
      </w:r>
      <w:r w:rsidR="00606B7D">
        <w:rPr>
          <w:rFonts w:eastAsia="Times New Roman"/>
          <w:lang w:eastAsia="fr-FR"/>
        </w:rPr>
        <w:t>) à compter du 1</w:t>
      </w:r>
      <w:r w:rsidR="00606B7D" w:rsidRPr="00606B7D">
        <w:rPr>
          <w:rFonts w:eastAsia="Times New Roman"/>
          <w:vertAlign w:val="superscript"/>
          <w:lang w:eastAsia="fr-FR"/>
        </w:rPr>
        <w:t>er</w:t>
      </w:r>
      <w:r w:rsidR="00606B7D">
        <w:rPr>
          <w:rFonts w:eastAsia="Times New Roman"/>
          <w:lang w:eastAsia="fr-FR"/>
        </w:rPr>
        <w:t xml:space="preserve"> décembre</w:t>
      </w:r>
      <w:bookmarkEnd w:id="19"/>
    </w:p>
    <w:p w14:paraId="556EDC88" w14:textId="5FC783C9" w:rsidR="00606B7D" w:rsidRPr="00606B7D" w:rsidRDefault="00303636" w:rsidP="00606B7D">
      <w:pPr>
        <w:spacing w:before="100" w:beforeAutospacing="1" w:after="100" w:afterAutospacing="1"/>
        <w:jc w:val="both"/>
        <w:rPr>
          <w:rFonts w:ascii="Cambria" w:hAnsi="Cambria"/>
          <w:lang w:eastAsia="fr-FR"/>
        </w:rPr>
      </w:pPr>
      <w:r>
        <w:rPr>
          <w:rFonts w:ascii="Cambria" w:hAnsi="Cambria"/>
          <w:lang w:eastAsia="fr-FR"/>
        </w:rPr>
        <w:t>Conformément aux engagements pris avec l’intersyndicale et conformément aux annonces faites par le Gouvernement et après l’avis favorable rendu par le Conseil économique, social, environnemental et culturel (CESEC), le Conseil des ministres a acté l’augmentation du SMIG de 2% à compter du 1</w:t>
      </w:r>
      <w:r w:rsidRPr="00303636">
        <w:rPr>
          <w:rFonts w:ascii="Cambria" w:hAnsi="Cambria"/>
          <w:vertAlign w:val="superscript"/>
          <w:lang w:eastAsia="fr-FR"/>
        </w:rPr>
        <w:t>er</w:t>
      </w:r>
      <w:r>
        <w:rPr>
          <w:rFonts w:ascii="Cambria" w:hAnsi="Cambria"/>
          <w:lang w:eastAsia="fr-FR"/>
        </w:rPr>
        <w:t xml:space="preserve"> décembre 2021. </w:t>
      </w:r>
    </w:p>
    <w:p w14:paraId="3189C0E4" w14:textId="07C556C4" w:rsidR="00606B7D" w:rsidRPr="00606B7D" w:rsidRDefault="00303636" w:rsidP="00606B7D">
      <w:pPr>
        <w:spacing w:before="100" w:beforeAutospacing="1" w:after="100" w:afterAutospacing="1"/>
        <w:jc w:val="both"/>
        <w:rPr>
          <w:rFonts w:ascii="Cambria" w:hAnsi="Cambria"/>
          <w:lang w:eastAsia="fr-FR"/>
        </w:rPr>
      </w:pPr>
      <w:r>
        <w:rPr>
          <w:rFonts w:ascii="Cambria" w:hAnsi="Cambria"/>
          <w:lang w:eastAsia="fr-FR"/>
        </w:rPr>
        <w:t>En application de cette décision, l</w:t>
      </w:r>
      <w:r w:rsidR="00606B7D" w:rsidRPr="00606B7D">
        <w:rPr>
          <w:rFonts w:ascii="Cambria" w:hAnsi="Cambria"/>
          <w:lang w:eastAsia="fr-FR"/>
        </w:rPr>
        <w:t>e nouveau SMIG horaire passe ainsi à 922,92 F</w:t>
      </w:r>
      <w:r w:rsidR="003059B1">
        <w:rPr>
          <w:rFonts w:ascii="Cambria" w:hAnsi="Cambria"/>
          <w:lang w:eastAsia="fr-FR"/>
        </w:rPr>
        <w:t>cfp</w:t>
      </w:r>
      <w:r w:rsidR="00606B7D" w:rsidRPr="00606B7D">
        <w:rPr>
          <w:rFonts w:ascii="Cambria" w:hAnsi="Cambria"/>
          <w:lang w:eastAsia="fr-FR"/>
        </w:rPr>
        <w:t>, le montant du SMIG mensuel pour 169 heures de travail pass</w:t>
      </w:r>
      <w:r w:rsidR="003059B1">
        <w:rPr>
          <w:rFonts w:ascii="Cambria" w:hAnsi="Cambria"/>
          <w:lang w:eastAsia="fr-FR"/>
        </w:rPr>
        <w:t>e</w:t>
      </w:r>
      <w:r w:rsidR="00606B7D" w:rsidRPr="00606B7D">
        <w:rPr>
          <w:rFonts w:ascii="Cambria" w:hAnsi="Cambria"/>
          <w:lang w:eastAsia="fr-FR"/>
        </w:rPr>
        <w:t xml:space="preserve"> lui à 155 973 F</w:t>
      </w:r>
      <w:r w:rsidR="003059B1">
        <w:rPr>
          <w:rFonts w:ascii="Cambria" w:hAnsi="Cambria"/>
          <w:lang w:eastAsia="fr-FR"/>
        </w:rPr>
        <w:t>cfp</w:t>
      </w:r>
      <w:r w:rsidR="00606B7D" w:rsidRPr="00606B7D">
        <w:rPr>
          <w:rFonts w:ascii="Cambria" w:hAnsi="Cambria"/>
          <w:lang w:eastAsia="fr-FR"/>
        </w:rPr>
        <w:t>.</w:t>
      </w:r>
    </w:p>
    <w:p w14:paraId="28E46066" w14:textId="050B1D68" w:rsidR="00606B7D" w:rsidRPr="00606B7D" w:rsidRDefault="00606B7D" w:rsidP="00606B7D">
      <w:pPr>
        <w:spacing w:before="100" w:beforeAutospacing="1" w:after="100" w:afterAutospacing="1"/>
        <w:jc w:val="both"/>
        <w:rPr>
          <w:rFonts w:ascii="Cambria" w:hAnsi="Cambria"/>
          <w:lang w:eastAsia="fr-FR"/>
        </w:rPr>
      </w:pPr>
      <w:r w:rsidRPr="00606B7D">
        <w:rPr>
          <w:rFonts w:ascii="Cambria" w:hAnsi="Cambria"/>
          <w:lang w:eastAsia="fr-FR"/>
        </w:rPr>
        <w:t>Entre 16 000 et 17 000 personnes pourraient être impactées par cette hausse du SMIG</w:t>
      </w:r>
      <w:r w:rsidR="007B23D5">
        <w:rPr>
          <w:rFonts w:ascii="Cambria" w:hAnsi="Cambria"/>
          <w:lang w:eastAsia="fr-FR"/>
        </w:rPr>
        <w:t>.</w:t>
      </w:r>
    </w:p>
    <w:p w14:paraId="71BA7459" w14:textId="77777777" w:rsidR="00E5302D" w:rsidRDefault="00E5302D" w:rsidP="00F40C35">
      <w:pPr>
        <w:spacing w:before="100" w:beforeAutospacing="1" w:after="100" w:afterAutospacing="1"/>
        <w:jc w:val="both"/>
        <w:rPr>
          <w:rFonts w:ascii="Cambria" w:hAnsi="Cambria"/>
          <w:lang w:eastAsia="fr-FR"/>
        </w:rPr>
      </w:pPr>
    </w:p>
    <w:p w14:paraId="5D8BBCF9" w14:textId="1C3C57C1" w:rsidR="00EC305D" w:rsidRDefault="00EC305D" w:rsidP="00EC305D">
      <w:pPr>
        <w:pStyle w:val="Titre1"/>
      </w:pPr>
      <w:bookmarkStart w:id="20" w:name="_Toc89269583"/>
      <w:r w:rsidRPr="00F532C7">
        <w:t xml:space="preserve">- </w:t>
      </w:r>
      <w:r>
        <w:t>MFA-</w:t>
      </w:r>
      <w:bookmarkEnd w:id="20"/>
    </w:p>
    <w:p w14:paraId="51FF49B9" w14:textId="77777777" w:rsidR="00EC305D" w:rsidRPr="00EC305D" w:rsidRDefault="00EC305D" w:rsidP="00EC305D"/>
    <w:p w14:paraId="0EE25750" w14:textId="6F22C7E5" w:rsidR="00EC305D" w:rsidRDefault="00D95AFF" w:rsidP="00EC305D">
      <w:pPr>
        <w:pStyle w:val="Titre2"/>
        <w:rPr>
          <w:rFonts w:eastAsia="Times New Roman"/>
          <w:lang w:eastAsia="fr-FR"/>
        </w:rPr>
      </w:pPr>
      <w:bookmarkStart w:id="21" w:name="_Toc89269584"/>
      <w:r>
        <w:rPr>
          <w:rFonts w:eastAsia="Times New Roman"/>
          <w:lang w:eastAsia="fr-FR"/>
        </w:rPr>
        <w:t xml:space="preserve">Journée internationale </w:t>
      </w:r>
      <w:r w:rsidR="00307E1D">
        <w:rPr>
          <w:rFonts w:eastAsia="Times New Roman"/>
          <w:lang w:eastAsia="fr-FR"/>
        </w:rPr>
        <w:t>des droits des personnes porteuses de handicap</w:t>
      </w:r>
      <w:bookmarkEnd w:id="21"/>
    </w:p>
    <w:p w14:paraId="02EC63CD" w14:textId="77777777" w:rsidR="00307E1D" w:rsidRPr="00307E1D" w:rsidRDefault="00307E1D" w:rsidP="00307E1D">
      <w:pPr>
        <w:spacing w:before="100" w:beforeAutospacing="1" w:after="100" w:afterAutospacing="1"/>
        <w:jc w:val="both"/>
        <w:rPr>
          <w:rFonts w:ascii="Cambria" w:hAnsi="Cambria"/>
          <w:lang w:eastAsia="fr-FR"/>
        </w:rPr>
      </w:pPr>
      <w:r w:rsidRPr="00307E1D">
        <w:rPr>
          <w:rFonts w:ascii="Cambria" w:hAnsi="Cambria"/>
          <w:lang w:eastAsia="fr-FR"/>
        </w:rPr>
        <w:t>Comme chaque année, la journée internationale des droits des personnes porteuses de handicap est célébrée dans le monde entier le 3 décembre. Ce rendez-vous annuel se veut avant tout fédérateur et moteur de changement tant en matière de droits que de représentations inhérentes aux différents types de handicap.</w:t>
      </w:r>
    </w:p>
    <w:p w14:paraId="41BD66EB" w14:textId="77777777" w:rsidR="00307E1D" w:rsidRPr="00307E1D" w:rsidRDefault="00307E1D" w:rsidP="00307E1D">
      <w:pPr>
        <w:spacing w:before="100" w:beforeAutospacing="1" w:after="100" w:afterAutospacing="1"/>
        <w:jc w:val="both"/>
        <w:rPr>
          <w:rFonts w:ascii="Cambria" w:hAnsi="Cambria"/>
          <w:lang w:eastAsia="fr-FR"/>
        </w:rPr>
      </w:pPr>
      <w:r w:rsidRPr="00307E1D">
        <w:rPr>
          <w:rFonts w:ascii="Cambria" w:hAnsi="Cambria"/>
          <w:lang w:eastAsia="fr-FR"/>
        </w:rPr>
        <w:t>Dans cette perspective, le ministère de la Famille et des affaires sociales impulse une campagne de communication ayant pour thème l’insertion sociale et professionnelle des personnes porteuses de handicap, dont l’objectif est de valoriser ce public et promouvoir son plein potentiel lui permettant d’accéder à une vie digne et épanouie.</w:t>
      </w:r>
    </w:p>
    <w:p w14:paraId="1A222F1A" w14:textId="3EFAD9F7" w:rsidR="00307E1D" w:rsidRPr="00307E1D" w:rsidRDefault="00307E1D" w:rsidP="00307E1D">
      <w:pPr>
        <w:spacing w:before="100" w:beforeAutospacing="1" w:after="100" w:afterAutospacing="1"/>
        <w:jc w:val="both"/>
        <w:rPr>
          <w:rFonts w:ascii="Cambria" w:hAnsi="Cambria"/>
          <w:lang w:eastAsia="fr-FR"/>
        </w:rPr>
      </w:pPr>
      <w:r w:rsidRPr="00307E1D">
        <w:rPr>
          <w:rFonts w:ascii="Cambria" w:hAnsi="Cambria"/>
          <w:lang w:eastAsia="fr-FR"/>
        </w:rPr>
        <w:t>Ainsi, plusieurs personnes seront mises en scène au travers d’un parcours composé de 10 spots vidéo lesquels rappellent les dernières mesures mises en place telles que l’augmentation progressive de l’AAH</w:t>
      </w:r>
      <w:r w:rsidR="0016681B">
        <w:rPr>
          <w:rFonts w:ascii="Cambria" w:hAnsi="Cambria"/>
          <w:lang w:eastAsia="fr-FR"/>
        </w:rPr>
        <w:t xml:space="preserve"> (Allocation aux adultes handicapés)</w:t>
      </w:r>
      <w:r w:rsidRPr="00307E1D">
        <w:rPr>
          <w:rFonts w:ascii="Cambria" w:hAnsi="Cambria"/>
          <w:lang w:eastAsia="fr-FR"/>
        </w:rPr>
        <w:t xml:space="preserve">, la possibilité de la cumuler avec un revenu d’activité ou encore le dispositif « Aidants feti’i ». </w:t>
      </w:r>
    </w:p>
    <w:p w14:paraId="2C75A7E0" w14:textId="183743F9" w:rsidR="00307E1D" w:rsidRPr="00307E1D" w:rsidRDefault="00307E1D" w:rsidP="00307E1D">
      <w:pPr>
        <w:spacing w:before="100" w:beforeAutospacing="1" w:after="100" w:afterAutospacing="1"/>
        <w:jc w:val="both"/>
        <w:rPr>
          <w:rFonts w:ascii="Cambria" w:hAnsi="Cambria"/>
          <w:lang w:eastAsia="fr-FR"/>
        </w:rPr>
      </w:pPr>
      <w:r w:rsidRPr="00307E1D">
        <w:rPr>
          <w:rFonts w:ascii="Cambria" w:hAnsi="Cambria"/>
          <w:lang w:eastAsia="fr-FR"/>
        </w:rPr>
        <w:t>Cette campagne démarrera le mercredi 1</w:t>
      </w:r>
      <w:r w:rsidRPr="00307E1D">
        <w:rPr>
          <w:rFonts w:ascii="Cambria" w:hAnsi="Cambria"/>
          <w:vertAlign w:val="superscript"/>
          <w:lang w:eastAsia="fr-FR"/>
        </w:rPr>
        <w:t>er</w:t>
      </w:r>
      <w:r w:rsidRPr="00307E1D">
        <w:rPr>
          <w:rFonts w:ascii="Cambria" w:hAnsi="Cambria"/>
          <w:lang w:eastAsia="fr-FR"/>
        </w:rPr>
        <w:t xml:space="preserve"> décembre, et sera diffusée pendant 15 jours </w:t>
      </w:r>
      <w:r w:rsidR="007B23D5">
        <w:rPr>
          <w:rFonts w:ascii="Cambria" w:hAnsi="Cambria"/>
          <w:lang w:eastAsia="fr-FR"/>
        </w:rPr>
        <w:t xml:space="preserve">sur </w:t>
      </w:r>
      <w:r w:rsidRPr="00307E1D">
        <w:rPr>
          <w:rFonts w:ascii="Cambria" w:hAnsi="Cambria"/>
          <w:lang w:eastAsia="fr-FR"/>
        </w:rPr>
        <w:t>TNTV</w:t>
      </w:r>
      <w:r w:rsidR="007B23D5">
        <w:rPr>
          <w:rFonts w:ascii="Cambria" w:hAnsi="Cambria"/>
          <w:lang w:eastAsia="fr-FR"/>
        </w:rPr>
        <w:t xml:space="preserve"> et </w:t>
      </w:r>
      <w:r w:rsidR="007B23D5" w:rsidRPr="00307E1D">
        <w:rPr>
          <w:rFonts w:ascii="Cambria" w:hAnsi="Cambria"/>
          <w:lang w:eastAsia="fr-FR"/>
        </w:rPr>
        <w:t>Polynésie première</w:t>
      </w:r>
      <w:r w:rsidRPr="00307E1D">
        <w:rPr>
          <w:rFonts w:ascii="Cambria" w:hAnsi="Cambria"/>
          <w:lang w:eastAsia="fr-FR"/>
        </w:rPr>
        <w:t xml:space="preserve">. Les pages Facebook du ministère et de la DSFE seront </w:t>
      </w:r>
      <w:r w:rsidRPr="00307E1D">
        <w:rPr>
          <w:rFonts w:ascii="Cambria" w:hAnsi="Cambria"/>
          <w:lang w:eastAsia="fr-FR"/>
        </w:rPr>
        <w:lastRenderedPageBreak/>
        <w:t>mises à contribution sur la base du même calendrier, tout comme la radio (Radio1, Polynésie 1</w:t>
      </w:r>
      <w:r w:rsidRPr="00307E1D">
        <w:rPr>
          <w:rFonts w:ascii="Cambria" w:hAnsi="Cambria"/>
          <w:vertAlign w:val="superscript"/>
          <w:lang w:eastAsia="fr-FR"/>
        </w:rPr>
        <w:t>ère</w:t>
      </w:r>
      <w:r w:rsidRPr="00307E1D">
        <w:rPr>
          <w:rFonts w:ascii="Cambria" w:hAnsi="Cambria"/>
          <w:lang w:eastAsia="fr-FR"/>
        </w:rPr>
        <w:t xml:space="preserve"> et Tiare FM).</w:t>
      </w:r>
    </w:p>
    <w:p w14:paraId="38B61564" w14:textId="77777777" w:rsidR="00307E1D" w:rsidRPr="00307E1D" w:rsidRDefault="00307E1D" w:rsidP="00307E1D">
      <w:pPr>
        <w:spacing w:before="100" w:beforeAutospacing="1" w:after="100" w:afterAutospacing="1"/>
        <w:jc w:val="both"/>
        <w:rPr>
          <w:rFonts w:ascii="Cambria" w:hAnsi="Cambria"/>
          <w:lang w:eastAsia="fr-FR"/>
        </w:rPr>
      </w:pPr>
      <w:r w:rsidRPr="00307E1D">
        <w:rPr>
          <w:rFonts w:ascii="Cambria" w:hAnsi="Cambria"/>
          <w:lang w:eastAsia="fr-FR"/>
        </w:rPr>
        <w:t>En complément de cette opération, la fédération « Te Niu o te Huma » organise une journée sportive le 3 décembre 2021 sur le site Aorai Tini Hau, dont l’ouverture est prévue à 8h. Plusieurs activités aussi bien nautiques (courses de va’a, pirogues à voile et canoe) que terrestres (volley-ball, beach soccer, boccia) se dérouleront toute la journée jusqu’à 15h30, au bénéfice des associations spécialisées dans le domaine du handicap.</w:t>
      </w:r>
    </w:p>
    <w:p w14:paraId="3C5F6F13" w14:textId="77777777" w:rsidR="00307E1D" w:rsidRPr="00307E1D" w:rsidRDefault="00307E1D" w:rsidP="00307E1D">
      <w:pPr>
        <w:spacing w:before="100" w:beforeAutospacing="1" w:after="100" w:afterAutospacing="1"/>
        <w:jc w:val="both"/>
        <w:rPr>
          <w:rFonts w:ascii="Cambria" w:hAnsi="Cambria"/>
          <w:lang w:eastAsia="fr-FR"/>
        </w:rPr>
      </w:pPr>
      <w:r w:rsidRPr="00307E1D">
        <w:rPr>
          <w:rFonts w:ascii="Cambria" w:hAnsi="Cambria"/>
          <w:lang w:eastAsia="fr-FR"/>
        </w:rPr>
        <w:t>Ces initiatives ont pour but d’influer sur les représentations sociales à l’aide de partage d’expériences et de mots clés bienveillants.</w:t>
      </w:r>
    </w:p>
    <w:p w14:paraId="56ED02A8" w14:textId="4B953CAC" w:rsidR="00EC305D" w:rsidRPr="0033485E" w:rsidRDefault="00EC305D" w:rsidP="00E32EBC">
      <w:pPr>
        <w:spacing w:before="100" w:beforeAutospacing="1" w:after="100" w:afterAutospacing="1"/>
        <w:jc w:val="both"/>
        <w:rPr>
          <w:rFonts w:ascii="Cambria" w:hAnsi="Cambria"/>
          <w:lang w:eastAsia="fr-FR"/>
        </w:rPr>
      </w:pPr>
    </w:p>
    <w:p w14:paraId="6BAA1A6E" w14:textId="0FE807FF" w:rsidR="004E0E1A" w:rsidRPr="00CF60AA" w:rsidRDefault="004E0E1A" w:rsidP="003229A6">
      <w:pPr>
        <w:pStyle w:val="-LettreTexteGEDA"/>
        <w:ind w:firstLine="0"/>
        <w:jc w:val="center"/>
        <w:rPr>
          <w:rFonts w:ascii="Cambria" w:hAnsi="Cambria"/>
        </w:rPr>
      </w:pPr>
      <w:r w:rsidRPr="00DF3674">
        <w:rPr>
          <w:rFonts w:ascii="Cambria" w:hAnsi="Cambria"/>
          <w:noProof w:val="0"/>
          <w:szCs w:val="24"/>
        </w:rPr>
        <w:t>-o-o-o-o-o-</w:t>
      </w:r>
    </w:p>
    <w:sectPr w:rsidR="004E0E1A" w:rsidRPr="00CF60AA" w:rsidSect="00F80F49">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86D05" w14:textId="77777777" w:rsidR="00B6016F" w:rsidRDefault="00B6016F" w:rsidP="000946F2">
      <w:r>
        <w:separator/>
      </w:r>
    </w:p>
  </w:endnote>
  <w:endnote w:type="continuationSeparator" w:id="0">
    <w:p w14:paraId="6FFA5420" w14:textId="77777777" w:rsidR="00B6016F" w:rsidRDefault="00B6016F" w:rsidP="0009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b/>
        <w:bCs/>
        <w:sz w:val="20"/>
        <w:szCs w:val="20"/>
      </w:rPr>
      <w:id w:val="-61563272"/>
      <w:docPartObj>
        <w:docPartGallery w:val="Page Numbers (Bottom of Page)"/>
        <w:docPartUnique/>
      </w:docPartObj>
    </w:sdtPr>
    <w:sdtEndPr/>
    <w:sdtContent>
      <w:p w14:paraId="0A6CE67B" w14:textId="4266D5F5" w:rsidR="00261AEC" w:rsidRPr="00261AEC" w:rsidRDefault="00261AEC">
        <w:pPr>
          <w:pStyle w:val="Pieddepage"/>
          <w:jc w:val="center"/>
          <w:rPr>
            <w:rFonts w:ascii="Cambria" w:hAnsi="Cambria"/>
            <w:b/>
            <w:bCs/>
            <w:sz w:val="20"/>
            <w:szCs w:val="20"/>
          </w:rPr>
        </w:pPr>
        <w:r w:rsidRPr="00261AEC">
          <w:rPr>
            <w:rFonts w:ascii="Cambria" w:hAnsi="Cambria"/>
            <w:b/>
            <w:bCs/>
            <w:sz w:val="20"/>
            <w:szCs w:val="20"/>
          </w:rPr>
          <w:fldChar w:fldCharType="begin"/>
        </w:r>
        <w:r w:rsidRPr="00261AEC">
          <w:rPr>
            <w:rFonts w:ascii="Cambria" w:hAnsi="Cambria"/>
            <w:b/>
            <w:bCs/>
            <w:sz w:val="20"/>
            <w:szCs w:val="20"/>
          </w:rPr>
          <w:instrText>PAGE   \* MERGEFORMAT</w:instrText>
        </w:r>
        <w:r w:rsidRPr="00261AEC">
          <w:rPr>
            <w:rFonts w:ascii="Cambria" w:hAnsi="Cambria"/>
            <w:b/>
            <w:bCs/>
            <w:sz w:val="20"/>
            <w:szCs w:val="20"/>
          </w:rPr>
          <w:fldChar w:fldCharType="separate"/>
        </w:r>
        <w:r w:rsidRPr="00261AEC">
          <w:rPr>
            <w:rFonts w:ascii="Cambria" w:hAnsi="Cambria"/>
            <w:b/>
            <w:bCs/>
            <w:sz w:val="20"/>
            <w:szCs w:val="20"/>
          </w:rPr>
          <w:t>2</w:t>
        </w:r>
        <w:r w:rsidRPr="00261AEC">
          <w:rPr>
            <w:rFonts w:ascii="Cambria" w:hAnsi="Cambria"/>
            <w:b/>
            <w:bCs/>
            <w:sz w:val="20"/>
            <w:szCs w:val="20"/>
          </w:rPr>
          <w:fldChar w:fldCharType="end"/>
        </w:r>
      </w:p>
    </w:sdtContent>
  </w:sdt>
  <w:p w14:paraId="681CA0A1" w14:textId="77777777" w:rsidR="00261AEC" w:rsidRDefault="00261AE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6C120" w14:textId="77777777" w:rsidR="00B6016F" w:rsidRDefault="00B6016F" w:rsidP="000946F2">
      <w:r>
        <w:separator/>
      </w:r>
    </w:p>
  </w:footnote>
  <w:footnote w:type="continuationSeparator" w:id="0">
    <w:p w14:paraId="14BF4A5B" w14:textId="77777777" w:rsidR="00B6016F" w:rsidRDefault="00B6016F" w:rsidP="00094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23C"/>
    <w:multiLevelType w:val="hybridMultilevel"/>
    <w:tmpl w:val="A4BC2C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A91545"/>
    <w:multiLevelType w:val="hybridMultilevel"/>
    <w:tmpl w:val="EB827A3E"/>
    <w:lvl w:ilvl="0" w:tplc="E4729670">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816A14"/>
    <w:multiLevelType w:val="hybridMultilevel"/>
    <w:tmpl w:val="CF74096C"/>
    <w:lvl w:ilvl="0" w:tplc="6C7A0128">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0232FB"/>
    <w:multiLevelType w:val="hybridMultilevel"/>
    <w:tmpl w:val="8FD8F4D6"/>
    <w:lvl w:ilvl="0" w:tplc="3FBEC834">
      <w:start w:val="1"/>
      <w:numFmt w:val="bullet"/>
      <w:pStyle w:val="TM2"/>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370B9D"/>
    <w:multiLevelType w:val="hybridMultilevel"/>
    <w:tmpl w:val="32EAAE0C"/>
    <w:lvl w:ilvl="0" w:tplc="040C0001">
      <w:start w:val="1"/>
      <w:numFmt w:val="bullet"/>
      <w:lvlText w:val=""/>
      <w:lvlJc w:val="left"/>
      <w:pPr>
        <w:ind w:left="1211" w:hanging="360"/>
      </w:pPr>
      <w:rPr>
        <w:rFonts w:ascii="Symbol" w:hAnsi="Symbol"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5" w15:restartNumberingAfterBreak="0">
    <w:nsid w:val="2D195FDA"/>
    <w:multiLevelType w:val="multilevel"/>
    <w:tmpl w:val="CF5C9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9D5381"/>
    <w:multiLevelType w:val="hybridMultilevel"/>
    <w:tmpl w:val="81DAE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8" w15:restartNumberingAfterBreak="0">
    <w:nsid w:val="387766B1"/>
    <w:multiLevelType w:val="hybridMultilevel"/>
    <w:tmpl w:val="0290A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145854"/>
    <w:multiLevelType w:val="hybridMultilevel"/>
    <w:tmpl w:val="CEC29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4A6242"/>
    <w:multiLevelType w:val="hybridMultilevel"/>
    <w:tmpl w:val="A10E1FBE"/>
    <w:lvl w:ilvl="0" w:tplc="040C000D">
      <w:start w:val="1"/>
      <w:numFmt w:val="bullet"/>
      <w:lvlText w:val=""/>
      <w:lvlJc w:val="left"/>
      <w:pPr>
        <w:ind w:left="1571" w:hanging="360"/>
      </w:pPr>
      <w:rPr>
        <w:rFonts w:ascii="Wingdings" w:hAnsi="Wingdings"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040C0005">
      <w:start w:val="1"/>
      <w:numFmt w:val="bullet"/>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11" w15:restartNumberingAfterBreak="0">
    <w:nsid w:val="3E21462F"/>
    <w:multiLevelType w:val="hybridMultilevel"/>
    <w:tmpl w:val="95DCB3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4C90D04"/>
    <w:multiLevelType w:val="multilevel"/>
    <w:tmpl w:val="1E365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3C506A"/>
    <w:multiLevelType w:val="hybridMultilevel"/>
    <w:tmpl w:val="7CD44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67311E"/>
    <w:multiLevelType w:val="hybridMultilevel"/>
    <w:tmpl w:val="34EE17B8"/>
    <w:lvl w:ilvl="0" w:tplc="6C7A0128">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AC33380"/>
    <w:multiLevelType w:val="hybridMultilevel"/>
    <w:tmpl w:val="93B05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340424"/>
    <w:multiLevelType w:val="hybridMultilevel"/>
    <w:tmpl w:val="0E227FA8"/>
    <w:lvl w:ilvl="0" w:tplc="30906E8A">
      <w:start w:val="1"/>
      <w:numFmt w:val="decimal"/>
      <w:lvlText w:val="%1)"/>
      <w:lvlJc w:val="left"/>
      <w:pPr>
        <w:ind w:left="1211" w:hanging="360"/>
      </w:p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start w:val="1"/>
      <w:numFmt w:val="decimal"/>
      <w:lvlText w:val="%4."/>
      <w:lvlJc w:val="left"/>
      <w:pPr>
        <w:ind w:left="3371" w:hanging="360"/>
      </w:pPr>
    </w:lvl>
    <w:lvl w:ilvl="4" w:tplc="040C0019">
      <w:start w:val="1"/>
      <w:numFmt w:val="lowerLetter"/>
      <w:lvlText w:val="%5."/>
      <w:lvlJc w:val="left"/>
      <w:pPr>
        <w:ind w:left="4091" w:hanging="360"/>
      </w:pPr>
    </w:lvl>
    <w:lvl w:ilvl="5" w:tplc="040C001B">
      <w:start w:val="1"/>
      <w:numFmt w:val="lowerRoman"/>
      <w:lvlText w:val="%6."/>
      <w:lvlJc w:val="right"/>
      <w:pPr>
        <w:ind w:left="4811" w:hanging="180"/>
      </w:pPr>
    </w:lvl>
    <w:lvl w:ilvl="6" w:tplc="040C000F">
      <w:start w:val="1"/>
      <w:numFmt w:val="decimal"/>
      <w:lvlText w:val="%7."/>
      <w:lvlJc w:val="left"/>
      <w:pPr>
        <w:ind w:left="5531" w:hanging="360"/>
      </w:pPr>
    </w:lvl>
    <w:lvl w:ilvl="7" w:tplc="040C0019">
      <w:start w:val="1"/>
      <w:numFmt w:val="lowerLetter"/>
      <w:lvlText w:val="%8."/>
      <w:lvlJc w:val="left"/>
      <w:pPr>
        <w:ind w:left="6251" w:hanging="360"/>
      </w:pPr>
    </w:lvl>
    <w:lvl w:ilvl="8" w:tplc="040C001B">
      <w:start w:val="1"/>
      <w:numFmt w:val="lowerRoman"/>
      <w:lvlText w:val="%9."/>
      <w:lvlJc w:val="right"/>
      <w:pPr>
        <w:ind w:left="6971" w:hanging="180"/>
      </w:pPr>
    </w:lvl>
  </w:abstractNum>
  <w:abstractNum w:abstractNumId="17" w15:restartNumberingAfterBreak="0">
    <w:nsid w:val="5D787ED2"/>
    <w:multiLevelType w:val="hybridMultilevel"/>
    <w:tmpl w:val="3A9245FE"/>
    <w:lvl w:ilvl="0" w:tplc="18F849F8">
      <w:start w:val="16"/>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8" w15:restartNumberingAfterBreak="0">
    <w:nsid w:val="5FEA6D60"/>
    <w:multiLevelType w:val="hybridMultilevel"/>
    <w:tmpl w:val="F8580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4E6E4B"/>
    <w:multiLevelType w:val="hybridMultilevel"/>
    <w:tmpl w:val="6BAE7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3335DF"/>
    <w:multiLevelType w:val="hybridMultilevel"/>
    <w:tmpl w:val="33105C94"/>
    <w:lvl w:ilvl="0" w:tplc="44F6FC22">
      <w:start w:val="1"/>
      <w:numFmt w:val="bullet"/>
      <w:lvlText w:val="-"/>
      <w:lvlJc w:val="left"/>
      <w:pPr>
        <w:ind w:left="1080" w:hanging="360"/>
      </w:pPr>
      <w:rPr>
        <w:rFonts w:ascii="Cambria" w:eastAsia="Times New Roman" w:hAnsi="Cambria"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num>
  <w:num w:numId="2">
    <w:abstractNumId w:val="3"/>
  </w:num>
  <w:num w:numId="3">
    <w:abstractNumId w:val="15"/>
  </w:num>
  <w:num w:numId="4">
    <w:abstractNumId w:val="20"/>
  </w:num>
  <w:num w:numId="5">
    <w:abstractNumId w:val="18"/>
  </w:num>
  <w:num w:numId="6">
    <w:abstractNumId w:val="11"/>
  </w:num>
  <w:num w:numId="7">
    <w:abstractNumId w:val="2"/>
  </w:num>
  <w:num w:numId="8">
    <w:abstractNumId w:val="14"/>
  </w:num>
  <w:num w:numId="9">
    <w:abstractNumId w:val="0"/>
  </w:num>
  <w:num w:numId="10">
    <w:abstractNumId w:val="19"/>
  </w:num>
  <w:num w:numId="11">
    <w:abstractNumId w:val="10"/>
  </w:num>
  <w:num w:numId="12">
    <w:abstractNumId w:val="10"/>
  </w:num>
  <w:num w:numId="13">
    <w:abstractNumId w:val="8"/>
  </w:num>
  <w:num w:numId="14">
    <w:abstractNumId w:val="12"/>
  </w:num>
  <w:num w:numId="15">
    <w:abstractNumId w:val="9"/>
  </w:num>
  <w:num w:numId="16">
    <w:abstractNumId w:val="6"/>
  </w:num>
  <w:num w:numId="17">
    <w:abstractNumId w:val="13"/>
  </w:num>
  <w:num w:numId="18">
    <w:abstractNumId w:val="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4"/>
  </w:num>
  <w:num w:numId="2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70"/>
    <w:rsid w:val="0000058C"/>
    <w:rsid w:val="00004213"/>
    <w:rsid w:val="000046C9"/>
    <w:rsid w:val="0000644B"/>
    <w:rsid w:val="00033BA7"/>
    <w:rsid w:val="000360F8"/>
    <w:rsid w:val="00041F07"/>
    <w:rsid w:val="00057D09"/>
    <w:rsid w:val="0006201F"/>
    <w:rsid w:val="00062B2E"/>
    <w:rsid w:val="00067B39"/>
    <w:rsid w:val="00073530"/>
    <w:rsid w:val="000818AF"/>
    <w:rsid w:val="000946F2"/>
    <w:rsid w:val="00094C9A"/>
    <w:rsid w:val="000979C6"/>
    <w:rsid w:val="00097EB2"/>
    <w:rsid w:val="000A1085"/>
    <w:rsid w:val="000A73B9"/>
    <w:rsid w:val="000B007B"/>
    <w:rsid w:val="000B0CD2"/>
    <w:rsid w:val="000B1686"/>
    <w:rsid w:val="000B406E"/>
    <w:rsid w:val="000B611A"/>
    <w:rsid w:val="000C153E"/>
    <w:rsid w:val="000C6F38"/>
    <w:rsid w:val="000C796A"/>
    <w:rsid w:val="001019EF"/>
    <w:rsid w:val="0010365C"/>
    <w:rsid w:val="00113B9D"/>
    <w:rsid w:val="001148FC"/>
    <w:rsid w:val="00132DC3"/>
    <w:rsid w:val="001369DE"/>
    <w:rsid w:val="00147531"/>
    <w:rsid w:val="001514F8"/>
    <w:rsid w:val="001560E0"/>
    <w:rsid w:val="0015732A"/>
    <w:rsid w:val="00157387"/>
    <w:rsid w:val="001657A7"/>
    <w:rsid w:val="001665CC"/>
    <w:rsid w:val="0016681B"/>
    <w:rsid w:val="00176E9A"/>
    <w:rsid w:val="001778CF"/>
    <w:rsid w:val="00184AD7"/>
    <w:rsid w:val="00193BE7"/>
    <w:rsid w:val="00197F24"/>
    <w:rsid w:val="001B0339"/>
    <w:rsid w:val="001B4ED0"/>
    <w:rsid w:val="001B6B39"/>
    <w:rsid w:val="001B7690"/>
    <w:rsid w:val="001C4C61"/>
    <w:rsid w:val="001E591D"/>
    <w:rsid w:val="00201254"/>
    <w:rsid w:val="00203E06"/>
    <w:rsid w:val="00210E8E"/>
    <w:rsid w:val="00211E34"/>
    <w:rsid w:val="00222F7A"/>
    <w:rsid w:val="00226F02"/>
    <w:rsid w:val="00230129"/>
    <w:rsid w:val="00241E36"/>
    <w:rsid w:val="00250361"/>
    <w:rsid w:val="002558FB"/>
    <w:rsid w:val="00261AEC"/>
    <w:rsid w:val="00276DCA"/>
    <w:rsid w:val="002864E3"/>
    <w:rsid w:val="002943B2"/>
    <w:rsid w:val="002B1EDC"/>
    <w:rsid w:val="002B714B"/>
    <w:rsid w:val="002C02AC"/>
    <w:rsid w:val="002D6D5D"/>
    <w:rsid w:val="002E696E"/>
    <w:rsid w:val="003019E6"/>
    <w:rsid w:val="00303636"/>
    <w:rsid w:val="00303F47"/>
    <w:rsid w:val="003059B1"/>
    <w:rsid w:val="00307E1D"/>
    <w:rsid w:val="00314196"/>
    <w:rsid w:val="00315E2C"/>
    <w:rsid w:val="0031620D"/>
    <w:rsid w:val="00317C66"/>
    <w:rsid w:val="003229A6"/>
    <w:rsid w:val="00324018"/>
    <w:rsid w:val="00331E05"/>
    <w:rsid w:val="00333CE8"/>
    <w:rsid w:val="0033485E"/>
    <w:rsid w:val="003358A4"/>
    <w:rsid w:val="00335BEC"/>
    <w:rsid w:val="00336845"/>
    <w:rsid w:val="00343E2F"/>
    <w:rsid w:val="0034488A"/>
    <w:rsid w:val="00344F00"/>
    <w:rsid w:val="00344F22"/>
    <w:rsid w:val="00372D2A"/>
    <w:rsid w:val="003750FA"/>
    <w:rsid w:val="00376980"/>
    <w:rsid w:val="00380DE7"/>
    <w:rsid w:val="003921C7"/>
    <w:rsid w:val="00395A63"/>
    <w:rsid w:val="003A5001"/>
    <w:rsid w:val="003B316A"/>
    <w:rsid w:val="003C260A"/>
    <w:rsid w:val="003D5DC5"/>
    <w:rsid w:val="003E7569"/>
    <w:rsid w:val="003F3E18"/>
    <w:rsid w:val="003F4314"/>
    <w:rsid w:val="003F7DFC"/>
    <w:rsid w:val="004072CA"/>
    <w:rsid w:val="00416564"/>
    <w:rsid w:val="004178CE"/>
    <w:rsid w:val="00426E43"/>
    <w:rsid w:val="00427CC2"/>
    <w:rsid w:val="00447A3B"/>
    <w:rsid w:val="00453068"/>
    <w:rsid w:val="00456DD6"/>
    <w:rsid w:val="00461397"/>
    <w:rsid w:val="00464602"/>
    <w:rsid w:val="004648DB"/>
    <w:rsid w:val="00467546"/>
    <w:rsid w:val="00470251"/>
    <w:rsid w:val="00491A0E"/>
    <w:rsid w:val="00492417"/>
    <w:rsid w:val="0049706D"/>
    <w:rsid w:val="004A28D6"/>
    <w:rsid w:val="004A3805"/>
    <w:rsid w:val="004A5ED4"/>
    <w:rsid w:val="004B00A1"/>
    <w:rsid w:val="004C2F05"/>
    <w:rsid w:val="004C71F3"/>
    <w:rsid w:val="004D2D55"/>
    <w:rsid w:val="004E0E1A"/>
    <w:rsid w:val="004E4719"/>
    <w:rsid w:val="004E4ACE"/>
    <w:rsid w:val="004E766B"/>
    <w:rsid w:val="004F1350"/>
    <w:rsid w:val="004F1EFE"/>
    <w:rsid w:val="004F33BA"/>
    <w:rsid w:val="004F4E5C"/>
    <w:rsid w:val="004F6EBC"/>
    <w:rsid w:val="00511CE9"/>
    <w:rsid w:val="0051569C"/>
    <w:rsid w:val="00522BC6"/>
    <w:rsid w:val="00522EA0"/>
    <w:rsid w:val="00524E73"/>
    <w:rsid w:val="005268C6"/>
    <w:rsid w:val="005314A8"/>
    <w:rsid w:val="005412C9"/>
    <w:rsid w:val="00550369"/>
    <w:rsid w:val="005524F8"/>
    <w:rsid w:val="00561739"/>
    <w:rsid w:val="00561D2B"/>
    <w:rsid w:val="00561F43"/>
    <w:rsid w:val="00566602"/>
    <w:rsid w:val="00574994"/>
    <w:rsid w:val="00582562"/>
    <w:rsid w:val="005A0732"/>
    <w:rsid w:val="005A5A4F"/>
    <w:rsid w:val="005B0EDB"/>
    <w:rsid w:val="005B1B14"/>
    <w:rsid w:val="005C1C62"/>
    <w:rsid w:val="005C36CE"/>
    <w:rsid w:val="005D084D"/>
    <w:rsid w:val="005D631A"/>
    <w:rsid w:val="005D76E3"/>
    <w:rsid w:val="005E514F"/>
    <w:rsid w:val="005F535E"/>
    <w:rsid w:val="00606B7D"/>
    <w:rsid w:val="0061449D"/>
    <w:rsid w:val="0061731C"/>
    <w:rsid w:val="00617820"/>
    <w:rsid w:val="00625270"/>
    <w:rsid w:val="00647EC4"/>
    <w:rsid w:val="00655352"/>
    <w:rsid w:val="0065694E"/>
    <w:rsid w:val="006676A1"/>
    <w:rsid w:val="00667FA9"/>
    <w:rsid w:val="00670C3E"/>
    <w:rsid w:val="00674CD0"/>
    <w:rsid w:val="006846F8"/>
    <w:rsid w:val="00690ED4"/>
    <w:rsid w:val="00691BB6"/>
    <w:rsid w:val="00692133"/>
    <w:rsid w:val="006B1A88"/>
    <w:rsid w:val="006B3CFE"/>
    <w:rsid w:val="006B66F6"/>
    <w:rsid w:val="006C3CC1"/>
    <w:rsid w:val="006C75C2"/>
    <w:rsid w:val="006E0132"/>
    <w:rsid w:val="006E08F8"/>
    <w:rsid w:val="006F299C"/>
    <w:rsid w:val="006F6B6D"/>
    <w:rsid w:val="006F7FD4"/>
    <w:rsid w:val="00705480"/>
    <w:rsid w:val="0071264C"/>
    <w:rsid w:val="00720225"/>
    <w:rsid w:val="007207E2"/>
    <w:rsid w:val="00723D84"/>
    <w:rsid w:val="00725E9F"/>
    <w:rsid w:val="00726CC1"/>
    <w:rsid w:val="007279F8"/>
    <w:rsid w:val="0073010E"/>
    <w:rsid w:val="00744496"/>
    <w:rsid w:val="00754E86"/>
    <w:rsid w:val="0078291E"/>
    <w:rsid w:val="00793B69"/>
    <w:rsid w:val="00793E0E"/>
    <w:rsid w:val="00795572"/>
    <w:rsid w:val="00797856"/>
    <w:rsid w:val="007A28D6"/>
    <w:rsid w:val="007A5E09"/>
    <w:rsid w:val="007A6A5E"/>
    <w:rsid w:val="007B23D5"/>
    <w:rsid w:val="007B6A6C"/>
    <w:rsid w:val="007C1BC9"/>
    <w:rsid w:val="007C1C93"/>
    <w:rsid w:val="007C605D"/>
    <w:rsid w:val="007E133D"/>
    <w:rsid w:val="007E5D66"/>
    <w:rsid w:val="007F3848"/>
    <w:rsid w:val="007F664D"/>
    <w:rsid w:val="00805658"/>
    <w:rsid w:val="00807CE3"/>
    <w:rsid w:val="00812127"/>
    <w:rsid w:val="00814C48"/>
    <w:rsid w:val="00816A9C"/>
    <w:rsid w:val="00820476"/>
    <w:rsid w:val="00820BBC"/>
    <w:rsid w:val="00822589"/>
    <w:rsid w:val="00825D17"/>
    <w:rsid w:val="0083539D"/>
    <w:rsid w:val="008445F1"/>
    <w:rsid w:val="00851748"/>
    <w:rsid w:val="00854E57"/>
    <w:rsid w:val="008560D1"/>
    <w:rsid w:val="00861B69"/>
    <w:rsid w:val="00862A63"/>
    <w:rsid w:val="0087417F"/>
    <w:rsid w:val="00877955"/>
    <w:rsid w:val="00885EDC"/>
    <w:rsid w:val="00887AD1"/>
    <w:rsid w:val="00890177"/>
    <w:rsid w:val="008B7411"/>
    <w:rsid w:val="008C6B51"/>
    <w:rsid w:val="008D469A"/>
    <w:rsid w:val="008D4C19"/>
    <w:rsid w:val="008D68E2"/>
    <w:rsid w:val="008E0300"/>
    <w:rsid w:val="008E2E81"/>
    <w:rsid w:val="008F4EDA"/>
    <w:rsid w:val="008F7988"/>
    <w:rsid w:val="00900126"/>
    <w:rsid w:val="00902AD0"/>
    <w:rsid w:val="00904570"/>
    <w:rsid w:val="0090638F"/>
    <w:rsid w:val="00906A1A"/>
    <w:rsid w:val="00906D4A"/>
    <w:rsid w:val="00916876"/>
    <w:rsid w:val="00916F0F"/>
    <w:rsid w:val="00920D6D"/>
    <w:rsid w:val="009263A2"/>
    <w:rsid w:val="00936C76"/>
    <w:rsid w:val="009371EF"/>
    <w:rsid w:val="00937DB4"/>
    <w:rsid w:val="00940E6F"/>
    <w:rsid w:val="00942EB3"/>
    <w:rsid w:val="009435C9"/>
    <w:rsid w:val="0095116C"/>
    <w:rsid w:val="0095394E"/>
    <w:rsid w:val="009723F8"/>
    <w:rsid w:val="009744ED"/>
    <w:rsid w:val="0098256C"/>
    <w:rsid w:val="009871B2"/>
    <w:rsid w:val="009A619B"/>
    <w:rsid w:val="009C01C8"/>
    <w:rsid w:val="009C4DE3"/>
    <w:rsid w:val="009E2A3F"/>
    <w:rsid w:val="009E34ED"/>
    <w:rsid w:val="009F797D"/>
    <w:rsid w:val="00A00B63"/>
    <w:rsid w:val="00A0201D"/>
    <w:rsid w:val="00A05FD4"/>
    <w:rsid w:val="00A06040"/>
    <w:rsid w:val="00A12C80"/>
    <w:rsid w:val="00A1301D"/>
    <w:rsid w:val="00A17C6A"/>
    <w:rsid w:val="00A3661B"/>
    <w:rsid w:val="00A44598"/>
    <w:rsid w:val="00A451F7"/>
    <w:rsid w:val="00A5773F"/>
    <w:rsid w:val="00A60491"/>
    <w:rsid w:val="00A66B6A"/>
    <w:rsid w:val="00A83348"/>
    <w:rsid w:val="00A841FA"/>
    <w:rsid w:val="00A93EAD"/>
    <w:rsid w:val="00A94201"/>
    <w:rsid w:val="00A9585C"/>
    <w:rsid w:val="00AA1452"/>
    <w:rsid w:val="00AA1585"/>
    <w:rsid w:val="00AA6F62"/>
    <w:rsid w:val="00AA75E2"/>
    <w:rsid w:val="00AC5919"/>
    <w:rsid w:val="00AC5B52"/>
    <w:rsid w:val="00AD364D"/>
    <w:rsid w:val="00AD4D7B"/>
    <w:rsid w:val="00AE615B"/>
    <w:rsid w:val="00AE6479"/>
    <w:rsid w:val="00B05F97"/>
    <w:rsid w:val="00B14B11"/>
    <w:rsid w:val="00B16100"/>
    <w:rsid w:val="00B2325C"/>
    <w:rsid w:val="00B31286"/>
    <w:rsid w:val="00B34C72"/>
    <w:rsid w:val="00B34D62"/>
    <w:rsid w:val="00B35075"/>
    <w:rsid w:val="00B46373"/>
    <w:rsid w:val="00B562C6"/>
    <w:rsid w:val="00B57252"/>
    <w:rsid w:val="00B6016F"/>
    <w:rsid w:val="00B678EB"/>
    <w:rsid w:val="00B7240B"/>
    <w:rsid w:val="00B81E7B"/>
    <w:rsid w:val="00B9574C"/>
    <w:rsid w:val="00BB580C"/>
    <w:rsid w:val="00BB77F0"/>
    <w:rsid w:val="00BC1879"/>
    <w:rsid w:val="00BD62F1"/>
    <w:rsid w:val="00BD7E3B"/>
    <w:rsid w:val="00BE6F65"/>
    <w:rsid w:val="00BF04DB"/>
    <w:rsid w:val="00BF0A26"/>
    <w:rsid w:val="00BF71E2"/>
    <w:rsid w:val="00C06286"/>
    <w:rsid w:val="00C100A7"/>
    <w:rsid w:val="00C246B5"/>
    <w:rsid w:val="00C257B4"/>
    <w:rsid w:val="00C278F2"/>
    <w:rsid w:val="00C32F66"/>
    <w:rsid w:val="00C36668"/>
    <w:rsid w:val="00C514AE"/>
    <w:rsid w:val="00C53E63"/>
    <w:rsid w:val="00C56BBF"/>
    <w:rsid w:val="00C57132"/>
    <w:rsid w:val="00C57D05"/>
    <w:rsid w:val="00C6114E"/>
    <w:rsid w:val="00C61300"/>
    <w:rsid w:val="00C72F7B"/>
    <w:rsid w:val="00C750C4"/>
    <w:rsid w:val="00C83214"/>
    <w:rsid w:val="00C9090D"/>
    <w:rsid w:val="00C9475F"/>
    <w:rsid w:val="00CA729E"/>
    <w:rsid w:val="00CA7DD9"/>
    <w:rsid w:val="00CB73CF"/>
    <w:rsid w:val="00CC6E73"/>
    <w:rsid w:val="00CD3117"/>
    <w:rsid w:val="00CE6642"/>
    <w:rsid w:val="00CF60AA"/>
    <w:rsid w:val="00CF6CEA"/>
    <w:rsid w:val="00D035B6"/>
    <w:rsid w:val="00D13D49"/>
    <w:rsid w:val="00D22A2D"/>
    <w:rsid w:val="00D231FD"/>
    <w:rsid w:val="00D410EC"/>
    <w:rsid w:val="00D415F8"/>
    <w:rsid w:val="00D558AB"/>
    <w:rsid w:val="00D5697C"/>
    <w:rsid w:val="00D603D6"/>
    <w:rsid w:val="00D65DFB"/>
    <w:rsid w:val="00D722E2"/>
    <w:rsid w:val="00D74DED"/>
    <w:rsid w:val="00D76297"/>
    <w:rsid w:val="00D91BC5"/>
    <w:rsid w:val="00D94DB8"/>
    <w:rsid w:val="00D95AFF"/>
    <w:rsid w:val="00DA7916"/>
    <w:rsid w:val="00DB22DD"/>
    <w:rsid w:val="00DB32DD"/>
    <w:rsid w:val="00DC2281"/>
    <w:rsid w:val="00DC76A1"/>
    <w:rsid w:val="00DD6357"/>
    <w:rsid w:val="00DE08C4"/>
    <w:rsid w:val="00DE5190"/>
    <w:rsid w:val="00DF078C"/>
    <w:rsid w:val="00DF268A"/>
    <w:rsid w:val="00DF6629"/>
    <w:rsid w:val="00DF6B95"/>
    <w:rsid w:val="00DF73B9"/>
    <w:rsid w:val="00E008CE"/>
    <w:rsid w:val="00E03ED5"/>
    <w:rsid w:val="00E07421"/>
    <w:rsid w:val="00E14F1C"/>
    <w:rsid w:val="00E32EBC"/>
    <w:rsid w:val="00E41D28"/>
    <w:rsid w:val="00E5302D"/>
    <w:rsid w:val="00E625FF"/>
    <w:rsid w:val="00E64ADC"/>
    <w:rsid w:val="00EB1B52"/>
    <w:rsid w:val="00EB661E"/>
    <w:rsid w:val="00EC1170"/>
    <w:rsid w:val="00EC305D"/>
    <w:rsid w:val="00EC4BC9"/>
    <w:rsid w:val="00EE0217"/>
    <w:rsid w:val="00EE0BAB"/>
    <w:rsid w:val="00EF0155"/>
    <w:rsid w:val="00EF2616"/>
    <w:rsid w:val="00EF4A34"/>
    <w:rsid w:val="00EF4A3B"/>
    <w:rsid w:val="00F02EF4"/>
    <w:rsid w:val="00F0504E"/>
    <w:rsid w:val="00F10B59"/>
    <w:rsid w:val="00F2595C"/>
    <w:rsid w:val="00F35395"/>
    <w:rsid w:val="00F40C35"/>
    <w:rsid w:val="00F532C7"/>
    <w:rsid w:val="00F671C3"/>
    <w:rsid w:val="00F72FCF"/>
    <w:rsid w:val="00F763BB"/>
    <w:rsid w:val="00F80F49"/>
    <w:rsid w:val="00F836CE"/>
    <w:rsid w:val="00F84E35"/>
    <w:rsid w:val="00F97177"/>
    <w:rsid w:val="00F97AB4"/>
    <w:rsid w:val="00FA00F4"/>
    <w:rsid w:val="00FA26F2"/>
    <w:rsid w:val="00FA5FD1"/>
    <w:rsid w:val="00FA6D2C"/>
    <w:rsid w:val="00FB6936"/>
    <w:rsid w:val="00FC0BA3"/>
    <w:rsid w:val="00FC1CC1"/>
    <w:rsid w:val="00FD4A5E"/>
    <w:rsid w:val="00FD7003"/>
    <w:rsid w:val="00FE0839"/>
    <w:rsid w:val="00FF04A3"/>
    <w:rsid w:val="00FF197A"/>
    <w:rsid w:val="00FF1C65"/>
    <w:rsid w:val="00FF3F25"/>
    <w:rsid w:val="00FF4DA6"/>
    <w:rsid w:val="00FF6B89"/>
    <w:rsid w:val="00FF75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1">
    <w:name w:val="heading 1"/>
    <w:aliases w:val="MINISTERE"/>
    <w:basedOn w:val="Normal"/>
    <w:next w:val="Normal"/>
    <w:link w:val="Titre1Car"/>
    <w:uiPriority w:val="9"/>
    <w:qFormat/>
    <w:rsid w:val="00816A9C"/>
    <w:pPr>
      <w:keepNext/>
      <w:keepLines/>
      <w:spacing w:before="240"/>
      <w:jc w:val="center"/>
      <w:outlineLvl w:val="0"/>
    </w:pPr>
    <w:rPr>
      <w:rFonts w:ascii="Cambria" w:eastAsiaTheme="majorEastAsia" w:hAnsi="Cambria" w:cstheme="majorBidi"/>
      <w:b/>
      <w:color w:val="000000" w:themeColor="text1"/>
      <w:sz w:val="28"/>
      <w:szCs w:val="32"/>
    </w:rPr>
  </w:style>
  <w:style w:type="paragraph" w:styleId="Titre2">
    <w:name w:val="heading 2"/>
    <w:aliases w:val="TEXTE CM"/>
    <w:basedOn w:val="Normal"/>
    <w:next w:val="Normal"/>
    <w:link w:val="Titre2Car"/>
    <w:uiPriority w:val="9"/>
    <w:unhideWhenUsed/>
    <w:qFormat/>
    <w:rsid w:val="00D74DED"/>
    <w:pPr>
      <w:keepNext/>
      <w:keepLines/>
      <w:spacing w:before="40"/>
      <w:jc w:val="both"/>
      <w:outlineLvl w:val="1"/>
    </w:pPr>
    <w:rPr>
      <w:rFonts w:ascii="Cambria" w:eastAsiaTheme="majorEastAsia" w:hAnsi="Cambria" w:cstheme="majorBidi"/>
      <w:b/>
      <w:szCs w:val="26"/>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uiPriority w:val="99"/>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paragraph">
    <w:name w:val="paragraph"/>
    <w:basedOn w:val="Normal"/>
    <w:rsid w:val="00FF4DA6"/>
    <w:pPr>
      <w:spacing w:before="100" w:beforeAutospacing="1" w:after="100" w:afterAutospacing="1"/>
    </w:pPr>
    <w:rPr>
      <w:lang w:eastAsia="fr-FR"/>
    </w:rPr>
  </w:style>
  <w:style w:type="character" w:customStyle="1" w:styleId="normaltextrun">
    <w:name w:val="normaltextrun"/>
    <w:rsid w:val="00FF4DA6"/>
  </w:style>
  <w:style w:type="character" w:customStyle="1" w:styleId="eop">
    <w:name w:val="eop"/>
    <w:rsid w:val="00FF4DA6"/>
  </w:style>
  <w:style w:type="paragraph" w:styleId="Commentaire">
    <w:name w:val="annotation text"/>
    <w:basedOn w:val="Normal"/>
    <w:link w:val="CommentaireCar"/>
    <w:uiPriority w:val="99"/>
    <w:unhideWhenUsed/>
    <w:rsid w:val="00241E36"/>
    <w:rPr>
      <w:sz w:val="20"/>
      <w:szCs w:val="20"/>
      <w:lang w:eastAsia="fr-FR"/>
    </w:rPr>
  </w:style>
  <w:style w:type="character" w:customStyle="1" w:styleId="CommentaireCar">
    <w:name w:val="Commentaire Car"/>
    <w:basedOn w:val="Policepardfaut"/>
    <w:link w:val="Commentaire"/>
    <w:uiPriority w:val="99"/>
    <w:rsid w:val="00241E36"/>
    <w:rPr>
      <w:rFonts w:ascii="Times New Roman" w:eastAsia="Times New Roman" w:hAnsi="Times New Roman" w:cs="Times New Roman"/>
      <w:sz w:val="20"/>
      <w:szCs w:val="20"/>
      <w:lang w:eastAsia="fr-FR"/>
    </w:rPr>
  </w:style>
  <w:style w:type="paragraph" w:customStyle="1" w:styleId="-DiversLigneinvisibleGEDA">
    <w:name w:val="- Divers:Ligne invisible   GEDA"/>
    <w:rsid w:val="00241E36"/>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paragraph" w:customStyle="1" w:styleId="Notedebasdepage1">
    <w:name w:val="Note de bas de page1"/>
    <w:basedOn w:val="Normal"/>
    <w:next w:val="Notedebasdepage"/>
    <w:link w:val="NotedebasdepageCar"/>
    <w:uiPriority w:val="99"/>
    <w:semiHidden/>
    <w:unhideWhenUsed/>
    <w:rsid w:val="000946F2"/>
    <w:rPr>
      <w:rFonts w:eastAsiaTheme="minorHAnsi"/>
      <w:sz w:val="20"/>
      <w:szCs w:val="20"/>
      <w:lang w:eastAsia="en-US"/>
    </w:rPr>
  </w:style>
  <w:style w:type="character" w:customStyle="1" w:styleId="NotedebasdepageCar">
    <w:name w:val="Note de bas de page Car"/>
    <w:basedOn w:val="Policepardfaut"/>
    <w:link w:val="Notedebasdepage1"/>
    <w:uiPriority w:val="99"/>
    <w:semiHidden/>
    <w:rsid w:val="000946F2"/>
    <w:rPr>
      <w:rFonts w:ascii="Times New Roman" w:hAnsi="Times New Roman" w:cs="Times New Roman"/>
      <w:sz w:val="20"/>
      <w:szCs w:val="20"/>
    </w:rPr>
  </w:style>
  <w:style w:type="character" w:styleId="Appelnotedebasdep">
    <w:name w:val="footnote reference"/>
    <w:basedOn w:val="Policepardfaut"/>
    <w:uiPriority w:val="99"/>
    <w:semiHidden/>
    <w:unhideWhenUsed/>
    <w:rsid w:val="000946F2"/>
    <w:rPr>
      <w:vertAlign w:val="superscript"/>
    </w:rPr>
  </w:style>
  <w:style w:type="table" w:styleId="Tableausimple1">
    <w:name w:val="Plain Table 1"/>
    <w:basedOn w:val="TableauNormal"/>
    <w:uiPriority w:val="41"/>
    <w:rsid w:val="000946F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tedebasdepage">
    <w:name w:val="footnote text"/>
    <w:basedOn w:val="Normal"/>
    <w:link w:val="NotedebasdepageCar1"/>
    <w:uiPriority w:val="99"/>
    <w:semiHidden/>
    <w:unhideWhenUsed/>
    <w:rsid w:val="000946F2"/>
    <w:rPr>
      <w:sz w:val="20"/>
      <w:szCs w:val="20"/>
    </w:rPr>
  </w:style>
  <w:style w:type="character" w:customStyle="1" w:styleId="NotedebasdepageCar1">
    <w:name w:val="Note de bas de page Car1"/>
    <w:basedOn w:val="Policepardfaut"/>
    <w:link w:val="Notedebasdepage"/>
    <w:uiPriority w:val="99"/>
    <w:semiHidden/>
    <w:rsid w:val="000946F2"/>
    <w:rPr>
      <w:rFonts w:ascii="Times New Roman" w:eastAsia="Times New Roman" w:hAnsi="Times New Roman" w:cs="Times New Roman"/>
      <w:sz w:val="20"/>
      <w:szCs w:val="20"/>
      <w:lang w:eastAsia="es-ES"/>
    </w:rPr>
  </w:style>
  <w:style w:type="paragraph" w:customStyle="1" w:styleId="Normal1">
    <w:name w:val="Normal1"/>
    <w:basedOn w:val="Normal"/>
    <w:rsid w:val="007F664D"/>
    <w:rPr>
      <w:rFonts w:eastAsiaTheme="minorHAnsi"/>
      <w:lang w:eastAsia="fr-FR"/>
    </w:rPr>
  </w:style>
  <w:style w:type="paragraph" w:customStyle="1" w:styleId="-LettreSuiteORefPJGEDA">
    <w:name w:val="- Lettre:Suite O/Ref/PJ GEDA"/>
    <w:basedOn w:val="Normal"/>
    <w:rsid w:val="001560E0"/>
    <w:pPr>
      <w:overflowPunct w:val="0"/>
      <w:autoSpaceDE w:val="0"/>
      <w:autoSpaceDN w:val="0"/>
      <w:ind w:left="851"/>
      <w:jc w:val="both"/>
    </w:pPr>
    <w:rPr>
      <w:rFonts w:eastAsiaTheme="minorHAnsi"/>
      <w:lang w:eastAsia="fr-FR"/>
    </w:rPr>
  </w:style>
  <w:style w:type="paragraph" w:customStyle="1" w:styleId="-LettrehDestinataireadGEDA">
    <w:name w:val="- Lettre:h_Destinataire (ad)GEDA"/>
    <w:basedOn w:val="Normal"/>
    <w:rsid w:val="001560E0"/>
    <w:pPr>
      <w:overflowPunct w:val="0"/>
      <w:autoSpaceDE w:val="0"/>
      <w:autoSpaceDN w:val="0"/>
      <w:jc w:val="center"/>
    </w:pPr>
    <w:rPr>
      <w:rFonts w:eastAsiaTheme="minorHAnsi"/>
      <w:b/>
      <w:bCs/>
      <w:lang w:eastAsia="fr-FR"/>
    </w:rPr>
  </w:style>
  <w:style w:type="character" w:customStyle="1" w:styleId="Titre2Car">
    <w:name w:val="Titre 2 Car"/>
    <w:aliases w:val="TEXTE CM Car"/>
    <w:basedOn w:val="Policepardfaut"/>
    <w:link w:val="Titre2"/>
    <w:uiPriority w:val="9"/>
    <w:rsid w:val="00D74DED"/>
    <w:rPr>
      <w:rFonts w:ascii="Cambria" w:eastAsiaTheme="majorEastAsia" w:hAnsi="Cambria" w:cstheme="majorBidi"/>
      <w:b/>
      <w:sz w:val="24"/>
      <w:szCs w:val="26"/>
      <w:lang w:eastAsia="es-ES"/>
    </w:rPr>
  </w:style>
  <w:style w:type="character" w:styleId="lev">
    <w:name w:val="Strong"/>
    <w:basedOn w:val="Policepardfaut"/>
    <w:uiPriority w:val="22"/>
    <w:qFormat/>
    <w:rsid w:val="0087417F"/>
    <w:rPr>
      <w:b/>
      <w:bCs/>
    </w:rPr>
  </w:style>
  <w:style w:type="character" w:styleId="Accentuation">
    <w:name w:val="Emphasis"/>
    <w:basedOn w:val="Policepardfaut"/>
    <w:uiPriority w:val="20"/>
    <w:qFormat/>
    <w:rsid w:val="000360F8"/>
    <w:rPr>
      <w:i/>
      <w:iCs/>
    </w:rPr>
  </w:style>
  <w:style w:type="character" w:customStyle="1" w:styleId="Titre1Car">
    <w:name w:val="Titre 1 Car"/>
    <w:aliases w:val="MINISTERE Car"/>
    <w:basedOn w:val="Policepardfaut"/>
    <w:link w:val="Titre1"/>
    <w:uiPriority w:val="9"/>
    <w:rsid w:val="00816A9C"/>
    <w:rPr>
      <w:rFonts w:ascii="Cambria" w:eastAsiaTheme="majorEastAsia" w:hAnsi="Cambria" w:cstheme="majorBidi"/>
      <w:b/>
      <w:color w:val="000000" w:themeColor="text1"/>
      <w:sz w:val="28"/>
      <w:szCs w:val="32"/>
      <w:lang w:eastAsia="es-ES"/>
    </w:rPr>
  </w:style>
  <w:style w:type="paragraph" w:styleId="En-ttedetabledesmatires">
    <w:name w:val="TOC Heading"/>
    <w:basedOn w:val="Titre1"/>
    <w:next w:val="Normal"/>
    <w:uiPriority w:val="39"/>
    <w:unhideWhenUsed/>
    <w:qFormat/>
    <w:rsid w:val="00EF2616"/>
    <w:pPr>
      <w:spacing w:line="259" w:lineRule="auto"/>
      <w:outlineLvl w:val="9"/>
    </w:pPr>
    <w:rPr>
      <w:lang w:eastAsia="fr-FR"/>
    </w:rPr>
  </w:style>
  <w:style w:type="paragraph" w:styleId="TM2">
    <w:name w:val="toc 2"/>
    <w:basedOn w:val="Normal"/>
    <w:next w:val="Normal"/>
    <w:autoRedefine/>
    <w:uiPriority w:val="39"/>
    <w:unhideWhenUsed/>
    <w:rsid w:val="001E591D"/>
    <w:pPr>
      <w:numPr>
        <w:numId w:val="2"/>
      </w:numPr>
      <w:tabs>
        <w:tab w:val="right" w:leader="dot" w:pos="9062"/>
      </w:tabs>
      <w:spacing w:after="100" w:line="259" w:lineRule="auto"/>
    </w:pPr>
    <w:rPr>
      <w:rFonts w:asciiTheme="minorHAnsi" w:eastAsiaTheme="minorEastAsia" w:hAnsiTheme="minorHAnsi"/>
      <w:sz w:val="22"/>
      <w:szCs w:val="22"/>
      <w:lang w:eastAsia="fr-FR"/>
    </w:rPr>
  </w:style>
  <w:style w:type="paragraph" w:styleId="TM1">
    <w:name w:val="toc 1"/>
    <w:basedOn w:val="Normal"/>
    <w:next w:val="Normal"/>
    <w:autoRedefine/>
    <w:uiPriority w:val="39"/>
    <w:unhideWhenUsed/>
    <w:rsid w:val="00FA26F2"/>
    <w:pPr>
      <w:tabs>
        <w:tab w:val="right" w:leader="dot" w:pos="9062"/>
      </w:tabs>
      <w:spacing w:after="100" w:line="259" w:lineRule="auto"/>
    </w:pPr>
    <w:rPr>
      <w:rFonts w:ascii="Cambria" w:eastAsiaTheme="minorEastAsia" w:hAnsi="Cambria"/>
      <w:b/>
      <w:bCs/>
      <w:noProof/>
      <w:sz w:val="22"/>
      <w:szCs w:val="22"/>
      <w:lang w:eastAsia="fr-FR"/>
    </w:rPr>
  </w:style>
  <w:style w:type="paragraph" w:styleId="TM3">
    <w:name w:val="toc 3"/>
    <w:basedOn w:val="Normal"/>
    <w:next w:val="Normal"/>
    <w:autoRedefine/>
    <w:uiPriority w:val="39"/>
    <w:unhideWhenUsed/>
    <w:rsid w:val="00EF2616"/>
    <w:pPr>
      <w:spacing w:after="100" w:line="259" w:lineRule="auto"/>
      <w:ind w:left="440"/>
    </w:pPr>
    <w:rPr>
      <w:rFonts w:asciiTheme="minorHAnsi" w:eastAsiaTheme="minorEastAsia" w:hAnsiTheme="minorHAnsi"/>
      <w:sz w:val="22"/>
      <w:szCs w:val="22"/>
      <w:lang w:eastAsia="fr-FR"/>
    </w:rPr>
  </w:style>
  <w:style w:type="paragraph" w:styleId="En-tte">
    <w:name w:val="header"/>
    <w:basedOn w:val="Normal"/>
    <w:link w:val="En-tteCar"/>
    <w:uiPriority w:val="99"/>
    <w:unhideWhenUsed/>
    <w:rsid w:val="00261AEC"/>
    <w:pPr>
      <w:tabs>
        <w:tab w:val="center" w:pos="4536"/>
        <w:tab w:val="right" w:pos="9072"/>
      </w:tabs>
    </w:pPr>
  </w:style>
  <w:style w:type="character" w:customStyle="1" w:styleId="En-tteCar">
    <w:name w:val="En-tête Car"/>
    <w:basedOn w:val="Policepardfaut"/>
    <w:link w:val="En-tte"/>
    <w:uiPriority w:val="99"/>
    <w:rsid w:val="00261AEC"/>
    <w:rPr>
      <w:rFonts w:ascii="Times New Roman" w:eastAsia="Times New Roman" w:hAnsi="Times New Roman" w:cs="Times New Roman"/>
      <w:sz w:val="24"/>
      <w:szCs w:val="24"/>
      <w:lang w:eastAsia="es-ES"/>
    </w:rPr>
  </w:style>
  <w:style w:type="paragraph" w:styleId="Pieddepage">
    <w:name w:val="footer"/>
    <w:basedOn w:val="Normal"/>
    <w:link w:val="PieddepageCar"/>
    <w:uiPriority w:val="99"/>
    <w:unhideWhenUsed/>
    <w:rsid w:val="00261AEC"/>
    <w:pPr>
      <w:tabs>
        <w:tab w:val="center" w:pos="4536"/>
        <w:tab w:val="right" w:pos="9072"/>
      </w:tabs>
    </w:pPr>
  </w:style>
  <w:style w:type="character" w:customStyle="1" w:styleId="PieddepageCar">
    <w:name w:val="Pied de page Car"/>
    <w:basedOn w:val="Policepardfaut"/>
    <w:link w:val="Pieddepage"/>
    <w:uiPriority w:val="99"/>
    <w:rsid w:val="00261AEC"/>
    <w:rPr>
      <w:rFonts w:ascii="Times New Roman" w:eastAsia="Times New Roman" w:hAnsi="Times New Roman" w:cs="Times New Roman"/>
      <w:sz w:val="24"/>
      <w:szCs w:val="24"/>
      <w:lang w:eastAsia="es-ES"/>
    </w:rPr>
  </w:style>
  <w:style w:type="character" w:styleId="Mentionnonrsolue">
    <w:name w:val="Unresolved Mention"/>
    <w:basedOn w:val="Policepardfaut"/>
    <w:uiPriority w:val="99"/>
    <w:semiHidden/>
    <w:unhideWhenUsed/>
    <w:rsid w:val="00BB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069">
      <w:bodyDiv w:val="1"/>
      <w:marLeft w:val="0"/>
      <w:marRight w:val="0"/>
      <w:marTop w:val="0"/>
      <w:marBottom w:val="0"/>
      <w:divBdr>
        <w:top w:val="none" w:sz="0" w:space="0" w:color="auto"/>
        <w:left w:val="none" w:sz="0" w:space="0" w:color="auto"/>
        <w:bottom w:val="none" w:sz="0" w:space="0" w:color="auto"/>
        <w:right w:val="none" w:sz="0" w:space="0" w:color="auto"/>
      </w:divBdr>
    </w:div>
    <w:div w:id="33122345">
      <w:bodyDiv w:val="1"/>
      <w:marLeft w:val="0"/>
      <w:marRight w:val="0"/>
      <w:marTop w:val="0"/>
      <w:marBottom w:val="0"/>
      <w:divBdr>
        <w:top w:val="none" w:sz="0" w:space="0" w:color="auto"/>
        <w:left w:val="none" w:sz="0" w:space="0" w:color="auto"/>
        <w:bottom w:val="none" w:sz="0" w:space="0" w:color="auto"/>
        <w:right w:val="none" w:sz="0" w:space="0" w:color="auto"/>
      </w:divBdr>
    </w:div>
    <w:div w:id="52244379">
      <w:bodyDiv w:val="1"/>
      <w:marLeft w:val="0"/>
      <w:marRight w:val="0"/>
      <w:marTop w:val="0"/>
      <w:marBottom w:val="0"/>
      <w:divBdr>
        <w:top w:val="none" w:sz="0" w:space="0" w:color="auto"/>
        <w:left w:val="none" w:sz="0" w:space="0" w:color="auto"/>
        <w:bottom w:val="none" w:sz="0" w:space="0" w:color="auto"/>
        <w:right w:val="none" w:sz="0" w:space="0" w:color="auto"/>
      </w:divBdr>
    </w:div>
    <w:div w:id="55862106">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87119346">
      <w:bodyDiv w:val="1"/>
      <w:marLeft w:val="0"/>
      <w:marRight w:val="0"/>
      <w:marTop w:val="0"/>
      <w:marBottom w:val="0"/>
      <w:divBdr>
        <w:top w:val="none" w:sz="0" w:space="0" w:color="auto"/>
        <w:left w:val="none" w:sz="0" w:space="0" w:color="auto"/>
        <w:bottom w:val="none" w:sz="0" w:space="0" w:color="auto"/>
        <w:right w:val="none" w:sz="0" w:space="0" w:color="auto"/>
      </w:divBdr>
    </w:div>
    <w:div w:id="95103606">
      <w:bodyDiv w:val="1"/>
      <w:marLeft w:val="0"/>
      <w:marRight w:val="0"/>
      <w:marTop w:val="0"/>
      <w:marBottom w:val="0"/>
      <w:divBdr>
        <w:top w:val="none" w:sz="0" w:space="0" w:color="auto"/>
        <w:left w:val="none" w:sz="0" w:space="0" w:color="auto"/>
        <w:bottom w:val="none" w:sz="0" w:space="0" w:color="auto"/>
        <w:right w:val="none" w:sz="0" w:space="0" w:color="auto"/>
      </w:divBdr>
    </w:div>
    <w:div w:id="107624682">
      <w:bodyDiv w:val="1"/>
      <w:marLeft w:val="0"/>
      <w:marRight w:val="0"/>
      <w:marTop w:val="0"/>
      <w:marBottom w:val="0"/>
      <w:divBdr>
        <w:top w:val="none" w:sz="0" w:space="0" w:color="auto"/>
        <w:left w:val="none" w:sz="0" w:space="0" w:color="auto"/>
        <w:bottom w:val="none" w:sz="0" w:space="0" w:color="auto"/>
        <w:right w:val="none" w:sz="0" w:space="0" w:color="auto"/>
      </w:divBdr>
    </w:div>
    <w:div w:id="113719833">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7620744">
      <w:bodyDiv w:val="1"/>
      <w:marLeft w:val="0"/>
      <w:marRight w:val="0"/>
      <w:marTop w:val="0"/>
      <w:marBottom w:val="0"/>
      <w:divBdr>
        <w:top w:val="none" w:sz="0" w:space="0" w:color="auto"/>
        <w:left w:val="none" w:sz="0" w:space="0" w:color="auto"/>
        <w:bottom w:val="none" w:sz="0" w:space="0" w:color="auto"/>
        <w:right w:val="none" w:sz="0" w:space="0" w:color="auto"/>
      </w:divBdr>
    </w:div>
    <w:div w:id="172956446">
      <w:bodyDiv w:val="1"/>
      <w:marLeft w:val="0"/>
      <w:marRight w:val="0"/>
      <w:marTop w:val="0"/>
      <w:marBottom w:val="0"/>
      <w:divBdr>
        <w:top w:val="none" w:sz="0" w:space="0" w:color="auto"/>
        <w:left w:val="none" w:sz="0" w:space="0" w:color="auto"/>
        <w:bottom w:val="none" w:sz="0" w:space="0" w:color="auto"/>
        <w:right w:val="none" w:sz="0" w:space="0" w:color="auto"/>
      </w:divBdr>
    </w:div>
    <w:div w:id="220363396">
      <w:bodyDiv w:val="1"/>
      <w:marLeft w:val="0"/>
      <w:marRight w:val="0"/>
      <w:marTop w:val="0"/>
      <w:marBottom w:val="0"/>
      <w:divBdr>
        <w:top w:val="none" w:sz="0" w:space="0" w:color="auto"/>
        <w:left w:val="none" w:sz="0" w:space="0" w:color="auto"/>
        <w:bottom w:val="none" w:sz="0" w:space="0" w:color="auto"/>
        <w:right w:val="none" w:sz="0" w:space="0" w:color="auto"/>
      </w:divBdr>
    </w:div>
    <w:div w:id="229124835">
      <w:bodyDiv w:val="1"/>
      <w:marLeft w:val="0"/>
      <w:marRight w:val="0"/>
      <w:marTop w:val="0"/>
      <w:marBottom w:val="0"/>
      <w:divBdr>
        <w:top w:val="none" w:sz="0" w:space="0" w:color="auto"/>
        <w:left w:val="none" w:sz="0" w:space="0" w:color="auto"/>
        <w:bottom w:val="none" w:sz="0" w:space="0" w:color="auto"/>
        <w:right w:val="none" w:sz="0" w:space="0" w:color="auto"/>
      </w:divBdr>
    </w:div>
    <w:div w:id="270475821">
      <w:bodyDiv w:val="1"/>
      <w:marLeft w:val="0"/>
      <w:marRight w:val="0"/>
      <w:marTop w:val="0"/>
      <w:marBottom w:val="0"/>
      <w:divBdr>
        <w:top w:val="none" w:sz="0" w:space="0" w:color="auto"/>
        <w:left w:val="none" w:sz="0" w:space="0" w:color="auto"/>
        <w:bottom w:val="none" w:sz="0" w:space="0" w:color="auto"/>
        <w:right w:val="none" w:sz="0" w:space="0" w:color="auto"/>
      </w:divBdr>
    </w:div>
    <w:div w:id="276716710">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331185038">
      <w:bodyDiv w:val="1"/>
      <w:marLeft w:val="0"/>
      <w:marRight w:val="0"/>
      <w:marTop w:val="0"/>
      <w:marBottom w:val="0"/>
      <w:divBdr>
        <w:top w:val="none" w:sz="0" w:space="0" w:color="auto"/>
        <w:left w:val="none" w:sz="0" w:space="0" w:color="auto"/>
        <w:bottom w:val="none" w:sz="0" w:space="0" w:color="auto"/>
        <w:right w:val="none" w:sz="0" w:space="0" w:color="auto"/>
      </w:divBdr>
    </w:div>
    <w:div w:id="348719378">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82494115">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643848716">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703792119">
      <w:bodyDiv w:val="1"/>
      <w:marLeft w:val="0"/>
      <w:marRight w:val="0"/>
      <w:marTop w:val="0"/>
      <w:marBottom w:val="0"/>
      <w:divBdr>
        <w:top w:val="none" w:sz="0" w:space="0" w:color="auto"/>
        <w:left w:val="none" w:sz="0" w:space="0" w:color="auto"/>
        <w:bottom w:val="none" w:sz="0" w:space="0" w:color="auto"/>
        <w:right w:val="none" w:sz="0" w:space="0" w:color="auto"/>
      </w:divBdr>
    </w:div>
    <w:div w:id="761336105">
      <w:bodyDiv w:val="1"/>
      <w:marLeft w:val="0"/>
      <w:marRight w:val="0"/>
      <w:marTop w:val="0"/>
      <w:marBottom w:val="0"/>
      <w:divBdr>
        <w:top w:val="none" w:sz="0" w:space="0" w:color="auto"/>
        <w:left w:val="none" w:sz="0" w:space="0" w:color="auto"/>
        <w:bottom w:val="none" w:sz="0" w:space="0" w:color="auto"/>
        <w:right w:val="none" w:sz="0" w:space="0" w:color="auto"/>
      </w:divBdr>
    </w:div>
    <w:div w:id="834688425">
      <w:bodyDiv w:val="1"/>
      <w:marLeft w:val="0"/>
      <w:marRight w:val="0"/>
      <w:marTop w:val="0"/>
      <w:marBottom w:val="0"/>
      <w:divBdr>
        <w:top w:val="none" w:sz="0" w:space="0" w:color="auto"/>
        <w:left w:val="none" w:sz="0" w:space="0" w:color="auto"/>
        <w:bottom w:val="none" w:sz="0" w:space="0" w:color="auto"/>
        <w:right w:val="none" w:sz="0" w:space="0" w:color="auto"/>
      </w:divBdr>
    </w:div>
    <w:div w:id="871265556">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6400418">
      <w:bodyDiv w:val="1"/>
      <w:marLeft w:val="0"/>
      <w:marRight w:val="0"/>
      <w:marTop w:val="0"/>
      <w:marBottom w:val="0"/>
      <w:divBdr>
        <w:top w:val="none" w:sz="0" w:space="0" w:color="auto"/>
        <w:left w:val="none" w:sz="0" w:space="0" w:color="auto"/>
        <w:bottom w:val="none" w:sz="0" w:space="0" w:color="auto"/>
        <w:right w:val="none" w:sz="0" w:space="0" w:color="auto"/>
      </w:divBdr>
    </w:div>
    <w:div w:id="948507244">
      <w:bodyDiv w:val="1"/>
      <w:marLeft w:val="0"/>
      <w:marRight w:val="0"/>
      <w:marTop w:val="0"/>
      <w:marBottom w:val="0"/>
      <w:divBdr>
        <w:top w:val="none" w:sz="0" w:space="0" w:color="auto"/>
        <w:left w:val="none" w:sz="0" w:space="0" w:color="auto"/>
        <w:bottom w:val="none" w:sz="0" w:space="0" w:color="auto"/>
        <w:right w:val="none" w:sz="0" w:space="0" w:color="auto"/>
      </w:divBdr>
    </w:div>
    <w:div w:id="1001470987">
      <w:bodyDiv w:val="1"/>
      <w:marLeft w:val="0"/>
      <w:marRight w:val="0"/>
      <w:marTop w:val="0"/>
      <w:marBottom w:val="0"/>
      <w:divBdr>
        <w:top w:val="none" w:sz="0" w:space="0" w:color="auto"/>
        <w:left w:val="none" w:sz="0" w:space="0" w:color="auto"/>
        <w:bottom w:val="none" w:sz="0" w:space="0" w:color="auto"/>
        <w:right w:val="none" w:sz="0" w:space="0" w:color="auto"/>
      </w:divBdr>
      <w:divsChild>
        <w:div w:id="1250042016">
          <w:marLeft w:val="0"/>
          <w:marRight w:val="0"/>
          <w:marTop w:val="0"/>
          <w:marBottom w:val="0"/>
          <w:divBdr>
            <w:top w:val="none" w:sz="0" w:space="0" w:color="auto"/>
            <w:left w:val="none" w:sz="0" w:space="0" w:color="auto"/>
            <w:bottom w:val="none" w:sz="0" w:space="0" w:color="auto"/>
            <w:right w:val="none" w:sz="0" w:space="0" w:color="auto"/>
          </w:divBdr>
        </w:div>
      </w:divsChild>
    </w:div>
    <w:div w:id="1012537568">
      <w:bodyDiv w:val="1"/>
      <w:marLeft w:val="0"/>
      <w:marRight w:val="0"/>
      <w:marTop w:val="0"/>
      <w:marBottom w:val="0"/>
      <w:divBdr>
        <w:top w:val="none" w:sz="0" w:space="0" w:color="auto"/>
        <w:left w:val="none" w:sz="0" w:space="0" w:color="auto"/>
        <w:bottom w:val="none" w:sz="0" w:space="0" w:color="auto"/>
        <w:right w:val="none" w:sz="0" w:space="0" w:color="auto"/>
      </w:divBdr>
    </w:div>
    <w:div w:id="1021661582">
      <w:bodyDiv w:val="1"/>
      <w:marLeft w:val="0"/>
      <w:marRight w:val="0"/>
      <w:marTop w:val="0"/>
      <w:marBottom w:val="0"/>
      <w:divBdr>
        <w:top w:val="none" w:sz="0" w:space="0" w:color="auto"/>
        <w:left w:val="none" w:sz="0" w:space="0" w:color="auto"/>
        <w:bottom w:val="none" w:sz="0" w:space="0" w:color="auto"/>
        <w:right w:val="none" w:sz="0" w:space="0" w:color="auto"/>
      </w:divBdr>
    </w:div>
    <w:div w:id="1025597820">
      <w:bodyDiv w:val="1"/>
      <w:marLeft w:val="0"/>
      <w:marRight w:val="0"/>
      <w:marTop w:val="0"/>
      <w:marBottom w:val="0"/>
      <w:divBdr>
        <w:top w:val="none" w:sz="0" w:space="0" w:color="auto"/>
        <w:left w:val="none" w:sz="0" w:space="0" w:color="auto"/>
        <w:bottom w:val="none" w:sz="0" w:space="0" w:color="auto"/>
        <w:right w:val="none" w:sz="0" w:space="0" w:color="auto"/>
      </w:divBdr>
      <w:divsChild>
        <w:div w:id="2145155589">
          <w:marLeft w:val="0"/>
          <w:marRight w:val="0"/>
          <w:marTop w:val="0"/>
          <w:marBottom w:val="0"/>
          <w:divBdr>
            <w:top w:val="none" w:sz="0" w:space="0" w:color="auto"/>
            <w:left w:val="none" w:sz="0" w:space="0" w:color="auto"/>
            <w:bottom w:val="none" w:sz="0" w:space="0" w:color="auto"/>
            <w:right w:val="none" w:sz="0" w:space="0" w:color="auto"/>
          </w:divBdr>
          <w:divsChild>
            <w:div w:id="9611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79861">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125930852">
      <w:bodyDiv w:val="1"/>
      <w:marLeft w:val="0"/>
      <w:marRight w:val="0"/>
      <w:marTop w:val="0"/>
      <w:marBottom w:val="0"/>
      <w:divBdr>
        <w:top w:val="none" w:sz="0" w:space="0" w:color="auto"/>
        <w:left w:val="none" w:sz="0" w:space="0" w:color="auto"/>
        <w:bottom w:val="none" w:sz="0" w:space="0" w:color="auto"/>
        <w:right w:val="none" w:sz="0" w:space="0" w:color="auto"/>
      </w:divBdr>
    </w:div>
    <w:div w:id="1128356964">
      <w:bodyDiv w:val="1"/>
      <w:marLeft w:val="0"/>
      <w:marRight w:val="0"/>
      <w:marTop w:val="0"/>
      <w:marBottom w:val="0"/>
      <w:divBdr>
        <w:top w:val="none" w:sz="0" w:space="0" w:color="auto"/>
        <w:left w:val="none" w:sz="0" w:space="0" w:color="auto"/>
        <w:bottom w:val="none" w:sz="0" w:space="0" w:color="auto"/>
        <w:right w:val="none" w:sz="0" w:space="0" w:color="auto"/>
      </w:divBdr>
    </w:div>
    <w:div w:id="1180392667">
      <w:bodyDiv w:val="1"/>
      <w:marLeft w:val="0"/>
      <w:marRight w:val="0"/>
      <w:marTop w:val="0"/>
      <w:marBottom w:val="0"/>
      <w:divBdr>
        <w:top w:val="none" w:sz="0" w:space="0" w:color="auto"/>
        <w:left w:val="none" w:sz="0" w:space="0" w:color="auto"/>
        <w:bottom w:val="none" w:sz="0" w:space="0" w:color="auto"/>
        <w:right w:val="none" w:sz="0" w:space="0" w:color="auto"/>
      </w:divBdr>
    </w:div>
    <w:div w:id="1182937944">
      <w:bodyDiv w:val="1"/>
      <w:marLeft w:val="0"/>
      <w:marRight w:val="0"/>
      <w:marTop w:val="0"/>
      <w:marBottom w:val="0"/>
      <w:divBdr>
        <w:top w:val="none" w:sz="0" w:space="0" w:color="auto"/>
        <w:left w:val="none" w:sz="0" w:space="0" w:color="auto"/>
        <w:bottom w:val="none" w:sz="0" w:space="0" w:color="auto"/>
        <w:right w:val="none" w:sz="0" w:space="0" w:color="auto"/>
      </w:divBdr>
    </w:div>
    <w:div w:id="1199275019">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98878778">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99744811">
      <w:bodyDiv w:val="1"/>
      <w:marLeft w:val="0"/>
      <w:marRight w:val="0"/>
      <w:marTop w:val="0"/>
      <w:marBottom w:val="0"/>
      <w:divBdr>
        <w:top w:val="none" w:sz="0" w:space="0" w:color="auto"/>
        <w:left w:val="none" w:sz="0" w:space="0" w:color="auto"/>
        <w:bottom w:val="none" w:sz="0" w:space="0" w:color="auto"/>
        <w:right w:val="none" w:sz="0" w:space="0" w:color="auto"/>
      </w:divBdr>
    </w:div>
    <w:div w:id="1419012817">
      <w:bodyDiv w:val="1"/>
      <w:marLeft w:val="0"/>
      <w:marRight w:val="0"/>
      <w:marTop w:val="0"/>
      <w:marBottom w:val="0"/>
      <w:divBdr>
        <w:top w:val="none" w:sz="0" w:space="0" w:color="auto"/>
        <w:left w:val="none" w:sz="0" w:space="0" w:color="auto"/>
        <w:bottom w:val="none" w:sz="0" w:space="0" w:color="auto"/>
        <w:right w:val="none" w:sz="0" w:space="0" w:color="auto"/>
      </w:divBdr>
    </w:div>
    <w:div w:id="1458914702">
      <w:bodyDiv w:val="1"/>
      <w:marLeft w:val="0"/>
      <w:marRight w:val="0"/>
      <w:marTop w:val="0"/>
      <w:marBottom w:val="0"/>
      <w:divBdr>
        <w:top w:val="none" w:sz="0" w:space="0" w:color="auto"/>
        <w:left w:val="none" w:sz="0" w:space="0" w:color="auto"/>
        <w:bottom w:val="none" w:sz="0" w:space="0" w:color="auto"/>
        <w:right w:val="none" w:sz="0" w:space="0" w:color="auto"/>
      </w:divBdr>
    </w:div>
    <w:div w:id="1474248079">
      <w:bodyDiv w:val="1"/>
      <w:marLeft w:val="0"/>
      <w:marRight w:val="0"/>
      <w:marTop w:val="0"/>
      <w:marBottom w:val="0"/>
      <w:divBdr>
        <w:top w:val="none" w:sz="0" w:space="0" w:color="auto"/>
        <w:left w:val="none" w:sz="0" w:space="0" w:color="auto"/>
        <w:bottom w:val="none" w:sz="0" w:space="0" w:color="auto"/>
        <w:right w:val="none" w:sz="0" w:space="0" w:color="auto"/>
      </w:divBdr>
      <w:divsChild>
        <w:div w:id="586503750">
          <w:marLeft w:val="0"/>
          <w:marRight w:val="0"/>
          <w:marTop w:val="0"/>
          <w:marBottom w:val="0"/>
          <w:divBdr>
            <w:top w:val="none" w:sz="0" w:space="0" w:color="auto"/>
            <w:left w:val="none" w:sz="0" w:space="0" w:color="auto"/>
            <w:bottom w:val="none" w:sz="0" w:space="0" w:color="auto"/>
            <w:right w:val="none" w:sz="0" w:space="0" w:color="auto"/>
          </w:divBdr>
          <w:divsChild>
            <w:div w:id="128805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88547622">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502702172">
      <w:bodyDiv w:val="1"/>
      <w:marLeft w:val="0"/>
      <w:marRight w:val="0"/>
      <w:marTop w:val="0"/>
      <w:marBottom w:val="0"/>
      <w:divBdr>
        <w:top w:val="none" w:sz="0" w:space="0" w:color="auto"/>
        <w:left w:val="none" w:sz="0" w:space="0" w:color="auto"/>
        <w:bottom w:val="none" w:sz="0" w:space="0" w:color="auto"/>
        <w:right w:val="none" w:sz="0" w:space="0" w:color="auto"/>
      </w:divBdr>
    </w:div>
    <w:div w:id="1517770816">
      <w:bodyDiv w:val="1"/>
      <w:marLeft w:val="0"/>
      <w:marRight w:val="0"/>
      <w:marTop w:val="0"/>
      <w:marBottom w:val="0"/>
      <w:divBdr>
        <w:top w:val="none" w:sz="0" w:space="0" w:color="auto"/>
        <w:left w:val="none" w:sz="0" w:space="0" w:color="auto"/>
        <w:bottom w:val="none" w:sz="0" w:space="0" w:color="auto"/>
        <w:right w:val="none" w:sz="0" w:space="0" w:color="auto"/>
      </w:divBdr>
    </w:div>
    <w:div w:id="1530221834">
      <w:bodyDiv w:val="1"/>
      <w:marLeft w:val="0"/>
      <w:marRight w:val="0"/>
      <w:marTop w:val="0"/>
      <w:marBottom w:val="0"/>
      <w:divBdr>
        <w:top w:val="none" w:sz="0" w:space="0" w:color="auto"/>
        <w:left w:val="none" w:sz="0" w:space="0" w:color="auto"/>
        <w:bottom w:val="none" w:sz="0" w:space="0" w:color="auto"/>
        <w:right w:val="none" w:sz="0" w:space="0" w:color="auto"/>
      </w:divBdr>
    </w:div>
    <w:div w:id="1610891202">
      <w:bodyDiv w:val="1"/>
      <w:marLeft w:val="0"/>
      <w:marRight w:val="0"/>
      <w:marTop w:val="0"/>
      <w:marBottom w:val="0"/>
      <w:divBdr>
        <w:top w:val="none" w:sz="0" w:space="0" w:color="auto"/>
        <w:left w:val="none" w:sz="0" w:space="0" w:color="auto"/>
        <w:bottom w:val="none" w:sz="0" w:space="0" w:color="auto"/>
        <w:right w:val="none" w:sz="0" w:space="0" w:color="auto"/>
      </w:divBdr>
    </w:div>
    <w:div w:id="1613900342">
      <w:bodyDiv w:val="1"/>
      <w:marLeft w:val="0"/>
      <w:marRight w:val="0"/>
      <w:marTop w:val="0"/>
      <w:marBottom w:val="0"/>
      <w:divBdr>
        <w:top w:val="none" w:sz="0" w:space="0" w:color="auto"/>
        <w:left w:val="none" w:sz="0" w:space="0" w:color="auto"/>
        <w:bottom w:val="none" w:sz="0" w:space="0" w:color="auto"/>
        <w:right w:val="none" w:sz="0" w:space="0" w:color="auto"/>
      </w:divBdr>
    </w:div>
    <w:div w:id="1618756159">
      <w:bodyDiv w:val="1"/>
      <w:marLeft w:val="0"/>
      <w:marRight w:val="0"/>
      <w:marTop w:val="0"/>
      <w:marBottom w:val="0"/>
      <w:divBdr>
        <w:top w:val="none" w:sz="0" w:space="0" w:color="auto"/>
        <w:left w:val="none" w:sz="0" w:space="0" w:color="auto"/>
        <w:bottom w:val="none" w:sz="0" w:space="0" w:color="auto"/>
        <w:right w:val="none" w:sz="0" w:space="0" w:color="auto"/>
      </w:divBdr>
    </w:div>
    <w:div w:id="1645960912">
      <w:bodyDiv w:val="1"/>
      <w:marLeft w:val="0"/>
      <w:marRight w:val="0"/>
      <w:marTop w:val="0"/>
      <w:marBottom w:val="0"/>
      <w:divBdr>
        <w:top w:val="none" w:sz="0" w:space="0" w:color="auto"/>
        <w:left w:val="none" w:sz="0" w:space="0" w:color="auto"/>
        <w:bottom w:val="none" w:sz="0" w:space="0" w:color="auto"/>
        <w:right w:val="none" w:sz="0" w:space="0" w:color="auto"/>
      </w:divBdr>
    </w:div>
    <w:div w:id="1653676844">
      <w:bodyDiv w:val="1"/>
      <w:marLeft w:val="0"/>
      <w:marRight w:val="0"/>
      <w:marTop w:val="0"/>
      <w:marBottom w:val="0"/>
      <w:divBdr>
        <w:top w:val="none" w:sz="0" w:space="0" w:color="auto"/>
        <w:left w:val="none" w:sz="0" w:space="0" w:color="auto"/>
        <w:bottom w:val="none" w:sz="0" w:space="0" w:color="auto"/>
        <w:right w:val="none" w:sz="0" w:space="0" w:color="auto"/>
      </w:divBdr>
    </w:div>
    <w:div w:id="1666080825">
      <w:bodyDiv w:val="1"/>
      <w:marLeft w:val="0"/>
      <w:marRight w:val="0"/>
      <w:marTop w:val="0"/>
      <w:marBottom w:val="0"/>
      <w:divBdr>
        <w:top w:val="none" w:sz="0" w:space="0" w:color="auto"/>
        <w:left w:val="none" w:sz="0" w:space="0" w:color="auto"/>
        <w:bottom w:val="none" w:sz="0" w:space="0" w:color="auto"/>
        <w:right w:val="none" w:sz="0" w:space="0" w:color="auto"/>
      </w:divBdr>
    </w:div>
    <w:div w:id="1685863015">
      <w:bodyDiv w:val="1"/>
      <w:marLeft w:val="0"/>
      <w:marRight w:val="0"/>
      <w:marTop w:val="0"/>
      <w:marBottom w:val="0"/>
      <w:divBdr>
        <w:top w:val="none" w:sz="0" w:space="0" w:color="auto"/>
        <w:left w:val="none" w:sz="0" w:space="0" w:color="auto"/>
        <w:bottom w:val="none" w:sz="0" w:space="0" w:color="auto"/>
        <w:right w:val="none" w:sz="0" w:space="0" w:color="auto"/>
      </w:divBdr>
    </w:div>
    <w:div w:id="1694645472">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740592913">
      <w:bodyDiv w:val="1"/>
      <w:marLeft w:val="0"/>
      <w:marRight w:val="0"/>
      <w:marTop w:val="0"/>
      <w:marBottom w:val="0"/>
      <w:divBdr>
        <w:top w:val="none" w:sz="0" w:space="0" w:color="auto"/>
        <w:left w:val="none" w:sz="0" w:space="0" w:color="auto"/>
        <w:bottom w:val="none" w:sz="0" w:space="0" w:color="auto"/>
        <w:right w:val="none" w:sz="0" w:space="0" w:color="auto"/>
      </w:divBdr>
    </w:div>
    <w:div w:id="1746956329">
      <w:bodyDiv w:val="1"/>
      <w:marLeft w:val="0"/>
      <w:marRight w:val="0"/>
      <w:marTop w:val="0"/>
      <w:marBottom w:val="0"/>
      <w:divBdr>
        <w:top w:val="none" w:sz="0" w:space="0" w:color="auto"/>
        <w:left w:val="none" w:sz="0" w:space="0" w:color="auto"/>
        <w:bottom w:val="none" w:sz="0" w:space="0" w:color="auto"/>
        <w:right w:val="none" w:sz="0" w:space="0" w:color="auto"/>
      </w:divBdr>
    </w:div>
    <w:div w:id="1786920323">
      <w:bodyDiv w:val="1"/>
      <w:marLeft w:val="0"/>
      <w:marRight w:val="0"/>
      <w:marTop w:val="0"/>
      <w:marBottom w:val="0"/>
      <w:divBdr>
        <w:top w:val="none" w:sz="0" w:space="0" w:color="auto"/>
        <w:left w:val="none" w:sz="0" w:space="0" w:color="auto"/>
        <w:bottom w:val="none" w:sz="0" w:space="0" w:color="auto"/>
        <w:right w:val="none" w:sz="0" w:space="0" w:color="auto"/>
      </w:divBdr>
    </w:div>
    <w:div w:id="1790591192">
      <w:bodyDiv w:val="1"/>
      <w:marLeft w:val="0"/>
      <w:marRight w:val="0"/>
      <w:marTop w:val="0"/>
      <w:marBottom w:val="0"/>
      <w:divBdr>
        <w:top w:val="none" w:sz="0" w:space="0" w:color="auto"/>
        <w:left w:val="none" w:sz="0" w:space="0" w:color="auto"/>
        <w:bottom w:val="none" w:sz="0" w:space="0" w:color="auto"/>
        <w:right w:val="none" w:sz="0" w:space="0" w:color="auto"/>
      </w:divBdr>
    </w:div>
    <w:div w:id="1846703868">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6626459">
      <w:bodyDiv w:val="1"/>
      <w:marLeft w:val="0"/>
      <w:marRight w:val="0"/>
      <w:marTop w:val="0"/>
      <w:marBottom w:val="0"/>
      <w:divBdr>
        <w:top w:val="none" w:sz="0" w:space="0" w:color="auto"/>
        <w:left w:val="none" w:sz="0" w:space="0" w:color="auto"/>
        <w:bottom w:val="none" w:sz="0" w:space="0" w:color="auto"/>
        <w:right w:val="none" w:sz="0" w:space="0" w:color="auto"/>
      </w:divBdr>
    </w:div>
    <w:div w:id="1907717861">
      <w:bodyDiv w:val="1"/>
      <w:marLeft w:val="0"/>
      <w:marRight w:val="0"/>
      <w:marTop w:val="0"/>
      <w:marBottom w:val="0"/>
      <w:divBdr>
        <w:top w:val="none" w:sz="0" w:space="0" w:color="auto"/>
        <w:left w:val="none" w:sz="0" w:space="0" w:color="auto"/>
        <w:bottom w:val="none" w:sz="0" w:space="0" w:color="auto"/>
        <w:right w:val="none" w:sz="0" w:space="0" w:color="auto"/>
      </w:divBdr>
    </w:div>
    <w:div w:id="1910533014">
      <w:bodyDiv w:val="1"/>
      <w:marLeft w:val="0"/>
      <w:marRight w:val="0"/>
      <w:marTop w:val="0"/>
      <w:marBottom w:val="0"/>
      <w:divBdr>
        <w:top w:val="none" w:sz="0" w:space="0" w:color="auto"/>
        <w:left w:val="none" w:sz="0" w:space="0" w:color="auto"/>
        <w:bottom w:val="none" w:sz="0" w:space="0" w:color="auto"/>
        <w:right w:val="none" w:sz="0" w:space="0" w:color="auto"/>
      </w:divBdr>
    </w:div>
    <w:div w:id="1941840395">
      <w:bodyDiv w:val="1"/>
      <w:marLeft w:val="0"/>
      <w:marRight w:val="0"/>
      <w:marTop w:val="0"/>
      <w:marBottom w:val="0"/>
      <w:divBdr>
        <w:top w:val="none" w:sz="0" w:space="0" w:color="auto"/>
        <w:left w:val="none" w:sz="0" w:space="0" w:color="auto"/>
        <w:bottom w:val="none" w:sz="0" w:space="0" w:color="auto"/>
        <w:right w:val="none" w:sz="0" w:space="0" w:color="auto"/>
      </w:divBdr>
    </w:div>
    <w:div w:id="2038847413">
      <w:bodyDiv w:val="1"/>
      <w:marLeft w:val="0"/>
      <w:marRight w:val="0"/>
      <w:marTop w:val="0"/>
      <w:marBottom w:val="0"/>
      <w:divBdr>
        <w:top w:val="none" w:sz="0" w:space="0" w:color="auto"/>
        <w:left w:val="none" w:sz="0" w:space="0" w:color="auto"/>
        <w:bottom w:val="none" w:sz="0" w:space="0" w:color="auto"/>
        <w:right w:val="none" w:sz="0" w:space="0" w:color="auto"/>
      </w:divBdr>
      <w:divsChild>
        <w:div w:id="1217160242">
          <w:marLeft w:val="0"/>
          <w:marRight w:val="0"/>
          <w:marTop w:val="0"/>
          <w:marBottom w:val="0"/>
          <w:divBdr>
            <w:top w:val="none" w:sz="0" w:space="0" w:color="auto"/>
            <w:left w:val="none" w:sz="0" w:space="0" w:color="auto"/>
            <w:bottom w:val="none" w:sz="0" w:space="0" w:color="auto"/>
            <w:right w:val="none" w:sz="0" w:space="0" w:color="auto"/>
          </w:divBdr>
          <w:divsChild>
            <w:div w:id="12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2826">
      <w:bodyDiv w:val="1"/>
      <w:marLeft w:val="0"/>
      <w:marRight w:val="0"/>
      <w:marTop w:val="0"/>
      <w:marBottom w:val="0"/>
      <w:divBdr>
        <w:top w:val="none" w:sz="0" w:space="0" w:color="auto"/>
        <w:left w:val="none" w:sz="0" w:space="0" w:color="auto"/>
        <w:bottom w:val="none" w:sz="0" w:space="0" w:color="auto"/>
        <w:right w:val="none" w:sz="0" w:space="0" w:color="auto"/>
      </w:divBdr>
      <w:divsChild>
        <w:div w:id="552011539">
          <w:marLeft w:val="0"/>
          <w:marRight w:val="255"/>
          <w:marTop w:val="0"/>
          <w:marBottom w:val="0"/>
          <w:divBdr>
            <w:top w:val="none" w:sz="0" w:space="0" w:color="auto"/>
            <w:left w:val="none" w:sz="0" w:space="0" w:color="auto"/>
            <w:bottom w:val="none" w:sz="0" w:space="0" w:color="auto"/>
            <w:right w:val="none" w:sz="0" w:space="0" w:color="auto"/>
          </w:divBdr>
          <w:divsChild>
            <w:div w:id="1937640239">
              <w:marLeft w:val="0"/>
              <w:marRight w:val="0"/>
              <w:marTop w:val="0"/>
              <w:marBottom w:val="0"/>
              <w:divBdr>
                <w:top w:val="none" w:sz="0" w:space="0" w:color="auto"/>
                <w:left w:val="none" w:sz="0" w:space="0" w:color="auto"/>
                <w:bottom w:val="none" w:sz="0" w:space="0" w:color="auto"/>
                <w:right w:val="none" w:sz="0" w:space="0" w:color="auto"/>
              </w:divBdr>
              <w:divsChild>
                <w:div w:id="1885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26974">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18CAC-DAFF-4B75-ABB9-CEB3AB534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7</Pages>
  <Words>2521</Words>
  <Characters>13867</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Jenna JF. FOISSAC</cp:lastModifiedBy>
  <cp:revision>34</cp:revision>
  <cp:lastPrinted>2021-12-02T02:46:00Z</cp:lastPrinted>
  <dcterms:created xsi:type="dcterms:W3CDTF">2021-11-29T23:21:00Z</dcterms:created>
  <dcterms:modified xsi:type="dcterms:W3CDTF">2021-12-02T03:09:00Z</dcterms:modified>
</cp:coreProperties>
</file>