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894E" w14:textId="77777777" w:rsidR="00625270" w:rsidRPr="00CF60AA" w:rsidRDefault="00625270" w:rsidP="00CF60AA">
      <w:pPr>
        <w:jc w:val="both"/>
        <w:rPr>
          <w:rFonts w:ascii="Cambria" w:hAnsi="Cambria"/>
          <w:lang w:eastAsia="fr-FR"/>
        </w:rPr>
      </w:pPr>
      <w:r w:rsidRPr="00CF60AA">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CF60AA">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CF60AA">
        <w:rPr>
          <w:rFonts w:ascii="Cambria" w:hAnsi="Cambria"/>
          <w:lang w:eastAsia="fr-FR"/>
        </w:rPr>
        <w:t xml:space="preserve"> </w:t>
      </w:r>
    </w:p>
    <w:p w14:paraId="5B96777C" w14:textId="77777777" w:rsidR="00625270" w:rsidRPr="00CF60AA" w:rsidRDefault="00625270" w:rsidP="00CF60AA">
      <w:pPr>
        <w:jc w:val="both"/>
        <w:rPr>
          <w:rFonts w:ascii="Cambria" w:hAnsi="Cambria"/>
          <w:color w:val="993366"/>
        </w:rPr>
      </w:pPr>
    </w:p>
    <w:p w14:paraId="3672BD85" w14:textId="77777777" w:rsidR="00625270" w:rsidRPr="00CF60AA" w:rsidRDefault="00625270" w:rsidP="00CF60AA">
      <w:pPr>
        <w:jc w:val="both"/>
        <w:rPr>
          <w:rFonts w:ascii="Cambria" w:hAnsi="Cambria"/>
          <w:color w:val="993366"/>
        </w:rPr>
      </w:pPr>
    </w:p>
    <w:p w14:paraId="6ADD5940" w14:textId="77777777" w:rsidR="00625270" w:rsidRPr="00CF60AA" w:rsidRDefault="00625270" w:rsidP="00CF60AA">
      <w:pPr>
        <w:jc w:val="both"/>
        <w:rPr>
          <w:rFonts w:ascii="Cambria" w:hAnsi="Cambria"/>
          <w:color w:val="993366"/>
        </w:rPr>
      </w:pPr>
    </w:p>
    <w:p w14:paraId="48B5E675" w14:textId="77777777" w:rsidR="00625270" w:rsidRPr="00CF60AA" w:rsidRDefault="00625270" w:rsidP="00CF60AA">
      <w:pPr>
        <w:jc w:val="both"/>
        <w:rPr>
          <w:rFonts w:ascii="Cambria" w:hAnsi="Cambria"/>
          <w:color w:val="993366"/>
        </w:rPr>
      </w:pPr>
    </w:p>
    <w:p w14:paraId="0556FA3D" w14:textId="77777777" w:rsidR="00625270" w:rsidRPr="00CF60AA" w:rsidRDefault="00625270" w:rsidP="00CF60AA">
      <w:pPr>
        <w:tabs>
          <w:tab w:val="center" w:pos="4533"/>
          <w:tab w:val="left" w:pos="6544"/>
        </w:tabs>
        <w:jc w:val="both"/>
        <w:rPr>
          <w:rFonts w:ascii="Cambria" w:hAnsi="Cambria"/>
          <w:u w:val="single"/>
        </w:rPr>
      </w:pPr>
      <w:r w:rsidRPr="00CF60AA">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CF60AA" w:rsidRDefault="00625270" w:rsidP="00CF60AA">
      <w:pPr>
        <w:tabs>
          <w:tab w:val="left" w:pos="3240"/>
        </w:tabs>
        <w:jc w:val="center"/>
        <w:rPr>
          <w:rFonts w:ascii="Cambria" w:hAnsi="Cambria" w:cs="Arial"/>
          <w:b/>
        </w:rPr>
      </w:pPr>
      <w:r w:rsidRPr="00CF60AA">
        <w:rPr>
          <w:rFonts w:ascii="Cambria" w:hAnsi="Cambria" w:cs="Arial"/>
          <w:b/>
        </w:rPr>
        <w:t>BUREAU DE LA COMMUNICATION</w:t>
      </w:r>
    </w:p>
    <w:p w14:paraId="48860829" w14:textId="308B9067" w:rsidR="00625270" w:rsidRPr="00CF60AA" w:rsidRDefault="004C71F3" w:rsidP="00CF60AA">
      <w:pPr>
        <w:tabs>
          <w:tab w:val="left" w:pos="3240"/>
        </w:tabs>
        <w:jc w:val="center"/>
        <w:rPr>
          <w:rFonts w:ascii="Cambria" w:hAnsi="Cambria" w:cs="Arial"/>
          <w:b/>
          <w:i/>
        </w:rPr>
      </w:pPr>
      <w:r w:rsidRPr="00CF60AA">
        <w:rPr>
          <w:rFonts w:ascii="Cambria" w:hAnsi="Cambria" w:cs="Arial"/>
          <w:b/>
          <w:i/>
        </w:rPr>
        <w:t>Mercredi</w:t>
      </w:r>
      <w:r w:rsidR="00625270" w:rsidRPr="00CF60AA">
        <w:rPr>
          <w:rFonts w:ascii="Cambria" w:hAnsi="Cambria" w:cs="Arial"/>
          <w:b/>
          <w:i/>
        </w:rPr>
        <w:t xml:space="preserve"> </w:t>
      </w:r>
      <w:r w:rsidR="000979C6">
        <w:rPr>
          <w:rFonts w:ascii="Cambria" w:hAnsi="Cambria" w:cs="Arial"/>
          <w:b/>
          <w:i/>
        </w:rPr>
        <w:t>24</w:t>
      </w:r>
      <w:r w:rsidR="00625270" w:rsidRPr="00CF60AA">
        <w:rPr>
          <w:rFonts w:ascii="Cambria" w:hAnsi="Cambria" w:cs="Arial"/>
          <w:b/>
          <w:i/>
        </w:rPr>
        <w:t xml:space="preserve"> </w:t>
      </w:r>
      <w:r w:rsidR="00A44598">
        <w:rPr>
          <w:rFonts w:ascii="Cambria" w:hAnsi="Cambria" w:cs="Arial"/>
          <w:b/>
          <w:i/>
        </w:rPr>
        <w:t>novembre</w:t>
      </w:r>
      <w:r w:rsidR="00625270" w:rsidRPr="00CF60AA">
        <w:rPr>
          <w:rFonts w:ascii="Cambria" w:hAnsi="Cambria" w:cs="Arial"/>
          <w:b/>
          <w:i/>
        </w:rPr>
        <w:t xml:space="preserve"> 202</w:t>
      </w:r>
      <w:r w:rsidR="00456DD6" w:rsidRPr="00CF60AA">
        <w:rPr>
          <w:rFonts w:ascii="Cambria" w:hAnsi="Cambria" w:cs="Arial"/>
          <w:b/>
          <w:i/>
        </w:rPr>
        <w:t>1</w:t>
      </w:r>
    </w:p>
    <w:p w14:paraId="58F3DB1E" w14:textId="77777777" w:rsidR="00625270" w:rsidRPr="00CF60AA" w:rsidRDefault="00625270" w:rsidP="00CF60AA">
      <w:pPr>
        <w:tabs>
          <w:tab w:val="left" w:pos="3240"/>
        </w:tabs>
        <w:jc w:val="both"/>
        <w:rPr>
          <w:rFonts w:ascii="Cambria" w:hAnsi="Cambria"/>
        </w:rPr>
      </w:pPr>
      <w:r w:rsidRPr="00CF60AA">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CF60AA" w:rsidRDefault="00625270" w:rsidP="00CF60AA">
      <w:pPr>
        <w:overflowPunct w:val="0"/>
        <w:autoSpaceDE w:val="0"/>
        <w:autoSpaceDN w:val="0"/>
        <w:adjustRightInd w:val="0"/>
        <w:spacing w:before="120"/>
        <w:jc w:val="both"/>
        <w:rPr>
          <w:rFonts w:ascii="Cambria" w:hAnsi="Cambria"/>
          <w:b/>
          <w:lang w:eastAsia="fr-FR"/>
        </w:rPr>
      </w:pPr>
    </w:p>
    <w:p w14:paraId="4D703140" w14:textId="641E3027" w:rsidR="004C71F3" w:rsidRPr="00CF60AA" w:rsidRDefault="004C71F3" w:rsidP="00CF60AA">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CF60AA">
        <w:rPr>
          <w:rFonts w:ascii="Cambria" w:hAnsi="Cambria"/>
          <w:b/>
        </w:rPr>
        <w:t>Compte rendu du Conseil des ministres</w:t>
      </w:r>
    </w:p>
    <w:p w14:paraId="23E3B0A2" w14:textId="0847956C" w:rsidR="00690ED4" w:rsidRDefault="00690ED4" w:rsidP="00CF60AA">
      <w:pPr>
        <w:widowControl w:val="0"/>
        <w:autoSpaceDE w:val="0"/>
        <w:autoSpaceDN w:val="0"/>
        <w:adjustRightInd w:val="0"/>
        <w:spacing w:before="120"/>
        <w:jc w:val="both"/>
        <w:rPr>
          <w:rFonts w:ascii="Cambria" w:hAnsi="Cambria"/>
          <w:lang w:eastAsia="fr-FR"/>
        </w:rPr>
      </w:pPr>
    </w:p>
    <w:p w14:paraId="6524973B" w14:textId="68377D2B" w:rsidR="00561D2B" w:rsidRDefault="00261AEC" w:rsidP="00CF60AA">
      <w:pPr>
        <w:widowControl w:val="0"/>
        <w:autoSpaceDE w:val="0"/>
        <w:autoSpaceDN w:val="0"/>
        <w:adjustRightInd w:val="0"/>
        <w:spacing w:before="120"/>
        <w:jc w:val="both"/>
        <w:rPr>
          <w:rFonts w:ascii="Cambria" w:hAnsi="Cambria"/>
          <w:lang w:eastAsia="fr-FR"/>
        </w:rPr>
      </w:pPr>
      <w:r>
        <w:rPr>
          <w:rFonts w:ascii="Cambria" w:hAnsi="Cambria"/>
          <w:lang w:eastAsia="fr-FR"/>
        </w:rPr>
        <w:t xml:space="preserve">Le Conseil des ministres s’est réuni ce mercredi </w:t>
      </w:r>
      <w:r w:rsidR="000979C6">
        <w:rPr>
          <w:rFonts w:ascii="Cambria" w:hAnsi="Cambria"/>
          <w:lang w:eastAsia="fr-FR"/>
        </w:rPr>
        <w:t>24</w:t>
      </w:r>
      <w:r>
        <w:rPr>
          <w:rFonts w:ascii="Cambria" w:hAnsi="Cambria"/>
          <w:lang w:eastAsia="fr-FR"/>
        </w:rPr>
        <w:t xml:space="preserve"> novembre 2021.</w:t>
      </w:r>
      <w:r w:rsidR="006E08F8">
        <w:rPr>
          <w:rFonts w:ascii="Cambria" w:hAnsi="Cambria"/>
          <w:lang w:eastAsia="fr-FR"/>
        </w:rPr>
        <w:t xml:space="preserve"> </w:t>
      </w:r>
      <w:r>
        <w:rPr>
          <w:rFonts w:ascii="Cambria" w:hAnsi="Cambria"/>
          <w:lang w:eastAsia="fr-FR"/>
        </w:rPr>
        <w:t>Parmi les dossiers examinés, il a adopté les dossiers suivants</w:t>
      </w:r>
      <w:r w:rsidR="004F6EBC">
        <w:rPr>
          <w:rFonts w:ascii="Cambria" w:hAnsi="Cambria"/>
          <w:lang w:eastAsia="fr-FR"/>
        </w:rPr>
        <w:t xml:space="preserve"> (lien du sommaire </w:t>
      </w:r>
      <w:r w:rsidR="00566602">
        <w:rPr>
          <w:rFonts w:ascii="Cambria" w:hAnsi="Cambria"/>
          <w:lang w:eastAsia="fr-FR"/>
        </w:rPr>
        <w:t>interactif</w:t>
      </w:r>
      <w:r w:rsidR="004F6EBC">
        <w:rPr>
          <w:rFonts w:ascii="Cambria" w:hAnsi="Cambria"/>
          <w:lang w:eastAsia="fr-FR"/>
        </w:rPr>
        <w:t>)</w:t>
      </w:r>
      <w:r>
        <w:rPr>
          <w:rFonts w:ascii="Cambria" w:hAnsi="Cambria"/>
          <w:lang w:eastAsia="fr-FR"/>
        </w:rPr>
        <w:t> :</w:t>
      </w:r>
      <w:r w:rsidR="001B0339">
        <w:rPr>
          <w:rFonts w:ascii="Cambria" w:hAnsi="Cambria"/>
          <w:lang w:eastAsia="fr-FR"/>
        </w:rPr>
        <w:t xml:space="preserve"> </w:t>
      </w:r>
    </w:p>
    <w:p w14:paraId="4AB6D9AE" w14:textId="77777777" w:rsidR="00226F02" w:rsidRDefault="00226F02" w:rsidP="00CF60AA">
      <w:pPr>
        <w:widowControl w:val="0"/>
        <w:autoSpaceDE w:val="0"/>
        <w:autoSpaceDN w:val="0"/>
        <w:adjustRightInd w:val="0"/>
        <w:spacing w:before="120"/>
        <w:jc w:val="both"/>
        <w:rPr>
          <w:rFonts w:ascii="Cambria" w:hAnsi="Cambria"/>
          <w:lang w:eastAsia="fr-FR"/>
        </w:rPr>
      </w:pPr>
    </w:p>
    <w:sdt>
      <w:sdtPr>
        <w:rPr>
          <w:rFonts w:ascii="Times New Roman" w:eastAsia="Times New Roman" w:hAnsi="Times New Roman"/>
          <w:b w:val="0"/>
          <w:bCs w:val="0"/>
          <w:noProof w:val="0"/>
          <w:sz w:val="24"/>
          <w:szCs w:val="24"/>
          <w:lang w:eastAsia="es-ES"/>
        </w:rPr>
        <w:id w:val="-1045363697"/>
        <w:docPartObj>
          <w:docPartGallery w:val="Table of Contents"/>
          <w:docPartUnique/>
        </w:docPartObj>
      </w:sdtPr>
      <w:sdtEndPr/>
      <w:sdtContent>
        <w:p w14:paraId="7EF01694" w14:textId="3E22EA6D" w:rsidR="00126959" w:rsidRDefault="0065694E">
          <w:pPr>
            <w:pStyle w:val="TM1"/>
            <w:rPr>
              <w:rFonts w:asciiTheme="minorHAnsi" w:hAnsiTheme="minorHAnsi" w:cstheme="minorBidi"/>
              <w:b w:val="0"/>
              <w:bCs w:val="0"/>
            </w:rPr>
          </w:pPr>
          <w:r w:rsidRPr="00C53E63">
            <w:fldChar w:fldCharType="begin"/>
          </w:r>
          <w:r w:rsidRPr="00C53E63">
            <w:instrText xml:space="preserve"> TOC \o "1-3" \h \z \u </w:instrText>
          </w:r>
          <w:r w:rsidRPr="00C53E63">
            <w:fldChar w:fldCharType="separate"/>
          </w:r>
          <w:hyperlink w:anchor="_Toc88668356" w:history="1">
            <w:r w:rsidR="00126959" w:rsidRPr="0088231F">
              <w:rPr>
                <w:rStyle w:val="Lienhypertexte"/>
              </w:rPr>
              <w:t>- PR-</w:t>
            </w:r>
            <w:r w:rsidR="00126959">
              <w:rPr>
                <w:rStyle w:val="Lienhypertexte"/>
              </w:rPr>
              <w:t xml:space="preserve">  </w:t>
            </w:r>
            <w:r w:rsidR="00126959" w:rsidRPr="00126959">
              <w:rPr>
                <w:rStyle w:val="Lienhypertexte"/>
              </w:rPr>
              <w:t>Président</w:t>
            </w:r>
            <w:r w:rsidR="00126959">
              <w:rPr>
                <w:webHidden/>
              </w:rPr>
              <w:tab/>
            </w:r>
            <w:r w:rsidR="00126959">
              <w:rPr>
                <w:webHidden/>
              </w:rPr>
              <w:fldChar w:fldCharType="begin"/>
            </w:r>
            <w:r w:rsidR="00126959">
              <w:rPr>
                <w:webHidden/>
              </w:rPr>
              <w:instrText xml:space="preserve"> PAGEREF _Toc88668356 \h </w:instrText>
            </w:r>
            <w:r w:rsidR="00126959">
              <w:rPr>
                <w:webHidden/>
              </w:rPr>
            </w:r>
            <w:r w:rsidR="00126959">
              <w:rPr>
                <w:webHidden/>
              </w:rPr>
              <w:fldChar w:fldCharType="separate"/>
            </w:r>
            <w:r w:rsidR="00126959">
              <w:rPr>
                <w:webHidden/>
              </w:rPr>
              <w:t>2</w:t>
            </w:r>
            <w:r w:rsidR="00126959">
              <w:rPr>
                <w:webHidden/>
              </w:rPr>
              <w:fldChar w:fldCharType="end"/>
            </w:r>
          </w:hyperlink>
        </w:p>
        <w:p w14:paraId="5B9F236D" w14:textId="560237F6" w:rsidR="00126959" w:rsidRDefault="00126959">
          <w:pPr>
            <w:pStyle w:val="TM2"/>
            <w:rPr>
              <w:rFonts w:cstheme="minorBidi"/>
              <w:noProof/>
            </w:rPr>
          </w:pPr>
          <w:hyperlink w:anchor="_Toc88668357" w:history="1">
            <w:r w:rsidRPr="0088231F">
              <w:rPr>
                <w:rStyle w:val="Lienhypertexte"/>
                <w:noProof/>
              </w:rPr>
              <w:t>Subvention pour la construction d’un abri de survie à Manihi</w:t>
            </w:r>
            <w:r>
              <w:rPr>
                <w:noProof/>
                <w:webHidden/>
              </w:rPr>
              <w:tab/>
            </w:r>
            <w:r>
              <w:rPr>
                <w:noProof/>
                <w:webHidden/>
              </w:rPr>
              <w:fldChar w:fldCharType="begin"/>
            </w:r>
            <w:r>
              <w:rPr>
                <w:noProof/>
                <w:webHidden/>
              </w:rPr>
              <w:instrText xml:space="preserve"> PAGEREF _Toc88668357 \h </w:instrText>
            </w:r>
            <w:r>
              <w:rPr>
                <w:noProof/>
                <w:webHidden/>
              </w:rPr>
            </w:r>
            <w:r>
              <w:rPr>
                <w:noProof/>
                <w:webHidden/>
              </w:rPr>
              <w:fldChar w:fldCharType="separate"/>
            </w:r>
            <w:r>
              <w:rPr>
                <w:noProof/>
                <w:webHidden/>
              </w:rPr>
              <w:t>2</w:t>
            </w:r>
            <w:r>
              <w:rPr>
                <w:noProof/>
                <w:webHidden/>
              </w:rPr>
              <w:fldChar w:fldCharType="end"/>
            </w:r>
          </w:hyperlink>
        </w:p>
        <w:p w14:paraId="031EE996" w14:textId="2D8DD400" w:rsidR="00126959" w:rsidRDefault="00126959">
          <w:pPr>
            <w:pStyle w:val="TM1"/>
            <w:rPr>
              <w:rFonts w:asciiTheme="minorHAnsi" w:hAnsiTheme="minorHAnsi" w:cstheme="minorBidi"/>
              <w:b w:val="0"/>
              <w:bCs w:val="0"/>
            </w:rPr>
          </w:pPr>
          <w:hyperlink w:anchor="_Toc88668358" w:history="1">
            <w:r w:rsidRPr="0088231F">
              <w:rPr>
                <w:rStyle w:val="Lienhypertexte"/>
              </w:rPr>
              <w:t>- MEF-</w:t>
            </w:r>
            <w:r>
              <w:rPr>
                <w:rStyle w:val="Lienhypertexte"/>
              </w:rPr>
              <w:t xml:space="preserve"> </w:t>
            </w:r>
            <w:r w:rsidRPr="00126959">
              <w:rPr>
                <w:rStyle w:val="Lienhypertexte"/>
              </w:rPr>
              <w:t>Ministre des Finances, de l’économie et du tourisme</w:t>
            </w:r>
            <w:r>
              <w:rPr>
                <w:webHidden/>
              </w:rPr>
              <w:tab/>
            </w:r>
            <w:r>
              <w:rPr>
                <w:webHidden/>
              </w:rPr>
              <w:fldChar w:fldCharType="begin"/>
            </w:r>
            <w:r>
              <w:rPr>
                <w:webHidden/>
              </w:rPr>
              <w:instrText xml:space="preserve"> PAGEREF _Toc88668358 \h </w:instrText>
            </w:r>
            <w:r>
              <w:rPr>
                <w:webHidden/>
              </w:rPr>
            </w:r>
            <w:r>
              <w:rPr>
                <w:webHidden/>
              </w:rPr>
              <w:fldChar w:fldCharType="separate"/>
            </w:r>
            <w:r>
              <w:rPr>
                <w:webHidden/>
              </w:rPr>
              <w:t>2</w:t>
            </w:r>
            <w:r>
              <w:rPr>
                <w:webHidden/>
              </w:rPr>
              <w:fldChar w:fldCharType="end"/>
            </w:r>
          </w:hyperlink>
        </w:p>
        <w:p w14:paraId="53F3E2ED" w14:textId="1C6D774C" w:rsidR="00126959" w:rsidRDefault="00126959">
          <w:pPr>
            <w:pStyle w:val="TM2"/>
            <w:rPr>
              <w:rFonts w:cstheme="minorBidi"/>
              <w:noProof/>
            </w:rPr>
          </w:pPr>
          <w:hyperlink w:anchor="_Toc88668359" w:history="1">
            <w:r w:rsidRPr="0088231F">
              <w:rPr>
                <w:rStyle w:val="Lienhypertexte"/>
                <w:noProof/>
              </w:rPr>
              <w:t>Bilan du dispositif Titeti ‘Ai’a – Avril à octobre 2021</w:t>
            </w:r>
            <w:r>
              <w:rPr>
                <w:noProof/>
                <w:webHidden/>
              </w:rPr>
              <w:tab/>
            </w:r>
            <w:r>
              <w:rPr>
                <w:noProof/>
                <w:webHidden/>
              </w:rPr>
              <w:fldChar w:fldCharType="begin"/>
            </w:r>
            <w:r>
              <w:rPr>
                <w:noProof/>
                <w:webHidden/>
              </w:rPr>
              <w:instrText xml:space="preserve"> PAGEREF _Toc88668359 \h </w:instrText>
            </w:r>
            <w:r>
              <w:rPr>
                <w:noProof/>
                <w:webHidden/>
              </w:rPr>
            </w:r>
            <w:r>
              <w:rPr>
                <w:noProof/>
                <w:webHidden/>
              </w:rPr>
              <w:fldChar w:fldCharType="separate"/>
            </w:r>
            <w:r>
              <w:rPr>
                <w:noProof/>
                <w:webHidden/>
              </w:rPr>
              <w:t>2</w:t>
            </w:r>
            <w:r>
              <w:rPr>
                <w:noProof/>
                <w:webHidden/>
              </w:rPr>
              <w:fldChar w:fldCharType="end"/>
            </w:r>
          </w:hyperlink>
        </w:p>
        <w:p w14:paraId="4E558A39" w14:textId="32BF0495" w:rsidR="00126959" w:rsidRDefault="00126959">
          <w:pPr>
            <w:pStyle w:val="TM2"/>
            <w:rPr>
              <w:rFonts w:cstheme="minorBidi"/>
              <w:noProof/>
            </w:rPr>
          </w:pPr>
          <w:hyperlink w:anchor="_Toc88668360" w:history="1">
            <w:r w:rsidRPr="0088231F">
              <w:rPr>
                <w:rStyle w:val="Lienhypertexte"/>
                <w:noProof/>
              </w:rPr>
              <w:t>Subvention Air Tahiti Nui</w:t>
            </w:r>
            <w:r>
              <w:rPr>
                <w:noProof/>
                <w:webHidden/>
              </w:rPr>
              <w:tab/>
            </w:r>
            <w:r>
              <w:rPr>
                <w:noProof/>
                <w:webHidden/>
              </w:rPr>
              <w:fldChar w:fldCharType="begin"/>
            </w:r>
            <w:r>
              <w:rPr>
                <w:noProof/>
                <w:webHidden/>
              </w:rPr>
              <w:instrText xml:space="preserve"> PAGEREF _Toc88668360 \h </w:instrText>
            </w:r>
            <w:r>
              <w:rPr>
                <w:noProof/>
                <w:webHidden/>
              </w:rPr>
            </w:r>
            <w:r>
              <w:rPr>
                <w:noProof/>
                <w:webHidden/>
              </w:rPr>
              <w:fldChar w:fldCharType="separate"/>
            </w:r>
            <w:r>
              <w:rPr>
                <w:noProof/>
                <w:webHidden/>
              </w:rPr>
              <w:t>3</w:t>
            </w:r>
            <w:r>
              <w:rPr>
                <w:noProof/>
                <w:webHidden/>
              </w:rPr>
              <w:fldChar w:fldCharType="end"/>
            </w:r>
          </w:hyperlink>
        </w:p>
        <w:p w14:paraId="42A47B4F" w14:textId="75433D7A" w:rsidR="00126959" w:rsidRDefault="00126959">
          <w:pPr>
            <w:pStyle w:val="TM2"/>
            <w:rPr>
              <w:rFonts w:cstheme="minorBidi"/>
              <w:noProof/>
            </w:rPr>
          </w:pPr>
          <w:hyperlink w:anchor="_Toc88668361" w:history="1">
            <w:r w:rsidRPr="0088231F">
              <w:rPr>
                <w:rStyle w:val="Lienhypertexte"/>
                <w:noProof/>
              </w:rPr>
              <w:t>Modification du programme IATA United Airlines</w:t>
            </w:r>
            <w:r>
              <w:rPr>
                <w:noProof/>
                <w:webHidden/>
              </w:rPr>
              <w:tab/>
            </w:r>
            <w:r>
              <w:rPr>
                <w:noProof/>
                <w:webHidden/>
              </w:rPr>
              <w:fldChar w:fldCharType="begin"/>
            </w:r>
            <w:r>
              <w:rPr>
                <w:noProof/>
                <w:webHidden/>
              </w:rPr>
              <w:instrText xml:space="preserve"> PAGEREF _Toc88668361 \h </w:instrText>
            </w:r>
            <w:r>
              <w:rPr>
                <w:noProof/>
                <w:webHidden/>
              </w:rPr>
            </w:r>
            <w:r>
              <w:rPr>
                <w:noProof/>
                <w:webHidden/>
              </w:rPr>
              <w:fldChar w:fldCharType="separate"/>
            </w:r>
            <w:r>
              <w:rPr>
                <w:noProof/>
                <w:webHidden/>
              </w:rPr>
              <w:t>4</w:t>
            </w:r>
            <w:r>
              <w:rPr>
                <w:noProof/>
                <w:webHidden/>
              </w:rPr>
              <w:fldChar w:fldCharType="end"/>
            </w:r>
          </w:hyperlink>
        </w:p>
        <w:p w14:paraId="3B1B4DEE" w14:textId="5D9BBDBA" w:rsidR="00126959" w:rsidRDefault="00126959">
          <w:pPr>
            <w:pStyle w:val="TM2"/>
            <w:rPr>
              <w:rFonts w:cstheme="minorBidi"/>
              <w:noProof/>
            </w:rPr>
          </w:pPr>
          <w:hyperlink w:anchor="_Toc88668362" w:history="1">
            <w:r w:rsidRPr="0088231F">
              <w:rPr>
                <w:rStyle w:val="Lienhypertexte"/>
                <w:noProof/>
              </w:rPr>
              <w:t>L’indice générale des prix à la consommation (IPC) recule de 0,1%</w:t>
            </w:r>
            <w:r>
              <w:rPr>
                <w:noProof/>
                <w:webHidden/>
              </w:rPr>
              <w:tab/>
            </w:r>
            <w:r>
              <w:rPr>
                <w:noProof/>
                <w:webHidden/>
              </w:rPr>
              <w:fldChar w:fldCharType="begin"/>
            </w:r>
            <w:r>
              <w:rPr>
                <w:noProof/>
                <w:webHidden/>
              </w:rPr>
              <w:instrText xml:space="preserve"> PAGEREF _Toc88668362 \h </w:instrText>
            </w:r>
            <w:r>
              <w:rPr>
                <w:noProof/>
                <w:webHidden/>
              </w:rPr>
            </w:r>
            <w:r>
              <w:rPr>
                <w:noProof/>
                <w:webHidden/>
              </w:rPr>
              <w:fldChar w:fldCharType="separate"/>
            </w:r>
            <w:r>
              <w:rPr>
                <w:noProof/>
                <w:webHidden/>
              </w:rPr>
              <w:t>4</w:t>
            </w:r>
            <w:r>
              <w:rPr>
                <w:noProof/>
                <w:webHidden/>
              </w:rPr>
              <w:fldChar w:fldCharType="end"/>
            </w:r>
          </w:hyperlink>
        </w:p>
        <w:p w14:paraId="21898133" w14:textId="42BB5610" w:rsidR="00126959" w:rsidRDefault="00126959">
          <w:pPr>
            <w:pStyle w:val="TM1"/>
            <w:rPr>
              <w:rFonts w:asciiTheme="minorHAnsi" w:hAnsiTheme="minorHAnsi" w:cstheme="minorBidi"/>
              <w:b w:val="0"/>
              <w:bCs w:val="0"/>
            </w:rPr>
          </w:pPr>
          <w:hyperlink w:anchor="_Toc88668363" w:history="1">
            <w:r w:rsidRPr="0088231F">
              <w:rPr>
                <w:rStyle w:val="Lienhypertexte"/>
              </w:rPr>
              <w:t>- MED-</w:t>
            </w:r>
            <w:r>
              <w:rPr>
                <w:rStyle w:val="Lienhypertexte"/>
              </w:rPr>
              <w:t xml:space="preserve"> </w:t>
            </w:r>
            <w:r w:rsidRPr="00126959">
              <w:rPr>
                <w:rStyle w:val="Lienhypertexte"/>
              </w:rPr>
              <w:t>Ministre de l’Agriculture, de l’économie bleue et du domaine</w:t>
            </w:r>
            <w:r>
              <w:rPr>
                <w:rStyle w:val="Lienhypertexte"/>
              </w:rPr>
              <w:t xml:space="preserve"> </w:t>
            </w:r>
            <w:r>
              <w:rPr>
                <w:webHidden/>
              </w:rPr>
              <w:tab/>
            </w:r>
            <w:r>
              <w:rPr>
                <w:webHidden/>
              </w:rPr>
              <w:fldChar w:fldCharType="begin"/>
            </w:r>
            <w:r>
              <w:rPr>
                <w:webHidden/>
              </w:rPr>
              <w:instrText xml:space="preserve"> PAGEREF _Toc88668363 \h </w:instrText>
            </w:r>
            <w:r>
              <w:rPr>
                <w:webHidden/>
              </w:rPr>
            </w:r>
            <w:r>
              <w:rPr>
                <w:webHidden/>
              </w:rPr>
              <w:fldChar w:fldCharType="separate"/>
            </w:r>
            <w:r>
              <w:rPr>
                <w:webHidden/>
              </w:rPr>
              <w:t>5</w:t>
            </w:r>
            <w:r>
              <w:rPr>
                <w:webHidden/>
              </w:rPr>
              <w:fldChar w:fldCharType="end"/>
            </w:r>
          </w:hyperlink>
        </w:p>
        <w:p w14:paraId="332E3DEC" w14:textId="58AC05B9" w:rsidR="00126959" w:rsidRDefault="00126959">
          <w:pPr>
            <w:pStyle w:val="TM2"/>
            <w:rPr>
              <w:rFonts w:cstheme="minorBidi"/>
              <w:noProof/>
            </w:rPr>
          </w:pPr>
          <w:hyperlink w:anchor="_Toc88668364" w:history="1">
            <w:r w:rsidRPr="0088231F">
              <w:rPr>
                <w:rStyle w:val="Lienhypertexte"/>
                <w:noProof/>
              </w:rPr>
              <w:t>Projet polynésien de l’enseignement agricole 2021-2025</w:t>
            </w:r>
            <w:r>
              <w:rPr>
                <w:noProof/>
                <w:webHidden/>
              </w:rPr>
              <w:tab/>
            </w:r>
            <w:r>
              <w:rPr>
                <w:noProof/>
                <w:webHidden/>
              </w:rPr>
              <w:fldChar w:fldCharType="begin"/>
            </w:r>
            <w:r>
              <w:rPr>
                <w:noProof/>
                <w:webHidden/>
              </w:rPr>
              <w:instrText xml:space="preserve"> PAGEREF _Toc88668364 \h </w:instrText>
            </w:r>
            <w:r>
              <w:rPr>
                <w:noProof/>
                <w:webHidden/>
              </w:rPr>
            </w:r>
            <w:r>
              <w:rPr>
                <w:noProof/>
                <w:webHidden/>
              </w:rPr>
              <w:fldChar w:fldCharType="separate"/>
            </w:r>
            <w:r>
              <w:rPr>
                <w:noProof/>
                <w:webHidden/>
              </w:rPr>
              <w:t>5</w:t>
            </w:r>
            <w:r>
              <w:rPr>
                <w:noProof/>
                <w:webHidden/>
              </w:rPr>
              <w:fldChar w:fldCharType="end"/>
            </w:r>
          </w:hyperlink>
        </w:p>
        <w:p w14:paraId="100A49A6" w14:textId="0A0147A3" w:rsidR="00126959" w:rsidRDefault="00126959">
          <w:pPr>
            <w:pStyle w:val="TM2"/>
            <w:rPr>
              <w:rFonts w:cstheme="minorBidi"/>
              <w:noProof/>
            </w:rPr>
          </w:pPr>
          <w:hyperlink w:anchor="_Toc88668365" w:history="1">
            <w:r w:rsidRPr="0088231F">
              <w:rPr>
                <w:rStyle w:val="Lienhypertexte"/>
                <w:noProof/>
              </w:rPr>
              <w:t>Aide temporaire au soutien de la filière porcine</w:t>
            </w:r>
            <w:r>
              <w:rPr>
                <w:noProof/>
                <w:webHidden/>
              </w:rPr>
              <w:tab/>
            </w:r>
            <w:r>
              <w:rPr>
                <w:noProof/>
                <w:webHidden/>
              </w:rPr>
              <w:fldChar w:fldCharType="begin"/>
            </w:r>
            <w:r>
              <w:rPr>
                <w:noProof/>
                <w:webHidden/>
              </w:rPr>
              <w:instrText xml:space="preserve"> PAGEREF _Toc88668365 \h </w:instrText>
            </w:r>
            <w:r>
              <w:rPr>
                <w:noProof/>
                <w:webHidden/>
              </w:rPr>
            </w:r>
            <w:r>
              <w:rPr>
                <w:noProof/>
                <w:webHidden/>
              </w:rPr>
              <w:fldChar w:fldCharType="separate"/>
            </w:r>
            <w:r>
              <w:rPr>
                <w:noProof/>
                <w:webHidden/>
              </w:rPr>
              <w:t>6</w:t>
            </w:r>
            <w:r>
              <w:rPr>
                <w:noProof/>
                <w:webHidden/>
              </w:rPr>
              <w:fldChar w:fldCharType="end"/>
            </w:r>
          </w:hyperlink>
        </w:p>
        <w:p w14:paraId="75B820A5" w14:textId="78FE4B6C" w:rsidR="00126959" w:rsidRDefault="00126959">
          <w:pPr>
            <w:pStyle w:val="TM1"/>
            <w:rPr>
              <w:rFonts w:asciiTheme="minorHAnsi" w:hAnsiTheme="minorHAnsi" w:cstheme="minorBidi"/>
              <w:b w:val="0"/>
              <w:bCs w:val="0"/>
            </w:rPr>
          </w:pPr>
          <w:hyperlink w:anchor="_Toc88668366" w:history="1">
            <w:r w:rsidRPr="0088231F">
              <w:rPr>
                <w:rStyle w:val="Lienhypertexte"/>
              </w:rPr>
              <w:t>- MCE -</w:t>
            </w:r>
            <w:r>
              <w:rPr>
                <w:rStyle w:val="Lienhypertexte"/>
              </w:rPr>
              <w:t xml:space="preserve"> M</w:t>
            </w:r>
            <w:r w:rsidRPr="00126959">
              <w:rPr>
                <w:rStyle w:val="Lienhypertexte"/>
              </w:rPr>
              <w:t>inistre de la Culture et de l’environnement</w:t>
            </w:r>
            <w:r>
              <w:rPr>
                <w:rStyle w:val="Lienhypertexte"/>
              </w:rPr>
              <w:t xml:space="preserve"> </w:t>
            </w:r>
            <w:r>
              <w:rPr>
                <w:webHidden/>
              </w:rPr>
              <w:tab/>
            </w:r>
            <w:r>
              <w:rPr>
                <w:webHidden/>
              </w:rPr>
              <w:fldChar w:fldCharType="begin"/>
            </w:r>
            <w:r>
              <w:rPr>
                <w:webHidden/>
              </w:rPr>
              <w:instrText xml:space="preserve"> PAGEREF _Toc88668366 \h </w:instrText>
            </w:r>
            <w:r>
              <w:rPr>
                <w:webHidden/>
              </w:rPr>
            </w:r>
            <w:r>
              <w:rPr>
                <w:webHidden/>
              </w:rPr>
              <w:fldChar w:fldCharType="separate"/>
            </w:r>
            <w:r>
              <w:rPr>
                <w:webHidden/>
              </w:rPr>
              <w:t>6</w:t>
            </w:r>
            <w:r>
              <w:rPr>
                <w:webHidden/>
              </w:rPr>
              <w:fldChar w:fldCharType="end"/>
            </w:r>
          </w:hyperlink>
        </w:p>
        <w:p w14:paraId="33C954C0" w14:textId="6B6566EB" w:rsidR="00126959" w:rsidRDefault="00126959">
          <w:pPr>
            <w:pStyle w:val="TM2"/>
            <w:rPr>
              <w:rFonts w:cstheme="minorBidi"/>
              <w:noProof/>
            </w:rPr>
          </w:pPr>
          <w:hyperlink w:anchor="_Toc88668367" w:history="1">
            <w:r w:rsidRPr="0088231F">
              <w:rPr>
                <w:rStyle w:val="Lienhypertexte"/>
                <w:noProof/>
              </w:rPr>
              <w:t>Salon de noël « Te Noera »</w:t>
            </w:r>
            <w:r>
              <w:rPr>
                <w:noProof/>
                <w:webHidden/>
              </w:rPr>
              <w:tab/>
            </w:r>
            <w:r>
              <w:rPr>
                <w:noProof/>
                <w:webHidden/>
              </w:rPr>
              <w:fldChar w:fldCharType="begin"/>
            </w:r>
            <w:r>
              <w:rPr>
                <w:noProof/>
                <w:webHidden/>
              </w:rPr>
              <w:instrText xml:space="preserve"> PAGEREF _Toc88668367 \h </w:instrText>
            </w:r>
            <w:r>
              <w:rPr>
                <w:noProof/>
                <w:webHidden/>
              </w:rPr>
            </w:r>
            <w:r>
              <w:rPr>
                <w:noProof/>
                <w:webHidden/>
              </w:rPr>
              <w:fldChar w:fldCharType="separate"/>
            </w:r>
            <w:r>
              <w:rPr>
                <w:noProof/>
                <w:webHidden/>
              </w:rPr>
              <w:t>6</w:t>
            </w:r>
            <w:r>
              <w:rPr>
                <w:noProof/>
                <w:webHidden/>
              </w:rPr>
              <w:fldChar w:fldCharType="end"/>
            </w:r>
          </w:hyperlink>
        </w:p>
        <w:p w14:paraId="4DC51880" w14:textId="1DF3F82B" w:rsidR="00126959" w:rsidRDefault="00126959">
          <w:pPr>
            <w:pStyle w:val="TM1"/>
            <w:rPr>
              <w:rFonts w:asciiTheme="minorHAnsi" w:hAnsiTheme="minorHAnsi" w:cstheme="minorBidi"/>
              <w:b w:val="0"/>
              <w:bCs w:val="0"/>
            </w:rPr>
          </w:pPr>
          <w:hyperlink w:anchor="_Toc88668368" w:history="1">
            <w:r w:rsidRPr="0088231F">
              <w:rPr>
                <w:rStyle w:val="Lienhypertexte"/>
              </w:rPr>
              <w:t>- MEA-</w:t>
            </w:r>
            <w:r>
              <w:rPr>
                <w:rStyle w:val="Lienhypertexte"/>
              </w:rPr>
              <w:t xml:space="preserve"> </w:t>
            </w:r>
            <w:r w:rsidRPr="00126959">
              <w:rPr>
                <w:rStyle w:val="Lienhypertexte"/>
              </w:rPr>
              <w:t>Ministre de l’Education, du travail et de la modernisation de l’administration</w:t>
            </w:r>
            <w:r>
              <w:rPr>
                <w:rStyle w:val="Lienhypertexte"/>
              </w:rPr>
              <w:t xml:space="preserve"> </w:t>
            </w:r>
            <w:r>
              <w:rPr>
                <w:webHidden/>
              </w:rPr>
              <w:tab/>
            </w:r>
            <w:r>
              <w:rPr>
                <w:webHidden/>
              </w:rPr>
              <w:fldChar w:fldCharType="begin"/>
            </w:r>
            <w:r>
              <w:rPr>
                <w:webHidden/>
              </w:rPr>
              <w:instrText xml:space="preserve"> PAGEREF _Toc88668368 \h </w:instrText>
            </w:r>
            <w:r>
              <w:rPr>
                <w:webHidden/>
              </w:rPr>
            </w:r>
            <w:r>
              <w:rPr>
                <w:webHidden/>
              </w:rPr>
              <w:fldChar w:fldCharType="separate"/>
            </w:r>
            <w:r>
              <w:rPr>
                <w:webHidden/>
              </w:rPr>
              <w:t>7</w:t>
            </w:r>
            <w:r>
              <w:rPr>
                <w:webHidden/>
              </w:rPr>
              <w:fldChar w:fldCharType="end"/>
            </w:r>
          </w:hyperlink>
        </w:p>
        <w:p w14:paraId="1D49BCAC" w14:textId="799AB1B8" w:rsidR="00126959" w:rsidRDefault="00126959">
          <w:pPr>
            <w:pStyle w:val="TM2"/>
            <w:rPr>
              <w:rFonts w:cstheme="minorBidi"/>
              <w:noProof/>
            </w:rPr>
          </w:pPr>
          <w:hyperlink w:anchor="_Toc88668369" w:history="1">
            <w:r w:rsidRPr="0088231F">
              <w:rPr>
                <w:rStyle w:val="Lienhypertexte"/>
                <w:rFonts w:eastAsia="Times New Roman"/>
                <w:noProof/>
              </w:rPr>
              <w:t>Convention cadre : Le passeport mobilité formation professionnelle reconduit pour 3 ans</w:t>
            </w:r>
            <w:r>
              <w:rPr>
                <w:noProof/>
                <w:webHidden/>
              </w:rPr>
              <w:tab/>
            </w:r>
            <w:r>
              <w:rPr>
                <w:noProof/>
                <w:webHidden/>
              </w:rPr>
              <w:fldChar w:fldCharType="begin"/>
            </w:r>
            <w:r>
              <w:rPr>
                <w:noProof/>
                <w:webHidden/>
              </w:rPr>
              <w:instrText xml:space="preserve"> PAGEREF _Toc88668369 \h </w:instrText>
            </w:r>
            <w:r>
              <w:rPr>
                <w:noProof/>
                <w:webHidden/>
              </w:rPr>
            </w:r>
            <w:r>
              <w:rPr>
                <w:noProof/>
                <w:webHidden/>
              </w:rPr>
              <w:fldChar w:fldCharType="separate"/>
            </w:r>
            <w:r>
              <w:rPr>
                <w:noProof/>
                <w:webHidden/>
              </w:rPr>
              <w:t>7</w:t>
            </w:r>
            <w:r>
              <w:rPr>
                <w:noProof/>
                <w:webHidden/>
              </w:rPr>
              <w:fldChar w:fldCharType="end"/>
            </w:r>
          </w:hyperlink>
        </w:p>
        <w:p w14:paraId="30D7C19E" w14:textId="77F1B2EA" w:rsidR="00126959" w:rsidRDefault="00126959">
          <w:pPr>
            <w:pStyle w:val="TM1"/>
            <w:rPr>
              <w:rFonts w:asciiTheme="minorHAnsi" w:hAnsiTheme="minorHAnsi" w:cstheme="minorBidi"/>
              <w:b w:val="0"/>
              <w:bCs w:val="0"/>
            </w:rPr>
          </w:pPr>
          <w:hyperlink w:anchor="_Toc88668370" w:history="1">
            <w:r w:rsidRPr="0088231F">
              <w:rPr>
                <w:rStyle w:val="Lienhypertexte"/>
              </w:rPr>
              <w:t>- MFA-</w:t>
            </w:r>
            <w:r>
              <w:rPr>
                <w:rStyle w:val="Lienhypertexte"/>
              </w:rPr>
              <w:t xml:space="preserve"> M</w:t>
            </w:r>
            <w:r w:rsidRPr="00126959">
              <w:rPr>
                <w:rStyle w:val="Lienhypertexte"/>
              </w:rPr>
              <w:t>inistre de la Famille et des affaires sociales</w:t>
            </w:r>
            <w:r>
              <w:rPr>
                <w:webHidden/>
              </w:rPr>
              <w:tab/>
            </w:r>
            <w:r>
              <w:rPr>
                <w:webHidden/>
              </w:rPr>
              <w:fldChar w:fldCharType="begin"/>
            </w:r>
            <w:r>
              <w:rPr>
                <w:webHidden/>
              </w:rPr>
              <w:instrText xml:space="preserve"> PAGEREF _Toc88668370 \h </w:instrText>
            </w:r>
            <w:r>
              <w:rPr>
                <w:webHidden/>
              </w:rPr>
            </w:r>
            <w:r>
              <w:rPr>
                <w:webHidden/>
              </w:rPr>
              <w:fldChar w:fldCharType="separate"/>
            </w:r>
            <w:r>
              <w:rPr>
                <w:webHidden/>
              </w:rPr>
              <w:t>8</w:t>
            </w:r>
            <w:r>
              <w:rPr>
                <w:webHidden/>
              </w:rPr>
              <w:fldChar w:fldCharType="end"/>
            </w:r>
          </w:hyperlink>
        </w:p>
        <w:p w14:paraId="602B878A" w14:textId="6CB5AB78" w:rsidR="00126959" w:rsidRDefault="00126959">
          <w:pPr>
            <w:pStyle w:val="TM2"/>
            <w:rPr>
              <w:rFonts w:cstheme="minorBidi"/>
              <w:noProof/>
            </w:rPr>
          </w:pPr>
          <w:hyperlink w:anchor="_Toc88668371" w:history="1">
            <w:r w:rsidRPr="0088231F">
              <w:rPr>
                <w:rStyle w:val="Lienhypertexte"/>
                <w:rFonts w:eastAsia="Times New Roman"/>
                <w:noProof/>
              </w:rPr>
              <w:t>Opération « Une journée pour soi » initiée dans le cadre de la Journée de lutte contre les violences faites aux femmes</w:t>
            </w:r>
            <w:r>
              <w:rPr>
                <w:noProof/>
                <w:webHidden/>
              </w:rPr>
              <w:tab/>
            </w:r>
            <w:r>
              <w:rPr>
                <w:noProof/>
                <w:webHidden/>
              </w:rPr>
              <w:fldChar w:fldCharType="begin"/>
            </w:r>
            <w:r>
              <w:rPr>
                <w:noProof/>
                <w:webHidden/>
              </w:rPr>
              <w:instrText xml:space="preserve"> PAGEREF _Toc88668371 \h </w:instrText>
            </w:r>
            <w:r>
              <w:rPr>
                <w:noProof/>
                <w:webHidden/>
              </w:rPr>
            </w:r>
            <w:r>
              <w:rPr>
                <w:noProof/>
                <w:webHidden/>
              </w:rPr>
              <w:fldChar w:fldCharType="separate"/>
            </w:r>
            <w:r>
              <w:rPr>
                <w:noProof/>
                <w:webHidden/>
              </w:rPr>
              <w:t>8</w:t>
            </w:r>
            <w:r>
              <w:rPr>
                <w:noProof/>
                <w:webHidden/>
              </w:rPr>
              <w:fldChar w:fldCharType="end"/>
            </w:r>
          </w:hyperlink>
        </w:p>
        <w:p w14:paraId="1B6A2F8C" w14:textId="00FB9B5E" w:rsidR="008560D1" w:rsidRPr="001E591D" w:rsidRDefault="0065694E" w:rsidP="001E591D">
          <w:pPr>
            <w:spacing w:line="276" w:lineRule="auto"/>
          </w:pPr>
          <w:r w:rsidRPr="00C53E63">
            <w:rPr>
              <w:rFonts w:ascii="Cambria" w:hAnsi="Cambria"/>
              <w:b/>
              <w:bCs/>
              <w:sz w:val="22"/>
              <w:szCs w:val="22"/>
            </w:rPr>
            <w:fldChar w:fldCharType="end"/>
          </w:r>
        </w:p>
      </w:sdtContent>
    </w:sdt>
    <w:bookmarkStart w:id="0" w:name="_Hlk61440491" w:displacedByCustomXml="prev"/>
    <w:bookmarkEnd w:id="0"/>
    <w:p w14:paraId="68280776" w14:textId="2EBE313D" w:rsidR="00854E57" w:rsidRPr="008D68E2" w:rsidRDefault="00936C76" w:rsidP="008D68E2">
      <w:pPr>
        <w:spacing w:after="160" w:line="259" w:lineRule="auto"/>
      </w:pPr>
      <w:r>
        <w:br w:type="page"/>
      </w:r>
    </w:p>
    <w:p w14:paraId="4084B57C" w14:textId="55D7C832" w:rsidR="00F532C7" w:rsidRDefault="00F532C7" w:rsidP="00F532C7">
      <w:pPr>
        <w:pStyle w:val="Titre1"/>
      </w:pPr>
      <w:bookmarkStart w:id="1" w:name="_Toc88668356"/>
      <w:r w:rsidRPr="00F532C7">
        <w:lastRenderedPageBreak/>
        <w:t xml:space="preserve">- </w:t>
      </w:r>
      <w:r w:rsidR="00380DE7">
        <w:t>PR</w:t>
      </w:r>
      <w:r>
        <w:t>-</w:t>
      </w:r>
      <w:bookmarkEnd w:id="1"/>
    </w:p>
    <w:p w14:paraId="52280971" w14:textId="64FF27BD" w:rsidR="00380DE7" w:rsidRDefault="00380DE7" w:rsidP="00380DE7"/>
    <w:p w14:paraId="5D587D2B" w14:textId="5A250551" w:rsidR="00380DE7" w:rsidRDefault="0083539D" w:rsidP="00380DE7">
      <w:pPr>
        <w:pStyle w:val="Titre2"/>
        <w:rPr>
          <w:rStyle w:val="lev"/>
          <w:b/>
          <w:bCs w:val="0"/>
        </w:rPr>
      </w:pPr>
      <w:bookmarkStart w:id="2" w:name="_Hlk88550294"/>
      <w:bookmarkStart w:id="3" w:name="_Toc88668357"/>
      <w:r>
        <w:rPr>
          <w:rStyle w:val="lev"/>
          <w:b/>
          <w:bCs w:val="0"/>
        </w:rPr>
        <w:t>Subvention pour la construction d’un abri de survie à Manihi</w:t>
      </w:r>
      <w:bookmarkEnd w:id="3"/>
    </w:p>
    <w:p w14:paraId="2DBA04D3" w14:textId="3607211A" w:rsidR="00380DE7" w:rsidRDefault="00380DE7" w:rsidP="00380DE7"/>
    <w:p w14:paraId="0C37E7B5" w14:textId="39E3E5BF" w:rsidR="00FF1C65" w:rsidRDefault="00FF1C65" w:rsidP="00FF1C65">
      <w:pPr>
        <w:jc w:val="both"/>
        <w:rPr>
          <w:rFonts w:ascii="Cambria" w:hAnsi="Cambria" w:cs="Arial"/>
        </w:rPr>
      </w:pPr>
      <w:r w:rsidRPr="00FF1C65">
        <w:rPr>
          <w:rFonts w:ascii="Cambria" w:hAnsi="Cambria" w:cs="Arial"/>
        </w:rPr>
        <w:t xml:space="preserve">Le </w:t>
      </w:r>
      <w:r w:rsidR="00AA6F62">
        <w:rPr>
          <w:rFonts w:ascii="Cambria" w:hAnsi="Cambria" w:cs="Arial"/>
        </w:rPr>
        <w:t>C</w:t>
      </w:r>
      <w:r w:rsidRPr="00FF1C65">
        <w:rPr>
          <w:rFonts w:ascii="Cambria" w:hAnsi="Cambria" w:cs="Arial"/>
        </w:rPr>
        <w:t>onseil des ministres a adopté un octroi de financement d’opération communale dans le cadre de la convention relative à des bâtiments publics pouvant servir d’abri de survie dans l’archipel des îles Tuamotu en cas de survenance d’un événement météorologique majeur, en partenariat avec l’Etat.</w:t>
      </w:r>
    </w:p>
    <w:p w14:paraId="49F1E5FE" w14:textId="77777777" w:rsidR="00FF1C65" w:rsidRPr="00FF1C65" w:rsidRDefault="00FF1C65" w:rsidP="00FF1C65">
      <w:pPr>
        <w:jc w:val="both"/>
        <w:rPr>
          <w:rFonts w:ascii="Cambria" w:hAnsi="Cambria" w:cs="Arial"/>
        </w:rPr>
      </w:pPr>
    </w:p>
    <w:p w14:paraId="57C0C6B2" w14:textId="21479FD7" w:rsidR="00FF1C65" w:rsidRDefault="00FF1C65" w:rsidP="00FF1C65">
      <w:pPr>
        <w:jc w:val="both"/>
        <w:rPr>
          <w:rFonts w:ascii="Cambria" w:hAnsi="Cambria" w:cs="Arial"/>
        </w:rPr>
      </w:pPr>
      <w:r w:rsidRPr="00FF1C65">
        <w:rPr>
          <w:rFonts w:ascii="Cambria" w:hAnsi="Cambria" w:cs="Arial"/>
        </w:rPr>
        <w:t>La commune de Manihi se voit ainsi attribuer une subvention d’investissement pour la reconstruction de son école primaire. Le programme consiste en l’aménagement de l’école comprenant 5 classes, les locaux administratifs, les sanitaires, ainsi que les locaux destinés à l’abri de survie. La participation du Pays est de 47,5% pour cette opération, à part égale avec l’Etat. Son montant s’élève à 210 millions de F</w:t>
      </w:r>
      <w:r>
        <w:rPr>
          <w:rFonts w:ascii="Cambria" w:hAnsi="Cambria" w:cs="Arial"/>
        </w:rPr>
        <w:t>cfp</w:t>
      </w:r>
      <w:r w:rsidRPr="00FF1C65">
        <w:rPr>
          <w:rFonts w:ascii="Cambria" w:hAnsi="Cambria" w:cs="Arial"/>
        </w:rPr>
        <w:t>. Il s’agit-là des premiers travaux financés par ce dispositif.</w:t>
      </w:r>
    </w:p>
    <w:p w14:paraId="09500FF9" w14:textId="77777777" w:rsidR="00FF1C65" w:rsidRPr="00FF1C65" w:rsidRDefault="00FF1C65" w:rsidP="00FF1C65">
      <w:pPr>
        <w:jc w:val="both"/>
        <w:rPr>
          <w:rFonts w:ascii="Cambria" w:hAnsi="Cambria" w:cs="Arial"/>
        </w:rPr>
      </w:pPr>
    </w:p>
    <w:p w14:paraId="1993807F" w14:textId="77777777" w:rsidR="00FF1C65" w:rsidRPr="00FF1C65" w:rsidRDefault="00FF1C65" w:rsidP="00FF1C65">
      <w:pPr>
        <w:jc w:val="both"/>
        <w:rPr>
          <w:rFonts w:ascii="Cambria" w:hAnsi="Cambria" w:cs="Arial"/>
        </w:rPr>
      </w:pPr>
      <w:r w:rsidRPr="00FF1C65">
        <w:rPr>
          <w:rFonts w:ascii="Cambria" w:hAnsi="Cambria" w:cs="Arial"/>
        </w:rPr>
        <w:t>Par ce soutien, le Pays garantit la bonne mise en œuvre de ce dispositif de partenariat financier Pays-Etat-Communes.</w:t>
      </w:r>
    </w:p>
    <w:bookmarkEnd w:id="2"/>
    <w:p w14:paraId="4A8DAF22" w14:textId="61AB29E1" w:rsidR="00380DE7" w:rsidRDefault="00380DE7" w:rsidP="00380DE7"/>
    <w:p w14:paraId="7E72912C" w14:textId="77777777" w:rsidR="00FA26F2" w:rsidRDefault="00FA26F2" w:rsidP="00380DE7"/>
    <w:p w14:paraId="491BD1D9" w14:textId="48C948D2" w:rsidR="00380DE7" w:rsidRPr="00380DE7" w:rsidRDefault="00380DE7" w:rsidP="00EE0217">
      <w:pPr>
        <w:pStyle w:val="Titre1"/>
      </w:pPr>
      <w:bookmarkStart w:id="4" w:name="_Toc88668358"/>
      <w:r w:rsidRPr="00F532C7">
        <w:t>- M</w:t>
      </w:r>
      <w:r>
        <w:t>EF-</w:t>
      </w:r>
      <w:bookmarkEnd w:id="4"/>
    </w:p>
    <w:p w14:paraId="19C49745" w14:textId="77777777" w:rsidR="00F532C7" w:rsidRPr="00F532C7" w:rsidRDefault="00F532C7" w:rsidP="00F532C7"/>
    <w:p w14:paraId="3E332F36" w14:textId="2FABA8E1" w:rsidR="00F532C7" w:rsidRDefault="00492417" w:rsidP="00F532C7">
      <w:pPr>
        <w:pStyle w:val="Titre2"/>
        <w:rPr>
          <w:rStyle w:val="lev"/>
          <w:b/>
          <w:bCs w:val="0"/>
        </w:rPr>
      </w:pPr>
      <w:bookmarkStart w:id="5" w:name="_Hlk88043263"/>
      <w:bookmarkStart w:id="6" w:name="_Hlk88043438"/>
      <w:bookmarkStart w:id="7" w:name="_Toc88668359"/>
      <w:r>
        <w:rPr>
          <w:rStyle w:val="lev"/>
          <w:b/>
          <w:bCs w:val="0"/>
        </w:rPr>
        <w:t>Bilan du dispositif Titeti ‘Ai’a – Avril à octobre 2021</w:t>
      </w:r>
      <w:bookmarkEnd w:id="7"/>
    </w:p>
    <w:bookmarkEnd w:id="5"/>
    <w:bookmarkEnd w:id="6"/>
    <w:p w14:paraId="73095ECE" w14:textId="77777777" w:rsidR="00F80F49" w:rsidRDefault="00F80F49" w:rsidP="00F80F49">
      <w:pPr>
        <w:jc w:val="both"/>
      </w:pPr>
    </w:p>
    <w:p w14:paraId="797037EA" w14:textId="355384DD" w:rsidR="004F1EFE" w:rsidRDefault="00F80F49" w:rsidP="00F80F49">
      <w:pPr>
        <w:pStyle w:val="NormalWeb"/>
        <w:jc w:val="both"/>
        <w:rPr>
          <w:rFonts w:ascii="Cambria" w:hAnsi="Cambria" w:cs="Arial"/>
        </w:rPr>
      </w:pPr>
      <w:bookmarkStart w:id="8" w:name="_Hlk88550161"/>
      <w:r>
        <w:rPr>
          <w:rFonts w:ascii="Cambria" w:hAnsi="Cambria" w:cs="Arial"/>
        </w:rPr>
        <w:t>En fév</w:t>
      </w:r>
      <w:r w:rsidR="004F1EFE">
        <w:rPr>
          <w:rFonts w:ascii="Cambria" w:hAnsi="Cambria" w:cs="Arial"/>
        </w:rPr>
        <w:t xml:space="preserve">rier </w:t>
      </w:r>
      <w:bookmarkEnd w:id="8"/>
      <w:r w:rsidR="004F1EFE">
        <w:rPr>
          <w:rFonts w:ascii="Cambria" w:hAnsi="Cambria" w:cs="Arial"/>
        </w:rPr>
        <w:t xml:space="preserve">2021 la destination Tahiti Et Ses îles a été coupée du flux de touristes internationaux. Pour stimuler la consommation intérieure et soutenir l’économie polynésienne, des mesures ont été mises en place afin de stimuler le tourisme d’intérieur. C’est dans ce contexte que s’est inscrit la mise en œuvre du dispositif </w:t>
      </w:r>
      <w:r w:rsidR="004F1EFE" w:rsidRPr="004F1EFE">
        <w:rPr>
          <w:rFonts w:ascii="Cambria" w:hAnsi="Cambria" w:cs="Arial"/>
          <w:i/>
          <w:iCs/>
        </w:rPr>
        <w:t>Titeti ‘Ai’a</w:t>
      </w:r>
      <w:r w:rsidR="004F1EFE">
        <w:rPr>
          <w:rFonts w:ascii="Cambria" w:hAnsi="Cambria" w:cs="Arial"/>
        </w:rPr>
        <w:t xml:space="preserve"> dès le mois d’avril 2021. </w:t>
      </w:r>
    </w:p>
    <w:p w14:paraId="71340541" w14:textId="0B38F53D" w:rsidR="004F1EFE" w:rsidRDefault="004F1EFE" w:rsidP="00F80F49">
      <w:pPr>
        <w:pStyle w:val="NormalWeb"/>
        <w:jc w:val="both"/>
        <w:rPr>
          <w:rFonts w:ascii="Cambria" w:hAnsi="Cambria" w:cs="Arial"/>
        </w:rPr>
      </w:pPr>
      <w:r w:rsidRPr="004F1EFE">
        <w:rPr>
          <w:rFonts w:ascii="Cambria" w:hAnsi="Cambria" w:cs="Arial"/>
          <w:i/>
          <w:iCs/>
        </w:rPr>
        <w:t>Titeti ‘Ai’a</w:t>
      </w:r>
      <w:r>
        <w:rPr>
          <w:rFonts w:ascii="Cambria" w:hAnsi="Cambria" w:cs="Arial"/>
          <w:i/>
          <w:iCs/>
        </w:rPr>
        <w:t xml:space="preserve">, </w:t>
      </w:r>
      <w:r w:rsidRPr="004F1EFE">
        <w:rPr>
          <w:rFonts w:ascii="Cambria" w:hAnsi="Cambria" w:cs="Arial"/>
        </w:rPr>
        <w:t>ou</w:t>
      </w:r>
      <w:r>
        <w:rPr>
          <w:rFonts w:ascii="Cambria" w:hAnsi="Cambria" w:cs="Arial"/>
        </w:rPr>
        <w:t xml:space="preserve"> « coupons voyages », permet d’accroitre le pouvoir d’achat des résidents de Polynésie française, allant jusqu’à 16 000 Fcfp/personne, conditionnés par une réservation confirmée, pour deux personnes au moins, en hébergement marchand (terrestre ou flottant, comprenant un service de restauration ou un équipage) de deux nuitées minimum au sein d’un établissement déclaré ou répertorié auprès du service du tourisme. </w:t>
      </w:r>
    </w:p>
    <w:p w14:paraId="176BD1ED" w14:textId="01DBFF4B" w:rsidR="004F1EFE" w:rsidRDefault="004F1EFE" w:rsidP="00F80F49">
      <w:pPr>
        <w:pStyle w:val="NormalWeb"/>
        <w:jc w:val="both"/>
        <w:rPr>
          <w:rFonts w:ascii="Cambria" w:hAnsi="Cambria" w:cs="Arial"/>
        </w:rPr>
      </w:pPr>
      <w:r>
        <w:rPr>
          <w:rFonts w:ascii="Cambria" w:hAnsi="Cambria" w:cs="Arial"/>
        </w:rPr>
        <w:t>Ce dispositif est intégré au plan de relance 2021-2023 du Pays et la mise en œuvre ainsi que la gestion ont été confiées à Tahiti Tourisme.</w:t>
      </w:r>
    </w:p>
    <w:p w14:paraId="42180FF5" w14:textId="062E89AB" w:rsidR="004F1EFE" w:rsidRDefault="004F1EFE" w:rsidP="00F80F49">
      <w:pPr>
        <w:pStyle w:val="NormalWeb"/>
        <w:jc w:val="both"/>
        <w:rPr>
          <w:rFonts w:ascii="Cambria" w:hAnsi="Cambria" w:cs="Arial"/>
        </w:rPr>
      </w:pPr>
      <w:r>
        <w:rPr>
          <w:rFonts w:ascii="Cambria" w:hAnsi="Cambria" w:cs="Arial"/>
        </w:rPr>
        <w:t>Près de 7 mois après son application, un bilan positif est tiré du dispositif avec :</w:t>
      </w:r>
    </w:p>
    <w:p w14:paraId="4264257C" w14:textId="468513D9" w:rsidR="004F1EFE" w:rsidRDefault="004F1EFE" w:rsidP="00132DC3">
      <w:pPr>
        <w:pStyle w:val="NormalWeb"/>
        <w:numPr>
          <w:ilvl w:val="0"/>
          <w:numId w:val="3"/>
        </w:numPr>
        <w:jc w:val="both"/>
        <w:rPr>
          <w:rFonts w:ascii="Cambria" w:hAnsi="Cambria" w:cs="Arial"/>
        </w:rPr>
      </w:pPr>
      <w:r>
        <w:rPr>
          <w:rFonts w:ascii="Cambria" w:hAnsi="Cambria" w:cs="Arial"/>
        </w:rPr>
        <w:t>260 prestataires inscrits, répartis sur les 5 archipels</w:t>
      </w:r>
      <w:r w:rsidR="00906D4A">
        <w:rPr>
          <w:rFonts w:ascii="Cambria" w:hAnsi="Cambria" w:cs="Arial"/>
        </w:rPr>
        <w:t> :</w:t>
      </w:r>
    </w:p>
    <w:p w14:paraId="7A5757F4" w14:textId="2AC78F05" w:rsidR="00906D4A" w:rsidRDefault="00906D4A" w:rsidP="00132DC3">
      <w:pPr>
        <w:pStyle w:val="NormalWeb"/>
        <w:numPr>
          <w:ilvl w:val="0"/>
          <w:numId w:val="4"/>
        </w:numPr>
        <w:jc w:val="both"/>
        <w:rPr>
          <w:rFonts w:ascii="Cambria" w:hAnsi="Cambria" w:cs="Arial"/>
        </w:rPr>
      </w:pPr>
      <w:r>
        <w:rPr>
          <w:rFonts w:ascii="Cambria" w:hAnsi="Cambria" w:cs="Arial"/>
        </w:rPr>
        <w:t>161 hébergements (120 pensions de famille, 27 hôtels, 13 sociétés de charter nautique et 1 compagnie de croisière) ;</w:t>
      </w:r>
    </w:p>
    <w:p w14:paraId="44C68324" w14:textId="038683F4" w:rsidR="00906D4A" w:rsidRDefault="00906D4A" w:rsidP="00132DC3">
      <w:pPr>
        <w:pStyle w:val="NormalWeb"/>
        <w:numPr>
          <w:ilvl w:val="0"/>
          <w:numId w:val="4"/>
        </w:numPr>
        <w:jc w:val="both"/>
        <w:rPr>
          <w:rFonts w:ascii="Cambria" w:hAnsi="Cambria" w:cs="Arial"/>
        </w:rPr>
      </w:pPr>
      <w:r>
        <w:rPr>
          <w:rFonts w:ascii="Cambria" w:hAnsi="Cambria" w:cs="Arial"/>
        </w:rPr>
        <w:t>99 prestataires d’activités</w:t>
      </w:r>
    </w:p>
    <w:p w14:paraId="5A80C815" w14:textId="7D6C73AC" w:rsidR="00906D4A" w:rsidRDefault="00906D4A" w:rsidP="00132DC3">
      <w:pPr>
        <w:pStyle w:val="NormalWeb"/>
        <w:numPr>
          <w:ilvl w:val="0"/>
          <w:numId w:val="3"/>
        </w:numPr>
        <w:jc w:val="both"/>
        <w:rPr>
          <w:rFonts w:ascii="Cambria" w:hAnsi="Cambria" w:cs="Arial"/>
        </w:rPr>
      </w:pPr>
      <w:r>
        <w:rPr>
          <w:rFonts w:ascii="Cambria" w:hAnsi="Cambria" w:cs="Arial"/>
        </w:rPr>
        <w:t>72, 783 millions Fcfp de coupons</w:t>
      </w:r>
    </w:p>
    <w:p w14:paraId="449E8F09" w14:textId="57FB9323" w:rsidR="00906D4A" w:rsidRDefault="00906D4A" w:rsidP="00132DC3">
      <w:pPr>
        <w:pStyle w:val="NormalWeb"/>
        <w:numPr>
          <w:ilvl w:val="0"/>
          <w:numId w:val="3"/>
        </w:numPr>
        <w:jc w:val="both"/>
        <w:rPr>
          <w:rFonts w:ascii="Cambria" w:hAnsi="Cambria" w:cs="Arial"/>
        </w:rPr>
      </w:pPr>
      <w:r>
        <w:rPr>
          <w:rFonts w:ascii="Cambria" w:hAnsi="Cambria" w:cs="Arial"/>
        </w:rPr>
        <w:t>2 800 dossiers traités, soit 7 165 voyageurs</w:t>
      </w:r>
    </w:p>
    <w:p w14:paraId="4CD45B37" w14:textId="5EC5E495" w:rsidR="00906D4A" w:rsidRDefault="00906D4A" w:rsidP="00906D4A">
      <w:pPr>
        <w:pStyle w:val="NormalWeb"/>
        <w:jc w:val="both"/>
        <w:rPr>
          <w:rFonts w:ascii="Cambria" w:hAnsi="Cambria" w:cs="Arial"/>
        </w:rPr>
      </w:pPr>
      <w:r>
        <w:rPr>
          <w:rFonts w:ascii="Cambria" w:hAnsi="Cambria" w:cs="Arial"/>
        </w:rPr>
        <w:lastRenderedPageBreak/>
        <w:t>Ce qui équivaut aux chiffres moyens de deux Salon du Tourisme.</w:t>
      </w:r>
    </w:p>
    <w:p w14:paraId="68DF1705" w14:textId="5A5BD757" w:rsidR="00906D4A" w:rsidRDefault="00906D4A" w:rsidP="00906D4A">
      <w:pPr>
        <w:pStyle w:val="NormalWeb"/>
        <w:jc w:val="both"/>
        <w:rPr>
          <w:rFonts w:ascii="Cambria" w:hAnsi="Cambria" w:cs="Arial"/>
        </w:rPr>
      </w:pPr>
      <w:r>
        <w:rPr>
          <w:rFonts w:ascii="Cambria" w:hAnsi="Cambria" w:cs="Arial"/>
        </w:rPr>
        <w:t>On notera également que ce dispositif bénéficie principalement aux archipels éloignés et plus particulièrement aux îles des Tuamotu avec une répartition des voyageurs comme suit : Tuamotu (51,7%), Raromatai (16,5%), Australes (14,7%), Marquises (9,4%), Iles du Vent (4,4%), Gambier (3,9%).</w:t>
      </w:r>
    </w:p>
    <w:p w14:paraId="080458BD" w14:textId="3131A6F8" w:rsidR="00906D4A" w:rsidRDefault="00906D4A" w:rsidP="00906D4A">
      <w:pPr>
        <w:pStyle w:val="NormalWeb"/>
        <w:jc w:val="both"/>
        <w:rPr>
          <w:rFonts w:ascii="Cambria" w:hAnsi="Cambria" w:cs="Arial"/>
        </w:rPr>
      </w:pPr>
      <w:r>
        <w:rPr>
          <w:rFonts w:ascii="Cambria" w:hAnsi="Cambria" w:cs="Arial"/>
        </w:rPr>
        <w:t>Le classement des îles les plus visitées par les utilisateurs du coupon est le suivant :</w:t>
      </w:r>
    </w:p>
    <w:p w14:paraId="68C781C0" w14:textId="77777777" w:rsidR="00861B69" w:rsidRDefault="00861B69" w:rsidP="00132DC3">
      <w:pPr>
        <w:pStyle w:val="NormalWeb"/>
        <w:numPr>
          <w:ilvl w:val="0"/>
          <w:numId w:val="5"/>
        </w:numPr>
        <w:jc w:val="both"/>
        <w:rPr>
          <w:rFonts w:ascii="Cambria" w:hAnsi="Cambria" w:cs="Arial"/>
        </w:rPr>
        <w:sectPr w:rsidR="00861B69" w:rsidSect="00F80F49">
          <w:footerReference w:type="default" r:id="rId9"/>
          <w:type w:val="continuous"/>
          <w:pgSz w:w="11906" w:h="16838"/>
          <w:pgMar w:top="1417" w:right="1417" w:bottom="1417" w:left="1417" w:header="708" w:footer="708" w:gutter="0"/>
          <w:cols w:space="708"/>
          <w:docGrid w:linePitch="360"/>
        </w:sectPr>
      </w:pPr>
    </w:p>
    <w:p w14:paraId="58DF3635" w14:textId="3CC83C8B" w:rsidR="00906D4A" w:rsidRDefault="00906D4A" w:rsidP="00132DC3">
      <w:pPr>
        <w:pStyle w:val="NormalWeb"/>
        <w:numPr>
          <w:ilvl w:val="0"/>
          <w:numId w:val="5"/>
        </w:numPr>
        <w:jc w:val="both"/>
        <w:rPr>
          <w:rFonts w:ascii="Cambria" w:hAnsi="Cambria" w:cs="Arial"/>
        </w:rPr>
      </w:pPr>
      <w:r>
        <w:rPr>
          <w:rFonts w:ascii="Cambria" w:hAnsi="Cambria" w:cs="Arial"/>
        </w:rPr>
        <w:t>Tikehau</w:t>
      </w:r>
    </w:p>
    <w:p w14:paraId="3DD16DFD" w14:textId="039DA8FA" w:rsidR="00906D4A" w:rsidRDefault="00906D4A" w:rsidP="00132DC3">
      <w:pPr>
        <w:pStyle w:val="NormalWeb"/>
        <w:numPr>
          <w:ilvl w:val="0"/>
          <w:numId w:val="5"/>
        </w:numPr>
        <w:jc w:val="both"/>
        <w:rPr>
          <w:rFonts w:ascii="Cambria" w:hAnsi="Cambria" w:cs="Arial"/>
        </w:rPr>
      </w:pPr>
      <w:r>
        <w:rPr>
          <w:rFonts w:ascii="Cambria" w:hAnsi="Cambria" w:cs="Arial"/>
        </w:rPr>
        <w:t>Rangiroa</w:t>
      </w:r>
    </w:p>
    <w:p w14:paraId="52682508" w14:textId="18D9D1AD" w:rsidR="00906D4A" w:rsidRDefault="00906D4A" w:rsidP="00132DC3">
      <w:pPr>
        <w:pStyle w:val="NormalWeb"/>
        <w:numPr>
          <w:ilvl w:val="0"/>
          <w:numId w:val="5"/>
        </w:numPr>
        <w:jc w:val="both"/>
        <w:rPr>
          <w:rFonts w:ascii="Cambria" w:hAnsi="Cambria" w:cs="Arial"/>
        </w:rPr>
      </w:pPr>
      <w:r>
        <w:rPr>
          <w:rFonts w:ascii="Cambria" w:hAnsi="Cambria" w:cs="Arial"/>
        </w:rPr>
        <w:t>Fakarava</w:t>
      </w:r>
    </w:p>
    <w:p w14:paraId="774DA3A6" w14:textId="49D65873" w:rsidR="00906D4A" w:rsidRDefault="00906D4A" w:rsidP="00132DC3">
      <w:pPr>
        <w:pStyle w:val="NormalWeb"/>
        <w:numPr>
          <w:ilvl w:val="0"/>
          <w:numId w:val="5"/>
        </w:numPr>
        <w:jc w:val="both"/>
        <w:rPr>
          <w:rFonts w:ascii="Cambria" w:hAnsi="Cambria" w:cs="Arial"/>
        </w:rPr>
      </w:pPr>
      <w:r>
        <w:rPr>
          <w:rFonts w:ascii="Cambria" w:hAnsi="Cambria" w:cs="Arial"/>
        </w:rPr>
        <w:t>Rurutu</w:t>
      </w:r>
    </w:p>
    <w:p w14:paraId="3F0C10B0" w14:textId="04EB7282" w:rsidR="00906D4A" w:rsidRDefault="00906D4A" w:rsidP="00132DC3">
      <w:pPr>
        <w:pStyle w:val="NormalWeb"/>
        <w:numPr>
          <w:ilvl w:val="0"/>
          <w:numId w:val="5"/>
        </w:numPr>
        <w:jc w:val="both"/>
        <w:rPr>
          <w:rFonts w:ascii="Cambria" w:hAnsi="Cambria" w:cs="Arial"/>
        </w:rPr>
      </w:pPr>
      <w:r>
        <w:rPr>
          <w:rFonts w:ascii="Cambria" w:hAnsi="Cambria" w:cs="Arial"/>
        </w:rPr>
        <w:t>Mataiva</w:t>
      </w:r>
    </w:p>
    <w:p w14:paraId="57948A51" w14:textId="340270E5" w:rsidR="00906D4A" w:rsidRDefault="00906D4A" w:rsidP="00132DC3">
      <w:pPr>
        <w:pStyle w:val="NormalWeb"/>
        <w:numPr>
          <w:ilvl w:val="0"/>
          <w:numId w:val="5"/>
        </w:numPr>
        <w:jc w:val="both"/>
        <w:rPr>
          <w:rFonts w:ascii="Cambria" w:hAnsi="Cambria" w:cs="Arial"/>
        </w:rPr>
      </w:pPr>
      <w:r>
        <w:rPr>
          <w:rFonts w:ascii="Cambria" w:hAnsi="Cambria" w:cs="Arial"/>
        </w:rPr>
        <w:t>Bora Bora</w:t>
      </w:r>
    </w:p>
    <w:p w14:paraId="5CB1CAD8" w14:textId="41A3DAE5" w:rsidR="00906D4A" w:rsidRDefault="00906D4A" w:rsidP="00132DC3">
      <w:pPr>
        <w:pStyle w:val="NormalWeb"/>
        <w:numPr>
          <w:ilvl w:val="0"/>
          <w:numId w:val="5"/>
        </w:numPr>
        <w:jc w:val="both"/>
        <w:rPr>
          <w:rFonts w:ascii="Cambria" w:hAnsi="Cambria" w:cs="Arial"/>
        </w:rPr>
      </w:pPr>
      <w:r>
        <w:rPr>
          <w:rFonts w:ascii="Cambria" w:hAnsi="Cambria" w:cs="Arial"/>
        </w:rPr>
        <w:t>Huahine</w:t>
      </w:r>
    </w:p>
    <w:p w14:paraId="461157C9" w14:textId="1A2CF799" w:rsidR="00906D4A" w:rsidRDefault="00906D4A" w:rsidP="00132DC3">
      <w:pPr>
        <w:pStyle w:val="NormalWeb"/>
        <w:numPr>
          <w:ilvl w:val="0"/>
          <w:numId w:val="5"/>
        </w:numPr>
        <w:jc w:val="both"/>
        <w:rPr>
          <w:rFonts w:ascii="Cambria" w:hAnsi="Cambria" w:cs="Arial"/>
        </w:rPr>
      </w:pPr>
      <w:r>
        <w:rPr>
          <w:rFonts w:ascii="Cambria" w:hAnsi="Cambria" w:cs="Arial"/>
        </w:rPr>
        <w:t>Hiva Oa</w:t>
      </w:r>
    </w:p>
    <w:p w14:paraId="4A236174" w14:textId="104BF34E" w:rsidR="00906D4A" w:rsidRDefault="00906D4A" w:rsidP="00132DC3">
      <w:pPr>
        <w:pStyle w:val="NormalWeb"/>
        <w:numPr>
          <w:ilvl w:val="0"/>
          <w:numId w:val="5"/>
        </w:numPr>
        <w:jc w:val="both"/>
        <w:rPr>
          <w:rFonts w:ascii="Cambria" w:hAnsi="Cambria" w:cs="Arial"/>
        </w:rPr>
      </w:pPr>
      <w:r>
        <w:rPr>
          <w:rFonts w:ascii="Cambria" w:hAnsi="Cambria" w:cs="Arial"/>
        </w:rPr>
        <w:t>Makatea</w:t>
      </w:r>
    </w:p>
    <w:p w14:paraId="4CC1B23B" w14:textId="769B2326" w:rsidR="00906D4A" w:rsidRDefault="00906D4A" w:rsidP="00132DC3">
      <w:pPr>
        <w:pStyle w:val="NormalWeb"/>
        <w:numPr>
          <w:ilvl w:val="0"/>
          <w:numId w:val="5"/>
        </w:numPr>
        <w:jc w:val="both"/>
        <w:rPr>
          <w:rFonts w:ascii="Cambria" w:hAnsi="Cambria" w:cs="Arial"/>
        </w:rPr>
      </w:pPr>
      <w:r>
        <w:rPr>
          <w:rFonts w:ascii="Cambria" w:hAnsi="Cambria" w:cs="Arial"/>
        </w:rPr>
        <w:t>Nuku Hiva</w:t>
      </w:r>
    </w:p>
    <w:p w14:paraId="792A0B92" w14:textId="77777777" w:rsidR="00861B69" w:rsidRDefault="00861B69" w:rsidP="00906D4A">
      <w:pPr>
        <w:pStyle w:val="NormalWeb"/>
        <w:jc w:val="both"/>
        <w:rPr>
          <w:rFonts w:ascii="Cambria" w:hAnsi="Cambria" w:cs="Arial"/>
        </w:rPr>
        <w:sectPr w:rsidR="00861B69" w:rsidSect="00861B69">
          <w:type w:val="continuous"/>
          <w:pgSz w:w="11906" w:h="16838"/>
          <w:pgMar w:top="1417" w:right="1417" w:bottom="1417" w:left="1417" w:header="708" w:footer="708" w:gutter="0"/>
          <w:cols w:num="3" w:space="708"/>
          <w:docGrid w:linePitch="360"/>
        </w:sectPr>
      </w:pPr>
    </w:p>
    <w:p w14:paraId="38A07273" w14:textId="48C99A1C" w:rsidR="00906D4A" w:rsidRDefault="00906D4A" w:rsidP="00906D4A">
      <w:pPr>
        <w:pStyle w:val="NormalWeb"/>
        <w:jc w:val="both"/>
        <w:rPr>
          <w:rFonts w:ascii="Cambria" w:hAnsi="Cambria" w:cs="Arial"/>
        </w:rPr>
      </w:pPr>
      <w:r>
        <w:rPr>
          <w:rFonts w:ascii="Cambria" w:hAnsi="Cambria" w:cs="Arial"/>
        </w:rPr>
        <w:t xml:space="preserve">Les coupons sont principalement utilisés pour les hébergements terrestres, dont 50% dans les pensions de famille et près de 30% dans les hôtels. </w:t>
      </w:r>
    </w:p>
    <w:p w14:paraId="3B57ADF9" w14:textId="5E0022CD" w:rsidR="00906D4A" w:rsidRDefault="00906D4A" w:rsidP="00906D4A">
      <w:pPr>
        <w:pStyle w:val="NormalWeb"/>
        <w:jc w:val="both"/>
        <w:rPr>
          <w:rFonts w:ascii="Cambria" w:hAnsi="Cambria" w:cs="Arial"/>
        </w:rPr>
      </w:pPr>
      <w:r>
        <w:rPr>
          <w:rFonts w:ascii="Cambria" w:hAnsi="Cambria" w:cs="Arial"/>
        </w:rPr>
        <w:t xml:space="preserve">Ces derniers ont généré 110 millions Fcfp de chiffre d’affaires pour les entreprises polynésienne. Ce constat a amené le Conseil des ministres à maintenir le dispositif </w:t>
      </w:r>
      <w:r w:rsidRPr="004F1EFE">
        <w:rPr>
          <w:rFonts w:ascii="Cambria" w:hAnsi="Cambria" w:cs="Arial"/>
          <w:i/>
          <w:iCs/>
        </w:rPr>
        <w:t>Titeti ‘Ai’a</w:t>
      </w:r>
      <w:r>
        <w:rPr>
          <w:rFonts w:ascii="Cambria" w:hAnsi="Cambria" w:cs="Arial"/>
        </w:rPr>
        <w:t xml:space="preserve"> jusqu’au</w:t>
      </w:r>
      <w:r w:rsidR="00861B69">
        <w:rPr>
          <w:rFonts w:ascii="Cambria" w:hAnsi="Cambria" w:cs="Arial"/>
        </w:rPr>
        <w:t xml:space="preserve"> 31 décembre 2022 et de faire évoluer certaines dispositions de la délibération. </w:t>
      </w:r>
    </w:p>
    <w:p w14:paraId="6389AE6D" w14:textId="3C41F07D" w:rsidR="00AA6F62" w:rsidRDefault="00AA6F62" w:rsidP="00F80F49">
      <w:pPr>
        <w:jc w:val="both"/>
        <w:rPr>
          <w:rFonts w:ascii="Cambria" w:hAnsi="Cambria"/>
        </w:rPr>
      </w:pPr>
    </w:p>
    <w:p w14:paraId="48B3B298" w14:textId="77777777" w:rsidR="00EB1B52" w:rsidRDefault="00EB1B52" w:rsidP="00F80F49">
      <w:pPr>
        <w:jc w:val="both"/>
        <w:rPr>
          <w:rFonts w:ascii="Cambria" w:hAnsi="Cambria"/>
        </w:rPr>
      </w:pPr>
    </w:p>
    <w:p w14:paraId="308DEE88" w14:textId="7C2F4951" w:rsidR="00820476" w:rsidRDefault="00F80F49" w:rsidP="00820476">
      <w:pPr>
        <w:pStyle w:val="Titre2"/>
        <w:rPr>
          <w:rStyle w:val="lev"/>
          <w:b/>
          <w:bCs w:val="0"/>
        </w:rPr>
      </w:pPr>
      <w:bookmarkStart w:id="9" w:name="_Hlk88044129"/>
      <w:bookmarkStart w:id="10" w:name="_Hlk88578938"/>
      <w:bookmarkStart w:id="11" w:name="_Toc88668360"/>
      <w:r>
        <w:rPr>
          <w:rStyle w:val="lev"/>
          <w:b/>
          <w:bCs w:val="0"/>
        </w:rPr>
        <w:t>Subvention A</w:t>
      </w:r>
      <w:r w:rsidR="000B007B">
        <w:rPr>
          <w:rStyle w:val="lev"/>
          <w:b/>
          <w:bCs w:val="0"/>
        </w:rPr>
        <w:t>ir Tahiti Nui</w:t>
      </w:r>
      <w:bookmarkEnd w:id="11"/>
    </w:p>
    <w:p w14:paraId="6143AF2A" w14:textId="7CA3BBEA" w:rsidR="00820476" w:rsidRDefault="00820476" w:rsidP="00820476"/>
    <w:bookmarkEnd w:id="9"/>
    <w:p w14:paraId="19BEF0B9" w14:textId="45C38379" w:rsidR="000B007B" w:rsidRDefault="000B007B" w:rsidP="00F80F49">
      <w:pPr>
        <w:jc w:val="both"/>
        <w:rPr>
          <w:rFonts w:ascii="Cambria" w:hAnsi="Cambria"/>
          <w:bCs/>
        </w:rPr>
      </w:pPr>
      <w:r w:rsidRPr="000B007B">
        <w:rPr>
          <w:rFonts w:ascii="Cambria" w:hAnsi="Cambria"/>
          <w:bCs/>
        </w:rPr>
        <w:t xml:space="preserve">Avec la fermeture des lignes Auckland et Narita, ainsi que la succession des restrictions sur les lignes Los Angeles et Paris, la pandémie de la Covid-19 a fortement impacté l’activité de </w:t>
      </w:r>
      <w:r>
        <w:rPr>
          <w:rFonts w:ascii="Cambria" w:hAnsi="Cambria"/>
          <w:bCs/>
        </w:rPr>
        <w:t>la</w:t>
      </w:r>
      <w:r w:rsidRPr="000B007B">
        <w:rPr>
          <w:rFonts w:ascii="Cambria" w:hAnsi="Cambria"/>
          <w:bCs/>
        </w:rPr>
        <w:t xml:space="preserve"> compagnie locale A</w:t>
      </w:r>
      <w:r>
        <w:rPr>
          <w:rFonts w:ascii="Cambria" w:hAnsi="Cambria"/>
          <w:bCs/>
        </w:rPr>
        <w:t xml:space="preserve">ir </w:t>
      </w:r>
      <w:r w:rsidRPr="000B007B">
        <w:rPr>
          <w:rFonts w:ascii="Cambria" w:hAnsi="Cambria"/>
          <w:bCs/>
        </w:rPr>
        <w:t>T</w:t>
      </w:r>
      <w:r>
        <w:rPr>
          <w:rFonts w:ascii="Cambria" w:hAnsi="Cambria"/>
          <w:bCs/>
        </w:rPr>
        <w:t xml:space="preserve">ahiti </w:t>
      </w:r>
      <w:r w:rsidRPr="000B007B">
        <w:rPr>
          <w:rFonts w:ascii="Cambria" w:hAnsi="Cambria"/>
          <w:bCs/>
        </w:rPr>
        <w:t>N</w:t>
      </w:r>
      <w:r>
        <w:rPr>
          <w:rFonts w:ascii="Cambria" w:hAnsi="Cambria"/>
          <w:bCs/>
        </w:rPr>
        <w:t>ui (ATN)</w:t>
      </w:r>
      <w:r w:rsidRPr="000B007B">
        <w:rPr>
          <w:rFonts w:ascii="Cambria" w:hAnsi="Cambria"/>
          <w:bCs/>
        </w:rPr>
        <w:t xml:space="preserve"> qui a été contrainte à un arrêt quasi-complet de l’ensemble de ses vols pendant les périodes de confinement et à une réduction drastique de ses rotations en situation dégradée, impactant lourdement son chiffre d’affaires et réduisant ses capacités à faire face à ses charges fixes (loyer, emprunts,</w:t>
      </w:r>
      <w:r>
        <w:rPr>
          <w:rFonts w:ascii="Cambria" w:hAnsi="Cambria"/>
          <w:bCs/>
        </w:rPr>
        <w:t xml:space="preserve"> etc.</w:t>
      </w:r>
      <w:r w:rsidRPr="000B007B">
        <w:rPr>
          <w:rFonts w:ascii="Cambria" w:hAnsi="Cambria"/>
          <w:bCs/>
        </w:rPr>
        <w:t>).</w:t>
      </w:r>
    </w:p>
    <w:p w14:paraId="3657BE7D" w14:textId="77777777" w:rsidR="000B007B" w:rsidRDefault="000B007B" w:rsidP="00F80F49">
      <w:pPr>
        <w:jc w:val="both"/>
        <w:rPr>
          <w:rFonts w:ascii="Cambria" w:hAnsi="Cambria"/>
          <w:bCs/>
        </w:rPr>
      </w:pPr>
    </w:p>
    <w:p w14:paraId="330D13C4" w14:textId="0502076F" w:rsidR="000B007B" w:rsidRDefault="000B007B" w:rsidP="00F80F49">
      <w:pPr>
        <w:jc w:val="both"/>
        <w:rPr>
          <w:rFonts w:ascii="Cambria" w:hAnsi="Cambria"/>
          <w:bCs/>
        </w:rPr>
      </w:pPr>
      <w:r w:rsidRPr="000B007B">
        <w:rPr>
          <w:rFonts w:ascii="Cambria" w:hAnsi="Cambria"/>
          <w:bCs/>
        </w:rPr>
        <w:t>Malgré les mesures drastiques prises par la compagnie ainsi que les outils de sauvegarde</w:t>
      </w:r>
      <w:r w:rsidR="003D5DC5">
        <w:rPr>
          <w:rFonts w:ascii="Cambria" w:hAnsi="Cambria"/>
          <w:bCs/>
        </w:rPr>
        <w:t xml:space="preserve"> </w:t>
      </w:r>
      <w:r w:rsidRPr="000B007B">
        <w:rPr>
          <w:rFonts w:ascii="Cambria" w:hAnsi="Cambria"/>
          <w:bCs/>
        </w:rPr>
        <w:t xml:space="preserve">mise en place par le Pays et l’Etat pour limiter l’impact de cette crise, la situation </w:t>
      </w:r>
      <w:r>
        <w:rPr>
          <w:rFonts w:ascii="Cambria" w:hAnsi="Cambria"/>
          <w:bCs/>
        </w:rPr>
        <w:t>d’ATN</w:t>
      </w:r>
      <w:r w:rsidRPr="000B007B">
        <w:rPr>
          <w:rFonts w:ascii="Cambria" w:hAnsi="Cambria"/>
          <w:bCs/>
        </w:rPr>
        <w:t xml:space="preserve"> reste fragile face à une concurrence forte tant au niveau aérien qu’avec la réouverture de destination</w:t>
      </w:r>
      <w:r w:rsidR="003D5DC5">
        <w:rPr>
          <w:rFonts w:ascii="Cambria" w:hAnsi="Cambria"/>
          <w:bCs/>
        </w:rPr>
        <w:t>s</w:t>
      </w:r>
      <w:r>
        <w:rPr>
          <w:rFonts w:ascii="Cambria" w:hAnsi="Cambria"/>
          <w:bCs/>
        </w:rPr>
        <w:t xml:space="preserve"> </w:t>
      </w:r>
      <w:r w:rsidRPr="000B007B">
        <w:rPr>
          <w:rFonts w:ascii="Cambria" w:hAnsi="Cambria"/>
          <w:bCs/>
        </w:rPr>
        <w:t>concurrente</w:t>
      </w:r>
      <w:r w:rsidR="003D5DC5">
        <w:rPr>
          <w:rFonts w:ascii="Cambria" w:hAnsi="Cambria"/>
          <w:bCs/>
        </w:rPr>
        <w:t>s</w:t>
      </w:r>
      <w:r w:rsidRPr="000B007B">
        <w:rPr>
          <w:rFonts w:ascii="Cambria" w:hAnsi="Cambria"/>
          <w:bCs/>
        </w:rPr>
        <w:t>.</w:t>
      </w:r>
      <w:r>
        <w:rPr>
          <w:rFonts w:ascii="Cambria" w:hAnsi="Cambria"/>
          <w:bCs/>
        </w:rPr>
        <w:t xml:space="preserve"> </w:t>
      </w:r>
    </w:p>
    <w:p w14:paraId="26CFDB8D" w14:textId="77777777" w:rsidR="000B007B" w:rsidRDefault="000B007B" w:rsidP="00F80F49">
      <w:pPr>
        <w:jc w:val="both"/>
        <w:rPr>
          <w:rFonts w:ascii="Cambria" w:hAnsi="Cambria"/>
          <w:bCs/>
        </w:rPr>
      </w:pPr>
    </w:p>
    <w:p w14:paraId="34544569" w14:textId="47EA2F6F" w:rsidR="000B007B" w:rsidRDefault="000B007B" w:rsidP="00F80F49">
      <w:pPr>
        <w:jc w:val="both"/>
        <w:rPr>
          <w:rFonts w:ascii="Cambria" w:hAnsi="Cambria"/>
          <w:bCs/>
        </w:rPr>
      </w:pPr>
      <w:r w:rsidRPr="000B007B">
        <w:rPr>
          <w:rFonts w:ascii="Cambria" w:hAnsi="Cambria"/>
          <w:bCs/>
        </w:rPr>
        <w:t xml:space="preserve">Reconnaissant le caractère stratégique de la société, qui aujourd’hui transporte 50% des touristes vers la Polynésie française et a assuré la continuité territoriale « humaine et économique » avec la métropole, les Etats-Unis et la Nouvelle Zélande, le Conseil des </w:t>
      </w:r>
      <w:r>
        <w:rPr>
          <w:rFonts w:ascii="Cambria" w:hAnsi="Cambria"/>
          <w:bCs/>
        </w:rPr>
        <w:t>m</w:t>
      </w:r>
      <w:r w:rsidRPr="000B007B">
        <w:rPr>
          <w:rFonts w:ascii="Cambria" w:hAnsi="Cambria"/>
          <w:bCs/>
        </w:rPr>
        <w:t>inistres a octroyé une subvention exceptionnelle d’équilibre à la SEM Air Tahiti Nui d’un montant de 8,1 milliards F</w:t>
      </w:r>
      <w:r>
        <w:rPr>
          <w:rFonts w:ascii="Cambria" w:hAnsi="Cambria"/>
          <w:bCs/>
        </w:rPr>
        <w:t>cfp.</w:t>
      </w:r>
    </w:p>
    <w:p w14:paraId="76BA7229" w14:textId="77777777" w:rsidR="000B007B" w:rsidRDefault="000B007B" w:rsidP="00F80F49">
      <w:pPr>
        <w:jc w:val="both"/>
        <w:rPr>
          <w:rFonts w:ascii="Cambria" w:hAnsi="Cambria"/>
          <w:bCs/>
        </w:rPr>
      </w:pPr>
    </w:p>
    <w:p w14:paraId="7A1A0366" w14:textId="1FF78BC9" w:rsidR="00073530" w:rsidRDefault="000B007B" w:rsidP="00F80F49">
      <w:pPr>
        <w:jc w:val="both"/>
        <w:rPr>
          <w:rFonts w:ascii="Cambria" w:hAnsi="Cambria"/>
          <w:bCs/>
        </w:rPr>
      </w:pPr>
      <w:r w:rsidRPr="000B007B">
        <w:rPr>
          <w:rFonts w:ascii="Cambria" w:hAnsi="Cambria"/>
          <w:bCs/>
        </w:rPr>
        <w:t>En contrepartie, la compagnie aérienne s’engage à mettre en œuvre un plan d’action de redressement et de renforcement de sa performance économique sur les 4 prochaines années</w:t>
      </w:r>
    </w:p>
    <w:bookmarkEnd w:id="10"/>
    <w:p w14:paraId="64FF3D23" w14:textId="782BF6CA" w:rsidR="00F80F49" w:rsidRDefault="00F80F49" w:rsidP="00F80F49">
      <w:pPr>
        <w:jc w:val="both"/>
        <w:rPr>
          <w:rFonts w:ascii="Cambria" w:hAnsi="Cambria"/>
          <w:bCs/>
        </w:rPr>
      </w:pPr>
    </w:p>
    <w:p w14:paraId="49A79619" w14:textId="3D361A85" w:rsidR="00FA26F2" w:rsidRDefault="00FA26F2" w:rsidP="00F80F49">
      <w:pPr>
        <w:jc w:val="both"/>
        <w:rPr>
          <w:rFonts w:ascii="Cambria" w:hAnsi="Cambria"/>
          <w:bCs/>
        </w:rPr>
      </w:pPr>
    </w:p>
    <w:p w14:paraId="5FA42732" w14:textId="6CFB7F39" w:rsidR="00FA26F2" w:rsidRDefault="00FA26F2" w:rsidP="00F80F49">
      <w:pPr>
        <w:jc w:val="both"/>
        <w:rPr>
          <w:rFonts w:ascii="Cambria" w:hAnsi="Cambria"/>
          <w:bCs/>
        </w:rPr>
      </w:pPr>
    </w:p>
    <w:p w14:paraId="074C8CDF" w14:textId="77777777" w:rsidR="00EE0217" w:rsidRDefault="00EE0217" w:rsidP="00F80F49">
      <w:pPr>
        <w:jc w:val="both"/>
        <w:rPr>
          <w:rFonts w:ascii="Cambria" w:hAnsi="Cambria"/>
          <w:bCs/>
        </w:rPr>
      </w:pPr>
    </w:p>
    <w:p w14:paraId="49B2A93D" w14:textId="4897873C" w:rsidR="00F80F49" w:rsidRDefault="00F80F49" w:rsidP="00F80F49">
      <w:pPr>
        <w:pStyle w:val="Titre2"/>
        <w:rPr>
          <w:rStyle w:val="lev"/>
          <w:b/>
          <w:bCs w:val="0"/>
        </w:rPr>
      </w:pPr>
      <w:bookmarkStart w:id="12" w:name="_Toc88668361"/>
      <w:r>
        <w:rPr>
          <w:rStyle w:val="lev"/>
          <w:b/>
          <w:bCs w:val="0"/>
        </w:rPr>
        <w:lastRenderedPageBreak/>
        <w:t>Modif</w:t>
      </w:r>
      <w:r w:rsidR="00FA26F2">
        <w:rPr>
          <w:rStyle w:val="lev"/>
          <w:b/>
          <w:bCs w:val="0"/>
        </w:rPr>
        <w:t>ication du</w:t>
      </w:r>
      <w:r>
        <w:rPr>
          <w:rStyle w:val="lev"/>
          <w:b/>
          <w:bCs w:val="0"/>
        </w:rPr>
        <w:t xml:space="preserve"> programme IATA United Airlines</w:t>
      </w:r>
      <w:bookmarkEnd w:id="12"/>
    </w:p>
    <w:p w14:paraId="21AB05B2" w14:textId="39063928" w:rsidR="00F80F49" w:rsidRDefault="00F80F49" w:rsidP="00F80F49"/>
    <w:p w14:paraId="5E355F90" w14:textId="77777777" w:rsidR="00FA26F2" w:rsidRDefault="00FA26F2" w:rsidP="00F80F49">
      <w:pPr>
        <w:jc w:val="both"/>
        <w:rPr>
          <w:rFonts w:ascii="Cambria" w:hAnsi="Cambria"/>
          <w:bCs/>
        </w:rPr>
      </w:pPr>
      <w:r w:rsidRPr="00FA26F2">
        <w:rPr>
          <w:rFonts w:ascii="Cambria" w:hAnsi="Cambria"/>
          <w:bCs/>
        </w:rPr>
        <w:t>La récente augmentation de la demande, traduite par une hausse des réservations sur la route Papeete – San Francisco opérée par United Airlines, a provoqué une hausse des taux de réservation sur les premiers mois de l’année 2022. Les taux de remplissage de la compagnie sont plus que satisfaisant pour la période de fin d’année 2021. En effet, la performance de United sur les sept dernières semaines est supérieure à son niveau de 2019. Afin de répondre à l’augmentation de cette demande, United a demand</w:t>
      </w:r>
      <w:r>
        <w:rPr>
          <w:rFonts w:ascii="Cambria" w:hAnsi="Cambria"/>
          <w:bCs/>
        </w:rPr>
        <w:t>é</w:t>
      </w:r>
      <w:r w:rsidRPr="00FA26F2">
        <w:rPr>
          <w:rFonts w:ascii="Cambria" w:hAnsi="Cambria"/>
          <w:bCs/>
        </w:rPr>
        <w:t xml:space="preserve"> une autorisation de modification de son programme de vol afin de s’aligner à la situation.</w:t>
      </w:r>
      <w:r w:rsidRPr="00FA26F2">
        <w:rPr>
          <w:rFonts w:ascii="Cambria" w:hAnsi="Cambria"/>
          <w:bCs/>
        </w:rPr>
        <w:br/>
      </w:r>
      <w:r w:rsidRPr="00FA26F2">
        <w:rPr>
          <w:rFonts w:ascii="Cambria" w:hAnsi="Cambria"/>
          <w:bCs/>
        </w:rPr>
        <w:br/>
        <w:t xml:space="preserve">Le Conseil des </w:t>
      </w:r>
      <w:r>
        <w:rPr>
          <w:rFonts w:ascii="Cambria" w:hAnsi="Cambria"/>
          <w:bCs/>
        </w:rPr>
        <w:t>m</w:t>
      </w:r>
      <w:r w:rsidRPr="00FA26F2">
        <w:rPr>
          <w:rFonts w:ascii="Cambria" w:hAnsi="Cambria"/>
          <w:bCs/>
        </w:rPr>
        <w:t>inistres a approuvé la modification du programme de vol de la compagnie United Airlines pour la saison IATA Hiver 2021-2022.</w:t>
      </w:r>
      <w:r>
        <w:rPr>
          <w:rFonts w:ascii="Cambria" w:hAnsi="Cambria"/>
          <w:bCs/>
        </w:rPr>
        <w:t xml:space="preserve"> </w:t>
      </w:r>
      <w:r w:rsidRPr="00FA26F2">
        <w:rPr>
          <w:rFonts w:ascii="Cambria" w:hAnsi="Cambria"/>
          <w:bCs/>
        </w:rPr>
        <w:t>La compagnie opère actuellement 3 vols hebdomadaires les mardi, jeudi et samedi. United Airlines souhaite rajouter des opérations les lundi et mercredi à compter de février 2022.</w:t>
      </w:r>
      <w:r>
        <w:rPr>
          <w:rFonts w:ascii="Cambria" w:hAnsi="Cambria"/>
          <w:bCs/>
        </w:rPr>
        <w:t xml:space="preserve"> </w:t>
      </w:r>
    </w:p>
    <w:p w14:paraId="54ED2014" w14:textId="77777777" w:rsidR="00FA26F2" w:rsidRDefault="00FA26F2" w:rsidP="00F80F49">
      <w:pPr>
        <w:jc w:val="both"/>
        <w:rPr>
          <w:rFonts w:ascii="Cambria" w:hAnsi="Cambria"/>
          <w:bCs/>
        </w:rPr>
      </w:pPr>
    </w:p>
    <w:p w14:paraId="3C56D9A5" w14:textId="77777777" w:rsidR="00FA26F2" w:rsidRDefault="00FA26F2" w:rsidP="00F80F49">
      <w:pPr>
        <w:jc w:val="both"/>
        <w:rPr>
          <w:rFonts w:ascii="Cambria" w:hAnsi="Cambria"/>
          <w:bCs/>
        </w:rPr>
      </w:pPr>
      <w:r w:rsidRPr="00FA26F2">
        <w:rPr>
          <w:rFonts w:ascii="Cambria" w:hAnsi="Cambria"/>
          <w:bCs/>
        </w:rPr>
        <w:t>L’opérateur dispose d’un vaste réseau domestique couvrant l’ensemble du territoire des États-Unis. Ce réseau domestique très dense couplé à un programme de fidélisation efficace et ouvert à l’ensemble des compagnies membres de l’alliance Star Alliance représente une offre de transport aérien international très importante pour le développement touristique en Polynésie. Le réseau Star Alliance représente 762 millions de passagers transportés en 2019.</w:t>
      </w:r>
    </w:p>
    <w:p w14:paraId="6FC0E112" w14:textId="77777777" w:rsidR="00FA26F2" w:rsidRDefault="00FA26F2" w:rsidP="00F80F49">
      <w:pPr>
        <w:jc w:val="both"/>
        <w:rPr>
          <w:rFonts w:ascii="Cambria" w:hAnsi="Cambria"/>
          <w:bCs/>
        </w:rPr>
      </w:pPr>
    </w:p>
    <w:p w14:paraId="342474B8" w14:textId="77777777" w:rsidR="00FA26F2" w:rsidRDefault="00FA26F2" w:rsidP="00F80F49">
      <w:pPr>
        <w:jc w:val="both"/>
        <w:rPr>
          <w:rFonts w:ascii="Cambria" w:hAnsi="Cambria"/>
          <w:bCs/>
        </w:rPr>
      </w:pPr>
      <w:r w:rsidRPr="00FA26F2">
        <w:rPr>
          <w:rFonts w:ascii="Cambria" w:hAnsi="Cambria"/>
          <w:bCs/>
        </w:rPr>
        <w:t xml:space="preserve">La clientèle drainée par la compagnie américaine est différente de celle des autres compagnies qui desservent la Polynésie. En effet, elle compte beaucoup sur la force de son programme de fidélité : United </w:t>
      </w:r>
      <w:proofErr w:type="spellStart"/>
      <w:r w:rsidRPr="00FA26F2">
        <w:rPr>
          <w:rFonts w:ascii="Cambria" w:hAnsi="Cambria"/>
          <w:bCs/>
        </w:rPr>
        <w:t>MileagePlus</w:t>
      </w:r>
      <w:proofErr w:type="spellEnd"/>
      <w:r w:rsidRPr="00FA26F2">
        <w:rPr>
          <w:rFonts w:ascii="Cambria" w:hAnsi="Cambria"/>
          <w:bCs/>
        </w:rPr>
        <w:t>. Ce dernier compte plus de 100 millions de membres et plus de 50 % des revenus des vols de United.</w:t>
      </w:r>
    </w:p>
    <w:p w14:paraId="5CFC53F2" w14:textId="77777777" w:rsidR="00FA26F2" w:rsidRDefault="00FA26F2" w:rsidP="00F80F49">
      <w:pPr>
        <w:jc w:val="both"/>
        <w:rPr>
          <w:rFonts w:ascii="Cambria" w:hAnsi="Cambria"/>
          <w:bCs/>
        </w:rPr>
      </w:pPr>
    </w:p>
    <w:p w14:paraId="5F3403E6" w14:textId="77777777" w:rsidR="00FA26F2" w:rsidRDefault="00FA26F2" w:rsidP="00F80F49">
      <w:pPr>
        <w:jc w:val="both"/>
        <w:rPr>
          <w:rFonts w:ascii="Cambria" w:hAnsi="Cambria"/>
          <w:bCs/>
        </w:rPr>
      </w:pPr>
      <w:r w:rsidRPr="00FA26F2">
        <w:rPr>
          <w:rFonts w:ascii="Cambria" w:hAnsi="Cambria"/>
          <w:bCs/>
        </w:rPr>
        <w:t>Par ailleurs, la compagnie américaine peut également compter sur sa force interne avec près de 100 000 collaborateurs auprès desquels elle propose des séjours en Polynési</w:t>
      </w:r>
      <w:r>
        <w:rPr>
          <w:rFonts w:ascii="Cambria" w:hAnsi="Cambria"/>
          <w:bCs/>
        </w:rPr>
        <w:t>e</w:t>
      </w:r>
      <w:r w:rsidRPr="00FA26F2">
        <w:rPr>
          <w:rFonts w:ascii="Cambria" w:hAnsi="Cambria"/>
          <w:bCs/>
        </w:rPr>
        <w:t>.</w:t>
      </w:r>
      <w:r>
        <w:rPr>
          <w:rFonts w:ascii="Cambria" w:hAnsi="Cambria"/>
          <w:bCs/>
        </w:rPr>
        <w:t xml:space="preserve"> </w:t>
      </w:r>
      <w:r w:rsidRPr="00FA26F2">
        <w:rPr>
          <w:rFonts w:ascii="Cambria" w:hAnsi="Cambria"/>
          <w:bCs/>
        </w:rPr>
        <w:t>L’aéronef utilisé reste inchangé puisque United utilisera un Boeing B787-900 et proposera 2 configurations :</w:t>
      </w:r>
    </w:p>
    <w:p w14:paraId="64EC9606" w14:textId="77777777" w:rsidR="00FA26F2" w:rsidRDefault="00FA26F2" w:rsidP="00F80F49">
      <w:pPr>
        <w:jc w:val="both"/>
        <w:rPr>
          <w:rFonts w:ascii="Cambria" w:hAnsi="Cambria"/>
          <w:bCs/>
        </w:rPr>
      </w:pPr>
    </w:p>
    <w:p w14:paraId="27900BF8" w14:textId="77777777" w:rsidR="00FA26F2" w:rsidRDefault="00FA26F2" w:rsidP="00FA26F2">
      <w:pPr>
        <w:pStyle w:val="Paragraphedeliste"/>
        <w:numPr>
          <w:ilvl w:val="0"/>
          <w:numId w:val="10"/>
        </w:numPr>
        <w:jc w:val="both"/>
        <w:rPr>
          <w:rFonts w:ascii="Cambria" w:hAnsi="Cambria"/>
          <w:bCs/>
        </w:rPr>
      </w:pPr>
      <w:r w:rsidRPr="00FA26F2">
        <w:rPr>
          <w:rFonts w:ascii="Cambria" w:hAnsi="Cambria"/>
          <w:bCs/>
        </w:rPr>
        <w:t>Une configuration de 257 sièges répartis comme suit :</w:t>
      </w:r>
    </w:p>
    <w:p w14:paraId="0BD75F7A" w14:textId="7BCEFCCD" w:rsidR="00FA26F2" w:rsidRDefault="00FA26F2" w:rsidP="00FA26F2">
      <w:pPr>
        <w:pStyle w:val="Paragraphedeliste"/>
        <w:numPr>
          <w:ilvl w:val="0"/>
          <w:numId w:val="4"/>
        </w:numPr>
        <w:jc w:val="both"/>
        <w:rPr>
          <w:rFonts w:ascii="Cambria" w:hAnsi="Cambria"/>
          <w:bCs/>
        </w:rPr>
      </w:pPr>
      <w:r w:rsidRPr="00FA26F2">
        <w:rPr>
          <w:rFonts w:ascii="Cambria" w:hAnsi="Cambria"/>
          <w:bCs/>
        </w:rPr>
        <w:t xml:space="preserve">48 sièges en classe affaire </w:t>
      </w:r>
    </w:p>
    <w:p w14:paraId="480D215E" w14:textId="4EC534F0" w:rsidR="00FA26F2" w:rsidRDefault="00FA26F2" w:rsidP="00FA26F2">
      <w:pPr>
        <w:pStyle w:val="Paragraphedeliste"/>
        <w:numPr>
          <w:ilvl w:val="0"/>
          <w:numId w:val="4"/>
        </w:numPr>
        <w:jc w:val="both"/>
        <w:rPr>
          <w:rFonts w:ascii="Cambria" w:hAnsi="Cambria"/>
          <w:bCs/>
        </w:rPr>
      </w:pPr>
      <w:r w:rsidRPr="00FA26F2">
        <w:rPr>
          <w:rFonts w:ascii="Cambria" w:hAnsi="Cambria"/>
          <w:bCs/>
        </w:rPr>
        <w:t xml:space="preserve">21 sièges en classe Eco-premium </w:t>
      </w:r>
    </w:p>
    <w:p w14:paraId="4D9FE2E8" w14:textId="7E8CCDC0" w:rsidR="00FA26F2" w:rsidRDefault="00FA26F2" w:rsidP="00FA26F2">
      <w:pPr>
        <w:pStyle w:val="Paragraphedeliste"/>
        <w:numPr>
          <w:ilvl w:val="0"/>
          <w:numId w:val="4"/>
        </w:numPr>
        <w:jc w:val="both"/>
        <w:rPr>
          <w:rFonts w:ascii="Cambria" w:hAnsi="Cambria"/>
          <w:bCs/>
        </w:rPr>
      </w:pPr>
      <w:r w:rsidRPr="00FA26F2">
        <w:rPr>
          <w:rFonts w:ascii="Cambria" w:hAnsi="Cambria"/>
          <w:bCs/>
        </w:rPr>
        <w:t xml:space="preserve">188 sièges en classe économique </w:t>
      </w:r>
    </w:p>
    <w:p w14:paraId="1B8ECF4F" w14:textId="77777777" w:rsidR="00FA26F2" w:rsidRDefault="00FA26F2" w:rsidP="00FA26F2">
      <w:pPr>
        <w:jc w:val="both"/>
        <w:rPr>
          <w:rFonts w:ascii="Cambria" w:hAnsi="Cambria"/>
          <w:bCs/>
        </w:rPr>
      </w:pPr>
    </w:p>
    <w:p w14:paraId="1D657760" w14:textId="77777777" w:rsidR="00FA26F2" w:rsidRDefault="00FA26F2" w:rsidP="00FA26F2">
      <w:pPr>
        <w:pStyle w:val="Paragraphedeliste"/>
        <w:numPr>
          <w:ilvl w:val="0"/>
          <w:numId w:val="10"/>
        </w:numPr>
        <w:jc w:val="both"/>
        <w:rPr>
          <w:rFonts w:ascii="Cambria" w:hAnsi="Cambria"/>
          <w:bCs/>
        </w:rPr>
      </w:pPr>
      <w:r w:rsidRPr="00FA26F2">
        <w:rPr>
          <w:rFonts w:ascii="Cambria" w:hAnsi="Cambria"/>
          <w:bCs/>
        </w:rPr>
        <w:t>Une configuration de 252 sièges répartis de la manière suivante :</w:t>
      </w:r>
    </w:p>
    <w:p w14:paraId="7F5BB22A" w14:textId="7ABE3489" w:rsidR="00FA26F2" w:rsidRDefault="00FA26F2" w:rsidP="00FA26F2">
      <w:pPr>
        <w:pStyle w:val="Paragraphedeliste"/>
        <w:numPr>
          <w:ilvl w:val="0"/>
          <w:numId w:val="4"/>
        </w:numPr>
        <w:jc w:val="both"/>
        <w:rPr>
          <w:rFonts w:ascii="Cambria" w:hAnsi="Cambria"/>
          <w:bCs/>
        </w:rPr>
      </w:pPr>
      <w:r w:rsidRPr="00FA26F2">
        <w:rPr>
          <w:rFonts w:ascii="Cambria" w:hAnsi="Cambria"/>
          <w:bCs/>
        </w:rPr>
        <w:t>48 sièges en classe affaire</w:t>
      </w:r>
      <w:r>
        <w:rPr>
          <w:rFonts w:ascii="Cambria" w:hAnsi="Cambria"/>
          <w:bCs/>
        </w:rPr>
        <w:t> </w:t>
      </w:r>
    </w:p>
    <w:p w14:paraId="47C2D476" w14:textId="3937AE48" w:rsidR="00E41D28" w:rsidRDefault="00FA26F2" w:rsidP="00494EA8">
      <w:pPr>
        <w:pStyle w:val="Paragraphedeliste"/>
        <w:numPr>
          <w:ilvl w:val="0"/>
          <w:numId w:val="4"/>
        </w:numPr>
        <w:jc w:val="both"/>
        <w:rPr>
          <w:rFonts w:ascii="Cambria" w:hAnsi="Cambria"/>
          <w:bCs/>
        </w:rPr>
      </w:pPr>
      <w:r w:rsidRPr="00FA26F2">
        <w:rPr>
          <w:rFonts w:ascii="Cambria" w:hAnsi="Cambria"/>
          <w:bCs/>
        </w:rPr>
        <w:t>204 sièges en classe économique</w:t>
      </w:r>
      <w:bookmarkStart w:id="13" w:name="_Hlk88633261"/>
    </w:p>
    <w:p w14:paraId="2825D7AD" w14:textId="77777777" w:rsidR="00494EA8" w:rsidRPr="00494EA8" w:rsidRDefault="00494EA8" w:rsidP="00494EA8">
      <w:pPr>
        <w:pStyle w:val="Paragraphedeliste"/>
        <w:ind w:left="1080"/>
        <w:jc w:val="both"/>
        <w:rPr>
          <w:rFonts w:ascii="Cambria" w:hAnsi="Cambria"/>
          <w:bCs/>
        </w:rPr>
      </w:pPr>
    </w:p>
    <w:p w14:paraId="674FC256" w14:textId="121B8416" w:rsidR="00FA26F2" w:rsidRDefault="00FA26F2" w:rsidP="00F80F49">
      <w:pPr>
        <w:jc w:val="both"/>
        <w:rPr>
          <w:rFonts w:ascii="Cambria" w:hAnsi="Cambria"/>
        </w:rPr>
      </w:pPr>
    </w:p>
    <w:p w14:paraId="4487BFA5" w14:textId="7A1153DB" w:rsidR="00691BB6" w:rsidRDefault="00691BB6" w:rsidP="00691BB6">
      <w:pPr>
        <w:pStyle w:val="Titre2"/>
        <w:rPr>
          <w:lang w:eastAsia="fr-FR"/>
        </w:rPr>
      </w:pPr>
      <w:bookmarkStart w:id="14" w:name="_Toc88668362"/>
      <w:r>
        <w:rPr>
          <w:lang w:eastAsia="fr-FR"/>
        </w:rPr>
        <w:t>L’indice générale des prix à la consommation (IPC) recule de 0</w:t>
      </w:r>
      <w:r w:rsidR="00E41D28">
        <w:rPr>
          <w:lang w:eastAsia="fr-FR"/>
        </w:rPr>
        <w:t>,</w:t>
      </w:r>
      <w:r>
        <w:rPr>
          <w:lang w:eastAsia="fr-FR"/>
        </w:rPr>
        <w:t>1%</w:t>
      </w:r>
      <w:bookmarkEnd w:id="14"/>
    </w:p>
    <w:p w14:paraId="44A70AC5" w14:textId="69432C01" w:rsidR="00FA26F2" w:rsidRDefault="00FA26F2" w:rsidP="00F80F49">
      <w:pPr>
        <w:jc w:val="both"/>
        <w:rPr>
          <w:rFonts w:ascii="Cambria" w:hAnsi="Cambria"/>
        </w:rPr>
      </w:pPr>
    </w:p>
    <w:p w14:paraId="7D4D3E77" w14:textId="77777777" w:rsidR="00691BB6" w:rsidRDefault="00691BB6" w:rsidP="00691BB6">
      <w:pPr>
        <w:jc w:val="both"/>
        <w:rPr>
          <w:rFonts w:ascii="Cambria" w:hAnsi="Cambria"/>
          <w:bCs/>
        </w:rPr>
      </w:pPr>
      <w:r w:rsidRPr="00691BB6">
        <w:rPr>
          <w:rFonts w:ascii="Cambria" w:hAnsi="Cambria"/>
          <w:bCs/>
        </w:rPr>
        <w:t xml:space="preserve">En octobre 2021, l'indice général des prix à la consommation (IPC) recule de 0,1 % et s'établit à 100,22. C’est essentiellement l’évolution des prix des transports (-0,5 %) qui tire l’indice vers le bas. En rythme annuel, l’indice général progresse de 1,1 %. </w:t>
      </w:r>
      <w:r w:rsidRPr="00691BB6">
        <w:rPr>
          <w:rFonts w:ascii="Cambria" w:hAnsi="Cambria"/>
          <w:bCs/>
        </w:rPr>
        <w:br/>
      </w:r>
    </w:p>
    <w:p w14:paraId="0FA514EB" w14:textId="3180387C" w:rsidR="00691BB6" w:rsidRDefault="00691BB6" w:rsidP="00691BB6">
      <w:pPr>
        <w:jc w:val="both"/>
        <w:rPr>
          <w:rFonts w:ascii="Cambria" w:hAnsi="Cambria"/>
          <w:bCs/>
        </w:rPr>
      </w:pPr>
      <w:r w:rsidRPr="00691BB6">
        <w:rPr>
          <w:rFonts w:ascii="Cambria" w:hAnsi="Cambria"/>
          <w:bCs/>
        </w:rPr>
        <w:lastRenderedPageBreak/>
        <w:t>L’indice ouvrier et l'indice général hors Transport aérien international se contractent, respectivement, de 0,3 % et 0,2% sur le mois et progressent tous deux de 1,2 % en glissement annuel. En rythme annuel, contrairement à la tendance métropolitaine, la hausse des prix se stabilise en Polynésie.</w:t>
      </w:r>
    </w:p>
    <w:p w14:paraId="1F03C9CF" w14:textId="77777777" w:rsidR="00691BB6" w:rsidRPr="00691BB6" w:rsidRDefault="00691BB6" w:rsidP="00691BB6">
      <w:pPr>
        <w:jc w:val="both"/>
        <w:rPr>
          <w:rFonts w:ascii="Cambria" w:hAnsi="Cambria"/>
          <w:bCs/>
        </w:rPr>
      </w:pPr>
    </w:p>
    <w:p w14:paraId="4B202B66" w14:textId="77777777" w:rsidR="00691BB6" w:rsidRPr="00691BB6" w:rsidRDefault="00691BB6" w:rsidP="00691BB6">
      <w:pPr>
        <w:jc w:val="both"/>
        <w:rPr>
          <w:rFonts w:ascii="Cambria" w:hAnsi="Cambria"/>
          <w:bCs/>
        </w:rPr>
      </w:pPr>
      <w:r w:rsidRPr="00691BB6">
        <w:rPr>
          <w:rFonts w:ascii="Cambria" w:hAnsi="Cambria"/>
          <w:bCs/>
        </w:rPr>
        <w:t>L’évolution de l'IPC au cours du dernier mois s'explique principalement par la diminution de 0,5 % des prix des transports, tirés vers le bas par les prix des voitures particulières (- 0,8 %) et par les prix des transports aériens (- 0,8 %). Les légumes (- 2,0 %), les fruits (- 1,5 %), les huiles et graisses (- 0,8 %) ainsi que la viande (- 0,6 %), les articles d'habillement et les articles chaussants (- 2,4 %), l'ameublement, équipement ménager et entretien courant de la maison (- 0,5 %), les soins personnels (- 1,0 %) et au sein de la santé, les produits pharmaceutiques (- 0,2 %) évoluent également à la baisse. Ces tendances sont en partie compensées par l’évolution des prix des boissons alcoolisées (+ 0,5 %), des produits pour l'entretien et la réparation du logement (+ 1,5 %), des biens durables pour les loisirs d'extérieur (+ 1,7 %), des voyages à forfait (+ 4,7 %) et de l'hôtellerie, restauration (+ 0,2 %).</w:t>
      </w:r>
    </w:p>
    <w:bookmarkEnd w:id="13"/>
    <w:p w14:paraId="44AE0542" w14:textId="1CC279A9" w:rsidR="00FA26F2" w:rsidRDefault="00FA26F2" w:rsidP="00F80F49">
      <w:pPr>
        <w:jc w:val="both"/>
        <w:rPr>
          <w:rFonts w:ascii="Cambria" w:hAnsi="Cambria"/>
        </w:rPr>
      </w:pPr>
    </w:p>
    <w:p w14:paraId="6BC20336" w14:textId="77777777" w:rsidR="00FA26F2" w:rsidRDefault="00FA26F2" w:rsidP="00F80F49">
      <w:pPr>
        <w:jc w:val="both"/>
        <w:rPr>
          <w:rFonts w:ascii="Cambria" w:hAnsi="Cambria"/>
        </w:rPr>
      </w:pPr>
    </w:p>
    <w:p w14:paraId="3F3CD179" w14:textId="05BD1AB9" w:rsidR="0006201F" w:rsidRDefault="0006201F" w:rsidP="0006201F">
      <w:pPr>
        <w:pStyle w:val="Titre1"/>
      </w:pPr>
      <w:bookmarkStart w:id="15" w:name="_Toc88668363"/>
      <w:r w:rsidRPr="00F532C7">
        <w:t xml:space="preserve">- </w:t>
      </w:r>
      <w:r>
        <w:t>MED-</w:t>
      </w:r>
      <w:bookmarkEnd w:id="15"/>
    </w:p>
    <w:p w14:paraId="42B6D8EA" w14:textId="77777777" w:rsidR="0006201F" w:rsidRPr="0006201F" w:rsidRDefault="0006201F" w:rsidP="0006201F"/>
    <w:p w14:paraId="62BFF0D7" w14:textId="1F163546" w:rsidR="0006201F" w:rsidRDefault="0006201F" w:rsidP="0006201F">
      <w:pPr>
        <w:pStyle w:val="Titre2"/>
        <w:rPr>
          <w:lang w:eastAsia="fr-FR"/>
        </w:rPr>
      </w:pPr>
      <w:bookmarkStart w:id="16" w:name="_Toc88668364"/>
      <w:r>
        <w:rPr>
          <w:lang w:eastAsia="fr-FR"/>
        </w:rPr>
        <w:t>Projet polynésien de l’enseignement agricole</w:t>
      </w:r>
      <w:r w:rsidR="00C61300">
        <w:rPr>
          <w:lang w:eastAsia="fr-FR"/>
        </w:rPr>
        <w:t xml:space="preserve"> 2021-2025</w:t>
      </w:r>
      <w:bookmarkEnd w:id="16"/>
    </w:p>
    <w:p w14:paraId="32067282" w14:textId="77777777" w:rsidR="00C61300" w:rsidRPr="00C61300" w:rsidRDefault="00C61300" w:rsidP="00C61300">
      <w:pPr>
        <w:rPr>
          <w:lang w:eastAsia="fr-FR"/>
        </w:rPr>
      </w:pPr>
    </w:p>
    <w:p w14:paraId="0394A37D" w14:textId="00BD87EA" w:rsidR="00C61300" w:rsidRDefault="00C61300" w:rsidP="00C61300">
      <w:pPr>
        <w:jc w:val="both"/>
        <w:rPr>
          <w:rFonts w:ascii="Cambria" w:hAnsi="Cambria"/>
          <w:lang w:eastAsia="fr-FR"/>
        </w:rPr>
      </w:pPr>
      <w:r w:rsidRPr="00C61300">
        <w:rPr>
          <w:rFonts w:ascii="Cambria" w:hAnsi="Cambria"/>
          <w:lang w:eastAsia="fr-FR"/>
        </w:rPr>
        <w:t xml:space="preserve">Le Conseil des </w:t>
      </w:r>
      <w:r>
        <w:rPr>
          <w:rFonts w:ascii="Cambria" w:hAnsi="Cambria"/>
          <w:lang w:eastAsia="fr-FR"/>
        </w:rPr>
        <w:t>m</w:t>
      </w:r>
      <w:r w:rsidRPr="00C61300">
        <w:rPr>
          <w:rFonts w:ascii="Cambria" w:hAnsi="Cambria"/>
          <w:lang w:eastAsia="fr-FR"/>
        </w:rPr>
        <w:t xml:space="preserve">inistres a examiné ce jour le Projet </w:t>
      </w:r>
      <w:r>
        <w:rPr>
          <w:rFonts w:ascii="Cambria" w:hAnsi="Cambria"/>
          <w:lang w:eastAsia="fr-FR"/>
        </w:rPr>
        <w:t>p</w:t>
      </w:r>
      <w:r w:rsidRPr="00C61300">
        <w:rPr>
          <w:rFonts w:ascii="Cambria" w:hAnsi="Cambria"/>
          <w:lang w:eastAsia="fr-FR"/>
        </w:rPr>
        <w:t xml:space="preserve">olynésien de l’enseignement agricole </w:t>
      </w:r>
      <w:r>
        <w:rPr>
          <w:rFonts w:ascii="Cambria" w:hAnsi="Cambria"/>
          <w:lang w:eastAsia="fr-FR"/>
        </w:rPr>
        <w:t xml:space="preserve">(PPEA) </w:t>
      </w:r>
      <w:r w:rsidRPr="00C61300">
        <w:rPr>
          <w:rFonts w:ascii="Cambria" w:hAnsi="Cambria"/>
          <w:lang w:eastAsia="fr-FR"/>
        </w:rPr>
        <w:t>2021-2025, en vue de le transmettre pour approbation par l’Assemblée de la Polynésie française.</w:t>
      </w:r>
    </w:p>
    <w:p w14:paraId="5E9C63F0" w14:textId="77777777" w:rsidR="00C61300" w:rsidRPr="00C61300" w:rsidRDefault="00C61300" w:rsidP="00C61300">
      <w:pPr>
        <w:jc w:val="both"/>
        <w:rPr>
          <w:rFonts w:ascii="Cambria" w:hAnsi="Cambria"/>
          <w:lang w:eastAsia="fr-FR"/>
        </w:rPr>
      </w:pPr>
    </w:p>
    <w:p w14:paraId="78509459" w14:textId="071CD2BB" w:rsidR="00C61300" w:rsidRDefault="00C61300" w:rsidP="00C61300">
      <w:pPr>
        <w:jc w:val="both"/>
        <w:rPr>
          <w:rFonts w:ascii="Cambria" w:hAnsi="Cambria"/>
          <w:lang w:eastAsia="fr-FR"/>
        </w:rPr>
      </w:pPr>
      <w:r w:rsidRPr="00C61300">
        <w:rPr>
          <w:rFonts w:ascii="Cambria" w:hAnsi="Cambria"/>
          <w:lang w:eastAsia="fr-FR"/>
        </w:rPr>
        <w:t>Ce nouveau plan d’enseignement agricole s’intègre dans la mise en œuvre du schéma directeur « Agriculture » 2021-2030, adopté en février dernier, et fixe ainsi pour les cinq prochaines années les grands axes d’une politique de formation, d’insertion et d’innovation de l’enseignement agricole afin de préparer la jeunesse à relever les défis de</w:t>
      </w:r>
      <w:r>
        <w:rPr>
          <w:rFonts w:ascii="Cambria" w:hAnsi="Cambria"/>
          <w:lang w:eastAsia="fr-FR"/>
        </w:rPr>
        <w:t xml:space="preserve"> l’</w:t>
      </w:r>
      <w:r w:rsidRPr="00C61300">
        <w:rPr>
          <w:rFonts w:ascii="Cambria" w:hAnsi="Cambria"/>
          <w:lang w:eastAsia="fr-FR"/>
        </w:rPr>
        <w:t xml:space="preserve">agriculture et de </w:t>
      </w:r>
      <w:r>
        <w:rPr>
          <w:rFonts w:ascii="Cambria" w:hAnsi="Cambria"/>
          <w:lang w:eastAsia="fr-FR"/>
        </w:rPr>
        <w:t>l’</w:t>
      </w:r>
      <w:r w:rsidRPr="00C61300">
        <w:rPr>
          <w:rFonts w:ascii="Cambria" w:hAnsi="Cambria"/>
          <w:lang w:eastAsia="fr-FR"/>
        </w:rPr>
        <w:t>autonomie alimentaire</w:t>
      </w:r>
      <w:r>
        <w:rPr>
          <w:rFonts w:ascii="Cambria" w:hAnsi="Cambria"/>
          <w:lang w:eastAsia="fr-FR"/>
        </w:rPr>
        <w:t xml:space="preserve"> de la Polynésie française.</w:t>
      </w:r>
    </w:p>
    <w:p w14:paraId="57CA0E08" w14:textId="77777777" w:rsidR="00C61300" w:rsidRPr="00C61300" w:rsidRDefault="00C61300" w:rsidP="00C61300">
      <w:pPr>
        <w:jc w:val="both"/>
        <w:rPr>
          <w:rFonts w:ascii="Cambria" w:hAnsi="Cambria"/>
          <w:lang w:eastAsia="fr-FR"/>
        </w:rPr>
      </w:pPr>
    </w:p>
    <w:p w14:paraId="46582566" w14:textId="77CCF77E" w:rsidR="00C61300" w:rsidRDefault="00C61300" w:rsidP="00C61300">
      <w:pPr>
        <w:jc w:val="both"/>
        <w:rPr>
          <w:rFonts w:ascii="Cambria" w:hAnsi="Cambria"/>
          <w:lang w:eastAsia="fr-FR"/>
        </w:rPr>
      </w:pPr>
      <w:r w:rsidRPr="00C61300">
        <w:rPr>
          <w:rFonts w:ascii="Cambria" w:hAnsi="Cambria"/>
          <w:lang w:eastAsia="fr-FR"/>
        </w:rPr>
        <w:t xml:space="preserve">La restructuration de l’enseignement agricole au sein des onze établissements dédiés de Polynésie française vise, à partir de la multifonctionnalité de l’agriculture, à enrichir, élargir et articuler entre elles ses différentes missions afin d’être en mesure de contribuer davantage à l’aménagement du territoire, la préservation de l’environnement, l’amélioration de la qualité des produits et son corollaire, la santé publique, l’activité économique et l’insertion professionnelle et sociale des jeunes. </w:t>
      </w:r>
    </w:p>
    <w:p w14:paraId="0D3F9962" w14:textId="77777777" w:rsidR="00C61300" w:rsidRPr="00C61300" w:rsidRDefault="00C61300" w:rsidP="00C61300">
      <w:pPr>
        <w:jc w:val="both"/>
        <w:rPr>
          <w:rFonts w:ascii="Cambria" w:hAnsi="Cambria"/>
          <w:lang w:eastAsia="fr-FR"/>
        </w:rPr>
      </w:pPr>
    </w:p>
    <w:p w14:paraId="68FFC375" w14:textId="36FA5F2F" w:rsidR="00C61300" w:rsidRPr="00C61300" w:rsidRDefault="00C61300" w:rsidP="00C61300">
      <w:pPr>
        <w:jc w:val="both"/>
        <w:rPr>
          <w:rFonts w:ascii="Cambria" w:hAnsi="Cambria"/>
          <w:lang w:eastAsia="fr-FR"/>
        </w:rPr>
      </w:pPr>
      <w:r w:rsidRPr="00C61300">
        <w:rPr>
          <w:rFonts w:ascii="Cambria" w:hAnsi="Cambria"/>
          <w:lang w:eastAsia="fr-FR"/>
        </w:rPr>
        <w:t>Pour mener à bien ce premier PPEA, un comité de pilotage a été désigné pour organiser la concertation entre toutes les parties prenantes de la formation agricole. Il a proposé 5 thèmes de réflexions</w:t>
      </w:r>
      <w:r>
        <w:rPr>
          <w:rFonts w:ascii="Cambria" w:hAnsi="Cambria"/>
          <w:lang w:eastAsia="fr-FR"/>
        </w:rPr>
        <w:t xml:space="preserve"> </w:t>
      </w:r>
      <w:r w:rsidRPr="00C61300">
        <w:rPr>
          <w:rFonts w:ascii="Cambria" w:hAnsi="Cambria"/>
          <w:lang w:eastAsia="fr-FR"/>
        </w:rPr>
        <w:t>:</w:t>
      </w:r>
    </w:p>
    <w:p w14:paraId="30C5AA7D" w14:textId="77777777" w:rsidR="00C61300" w:rsidRDefault="00C61300" w:rsidP="00C61300">
      <w:pPr>
        <w:pStyle w:val="Paragraphedeliste"/>
        <w:numPr>
          <w:ilvl w:val="0"/>
          <w:numId w:val="9"/>
        </w:numPr>
        <w:jc w:val="both"/>
        <w:rPr>
          <w:rFonts w:ascii="Cambria" w:hAnsi="Cambria"/>
          <w:lang w:eastAsia="fr-FR"/>
        </w:rPr>
      </w:pPr>
      <w:r w:rsidRPr="00C61300">
        <w:rPr>
          <w:rFonts w:ascii="Cambria" w:hAnsi="Cambria"/>
          <w:lang w:eastAsia="fr-FR"/>
        </w:rPr>
        <w:t>La promotion des métiers de l’agriculture et des formations agricoles ;</w:t>
      </w:r>
    </w:p>
    <w:p w14:paraId="75C3ED8E" w14:textId="77777777" w:rsidR="00C61300" w:rsidRDefault="00C61300" w:rsidP="00C61300">
      <w:pPr>
        <w:pStyle w:val="Paragraphedeliste"/>
        <w:numPr>
          <w:ilvl w:val="0"/>
          <w:numId w:val="9"/>
        </w:numPr>
        <w:jc w:val="both"/>
        <w:rPr>
          <w:rFonts w:ascii="Cambria" w:hAnsi="Cambria"/>
          <w:lang w:eastAsia="fr-FR"/>
        </w:rPr>
      </w:pPr>
      <w:r w:rsidRPr="00C61300">
        <w:rPr>
          <w:rFonts w:ascii="Cambria" w:hAnsi="Cambria"/>
          <w:lang w:eastAsia="fr-FR"/>
        </w:rPr>
        <w:t>La carte des formations initiales scolaires de l’enseignement agricole ;</w:t>
      </w:r>
    </w:p>
    <w:p w14:paraId="5C299911" w14:textId="77777777" w:rsidR="00C61300" w:rsidRDefault="00C61300" w:rsidP="00C61300">
      <w:pPr>
        <w:pStyle w:val="Paragraphedeliste"/>
        <w:numPr>
          <w:ilvl w:val="0"/>
          <w:numId w:val="9"/>
        </w:numPr>
        <w:jc w:val="both"/>
        <w:rPr>
          <w:rFonts w:ascii="Cambria" w:hAnsi="Cambria"/>
          <w:lang w:eastAsia="fr-FR"/>
        </w:rPr>
      </w:pPr>
      <w:r w:rsidRPr="00C61300">
        <w:rPr>
          <w:rFonts w:ascii="Cambria" w:hAnsi="Cambria"/>
          <w:lang w:eastAsia="fr-FR"/>
        </w:rPr>
        <w:t>La professionnalisation des acteurs de la production agricole et de l’agro-transformation à travers un dispositif de formation professionnelle continue ;</w:t>
      </w:r>
    </w:p>
    <w:p w14:paraId="0BDC5375" w14:textId="77777777" w:rsidR="00C61300" w:rsidRDefault="00C61300" w:rsidP="00C61300">
      <w:pPr>
        <w:pStyle w:val="Paragraphedeliste"/>
        <w:numPr>
          <w:ilvl w:val="0"/>
          <w:numId w:val="9"/>
        </w:numPr>
        <w:jc w:val="both"/>
        <w:rPr>
          <w:rFonts w:ascii="Cambria" w:hAnsi="Cambria"/>
          <w:lang w:eastAsia="fr-FR"/>
        </w:rPr>
      </w:pPr>
      <w:r w:rsidRPr="00C61300">
        <w:rPr>
          <w:rFonts w:ascii="Cambria" w:hAnsi="Cambria"/>
          <w:lang w:eastAsia="fr-FR"/>
        </w:rPr>
        <w:t>L’insertion des apprenants dans la société : lutte contre le décrochage scolaire et éducation à la citoyenneté ;</w:t>
      </w:r>
    </w:p>
    <w:p w14:paraId="4BEAC605" w14:textId="70946767" w:rsidR="00C61300" w:rsidRDefault="00C61300" w:rsidP="00C61300">
      <w:pPr>
        <w:pStyle w:val="Paragraphedeliste"/>
        <w:numPr>
          <w:ilvl w:val="0"/>
          <w:numId w:val="9"/>
        </w:numPr>
        <w:jc w:val="both"/>
        <w:rPr>
          <w:rFonts w:ascii="Cambria" w:hAnsi="Cambria"/>
          <w:lang w:eastAsia="fr-FR"/>
        </w:rPr>
      </w:pPr>
      <w:r w:rsidRPr="00C61300">
        <w:rPr>
          <w:rFonts w:ascii="Cambria" w:hAnsi="Cambria"/>
          <w:lang w:eastAsia="fr-FR"/>
        </w:rPr>
        <w:lastRenderedPageBreak/>
        <w:t>Le pilotage de l’enseignement agricole face à l’évolution de l’appareil de formation.</w:t>
      </w:r>
    </w:p>
    <w:p w14:paraId="084FDE85" w14:textId="77777777" w:rsidR="00726CC1" w:rsidRPr="00C61300" w:rsidRDefault="00726CC1" w:rsidP="00726CC1">
      <w:pPr>
        <w:pStyle w:val="Paragraphedeliste"/>
        <w:jc w:val="both"/>
        <w:rPr>
          <w:rFonts w:ascii="Cambria" w:hAnsi="Cambria"/>
          <w:lang w:eastAsia="fr-FR"/>
        </w:rPr>
      </w:pPr>
    </w:p>
    <w:p w14:paraId="6DE604C1" w14:textId="4DC112D4" w:rsidR="0006201F" w:rsidRDefault="00C61300" w:rsidP="00C61300">
      <w:pPr>
        <w:jc w:val="both"/>
        <w:rPr>
          <w:rFonts w:ascii="Cambria" w:hAnsi="Cambria"/>
          <w:lang w:eastAsia="fr-FR"/>
        </w:rPr>
      </w:pPr>
      <w:r w:rsidRPr="00C61300">
        <w:rPr>
          <w:rFonts w:ascii="Cambria" w:hAnsi="Cambria"/>
          <w:lang w:eastAsia="fr-FR"/>
        </w:rPr>
        <w:t>Pour chacun des thèmes, un groupe de travail s’est réuni, composé des acteurs locaux de la mission éducative et d’enseignement, ainsi que du développement agricole. Les consultations se sont déroulées entre octobre et décembre 2020. Cette concertation a été prolongée par des réunions bilatérales avec les institutionnels, pour aboutir à un plan de 37 actions à mettre en œuvre dans les 5 prochaines années.</w:t>
      </w:r>
    </w:p>
    <w:p w14:paraId="02FC1AEC" w14:textId="77777777" w:rsidR="00FA26F2" w:rsidRDefault="00FA26F2" w:rsidP="00C61300">
      <w:pPr>
        <w:jc w:val="both"/>
        <w:rPr>
          <w:rFonts w:ascii="Cambria" w:hAnsi="Cambria"/>
          <w:lang w:eastAsia="fr-FR"/>
        </w:rPr>
      </w:pPr>
    </w:p>
    <w:p w14:paraId="5902FF8B" w14:textId="77777777" w:rsidR="00C61300" w:rsidRDefault="00C61300" w:rsidP="00C61300">
      <w:pPr>
        <w:jc w:val="both"/>
        <w:rPr>
          <w:lang w:eastAsia="fr-FR"/>
        </w:rPr>
      </w:pPr>
    </w:p>
    <w:p w14:paraId="184DF30C" w14:textId="4B44100D" w:rsidR="0006201F" w:rsidRDefault="0006201F" w:rsidP="0006201F">
      <w:pPr>
        <w:pStyle w:val="Titre2"/>
        <w:rPr>
          <w:lang w:eastAsia="fr-FR"/>
        </w:rPr>
      </w:pPr>
      <w:bookmarkStart w:id="17" w:name="_Toc88668365"/>
      <w:r>
        <w:rPr>
          <w:lang w:eastAsia="fr-FR"/>
        </w:rPr>
        <w:t>Aide temporaire au soutien de la filière porcine</w:t>
      </w:r>
      <w:bookmarkEnd w:id="17"/>
    </w:p>
    <w:p w14:paraId="0D28B0CC" w14:textId="77777777" w:rsidR="0006201F" w:rsidRPr="0006201F" w:rsidRDefault="0006201F" w:rsidP="0006201F">
      <w:pPr>
        <w:rPr>
          <w:lang w:eastAsia="fr-FR"/>
        </w:rPr>
      </w:pPr>
    </w:p>
    <w:p w14:paraId="3C1F5F57" w14:textId="6D132F10" w:rsidR="0006201F" w:rsidRDefault="0006201F" w:rsidP="0006201F">
      <w:pPr>
        <w:jc w:val="both"/>
        <w:rPr>
          <w:rFonts w:ascii="Cambria" w:hAnsi="Cambria"/>
          <w:lang w:eastAsia="fr-FR"/>
        </w:rPr>
      </w:pPr>
      <w:r w:rsidRPr="0006201F">
        <w:rPr>
          <w:rFonts w:ascii="Cambria" w:hAnsi="Cambria"/>
          <w:lang w:eastAsia="fr-FR"/>
        </w:rPr>
        <w:t>La filière porcine est une filière prioritaire du développement de la sécurité alimentaire. Elle couvre aujourd’hui 28% des besoins formels du Pays avec la seule production de Tahiti-Moorea et revêt un rôle central dans l’activité de l’abattoir de Papara, outil structurel indispensable pour toutes les filières d’élevage polynésien.</w:t>
      </w:r>
    </w:p>
    <w:p w14:paraId="1401786B" w14:textId="77777777" w:rsidR="0006201F" w:rsidRPr="0006201F" w:rsidRDefault="0006201F" w:rsidP="0006201F">
      <w:pPr>
        <w:jc w:val="both"/>
        <w:rPr>
          <w:rFonts w:ascii="Cambria" w:hAnsi="Cambria"/>
          <w:lang w:eastAsia="fr-FR"/>
        </w:rPr>
      </w:pPr>
    </w:p>
    <w:p w14:paraId="1A996A0B" w14:textId="1775613D" w:rsidR="0006201F" w:rsidRDefault="0006201F" w:rsidP="0006201F">
      <w:pPr>
        <w:jc w:val="both"/>
        <w:rPr>
          <w:rFonts w:ascii="Cambria" w:hAnsi="Cambria"/>
          <w:lang w:eastAsia="fr-FR"/>
        </w:rPr>
      </w:pPr>
      <w:r w:rsidRPr="0006201F">
        <w:rPr>
          <w:rFonts w:ascii="Cambria" w:hAnsi="Cambria"/>
          <w:lang w:eastAsia="fr-FR"/>
        </w:rPr>
        <w:t>La crise due à la pandémie de Covid-19 et les évènements climatiques extrêmes dans les principaux pays céréaliers ont de nombreuses conséquences parmi lesquelles la flambée des cours des matières premières agricoles (aliments pour bétails), au plus haut depuis 10 ans, ainsi qu’un emballement des tarifs de fret maritime international, en particulier depuis l’Asie et l’Océanie.</w:t>
      </w:r>
    </w:p>
    <w:p w14:paraId="0D2015C3" w14:textId="77777777" w:rsidR="0006201F" w:rsidRPr="0006201F" w:rsidRDefault="0006201F" w:rsidP="0006201F">
      <w:pPr>
        <w:jc w:val="both"/>
        <w:rPr>
          <w:rFonts w:ascii="Cambria" w:hAnsi="Cambria"/>
          <w:lang w:eastAsia="fr-FR"/>
        </w:rPr>
      </w:pPr>
    </w:p>
    <w:p w14:paraId="0A85EEE2" w14:textId="76F1A19B" w:rsidR="0006201F" w:rsidRDefault="0006201F" w:rsidP="0006201F">
      <w:pPr>
        <w:jc w:val="both"/>
        <w:rPr>
          <w:rFonts w:ascii="Cambria" w:hAnsi="Cambria"/>
          <w:lang w:eastAsia="fr-FR"/>
        </w:rPr>
      </w:pPr>
      <w:r w:rsidRPr="0006201F">
        <w:rPr>
          <w:rFonts w:ascii="Cambria" w:hAnsi="Cambria"/>
          <w:lang w:eastAsia="fr-FR"/>
        </w:rPr>
        <w:t xml:space="preserve">Ces augmentations importantes sur un poste représentant 70 à 75 % des charges des éleveurs, ont impacté fortement la rentabilité et la viabilité des élevages. </w:t>
      </w:r>
    </w:p>
    <w:p w14:paraId="5DFE4C36" w14:textId="77777777" w:rsidR="0006201F" w:rsidRPr="0006201F" w:rsidRDefault="0006201F" w:rsidP="0006201F">
      <w:pPr>
        <w:jc w:val="both"/>
        <w:rPr>
          <w:rFonts w:ascii="Cambria" w:hAnsi="Cambria"/>
          <w:lang w:eastAsia="fr-FR"/>
        </w:rPr>
      </w:pPr>
    </w:p>
    <w:p w14:paraId="4F2A0122" w14:textId="7FBEADD2" w:rsidR="0006201F" w:rsidRDefault="0006201F" w:rsidP="0006201F">
      <w:pPr>
        <w:jc w:val="both"/>
        <w:rPr>
          <w:rFonts w:ascii="Cambria" w:hAnsi="Cambria"/>
          <w:lang w:eastAsia="fr-FR"/>
        </w:rPr>
      </w:pPr>
      <w:r w:rsidRPr="0006201F">
        <w:rPr>
          <w:rFonts w:ascii="Cambria" w:hAnsi="Cambria"/>
          <w:lang w:eastAsia="fr-FR"/>
        </w:rPr>
        <w:t>Afin de soutenir la production de viande porcine, aussi bien en augmentation des volumes et en qualité, le Gouvernement a décidé la mise en place d’une aide financière temporaire sur les années 2021 et 2022, à destination des éleveurs de porc charcutier.</w:t>
      </w:r>
    </w:p>
    <w:p w14:paraId="511F5B4E" w14:textId="77777777" w:rsidR="0006201F" w:rsidRPr="0006201F" w:rsidRDefault="0006201F" w:rsidP="0006201F">
      <w:pPr>
        <w:jc w:val="both"/>
        <w:rPr>
          <w:rFonts w:ascii="Cambria" w:hAnsi="Cambria"/>
          <w:lang w:eastAsia="fr-FR"/>
        </w:rPr>
      </w:pPr>
    </w:p>
    <w:p w14:paraId="197A5590" w14:textId="082C58FC" w:rsidR="0006201F" w:rsidRDefault="0006201F" w:rsidP="0006201F">
      <w:pPr>
        <w:jc w:val="both"/>
        <w:rPr>
          <w:rFonts w:ascii="Cambria" w:hAnsi="Cambria"/>
          <w:lang w:eastAsia="fr-FR"/>
        </w:rPr>
      </w:pPr>
      <w:r w:rsidRPr="0006201F">
        <w:rPr>
          <w:rFonts w:ascii="Cambria" w:hAnsi="Cambria"/>
          <w:lang w:eastAsia="fr-FR"/>
        </w:rPr>
        <w:t>Cette aide à la production est estimée à une enveloppe globale d’une trentaine de millions qui ser</w:t>
      </w:r>
      <w:r w:rsidR="003D5DC5">
        <w:rPr>
          <w:rFonts w:ascii="Cambria" w:hAnsi="Cambria"/>
          <w:lang w:eastAsia="fr-FR"/>
        </w:rPr>
        <w:t>a</w:t>
      </w:r>
      <w:r w:rsidRPr="0006201F">
        <w:rPr>
          <w:rFonts w:ascii="Cambria" w:hAnsi="Cambria"/>
          <w:lang w:eastAsia="fr-FR"/>
        </w:rPr>
        <w:t xml:space="preserve"> versé</w:t>
      </w:r>
      <w:r w:rsidR="003D5DC5">
        <w:rPr>
          <w:rFonts w:ascii="Cambria" w:hAnsi="Cambria"/>
          <w:lang w:eastAsia="fr-FR"/>
        </w:rPr>
        <w:t>e</w:t>
      </w:r>
      <w:r w:rsidRPr="0006201F">
        <w:rPr>
          <w:rFonts w:ascii="Cambria" w:hAnsi="Cambria"/>
          <w:lang w:eastAsia="fr-FR"/>
        </w:rPr>
        <w:t xml:space="preserve"> début 2022 sur la base des poids carcasses abattus durant l’année 2021 à l’abattoir de Papara.</w:t>
      </w:r>
    </w:p>
    <w:p w14:paraId="57A57E38" w14:textId="77777777" w:rsidR="0006201F" w:rsidRPr="0006201F" w:rsidRDefault="0006201F" w:rsidP="0006201F">
      <w:pPr>
        <w:jc w:val="both"/>
        <w:rPr>
          <w:rFonts w:ascii="Cambria" w:hAnsi="Cambria"/>
          <w:lang w:eastAsia="fr-FR"/>
        </w:rPr>
      </w:pPr>
    </w:p>
    <w:p w14:paraId="3E2A4804" w14:textId="0531317C" w:rsidR="0006201F" w:rsidRPr="0006201F" w:rsidRDefault="0006201F" w:rsidP="0006201F">
      <w:pPr>
        <w:jc w:val="both"/>
        <w:rPr>
          <w:lang w:eastAsia="fr-FR"/>
        </w:rPr>
      </w:pPr>
      <w:r w:rsidRPr="0006201F">
        <w:rPr>
          <w:rFonts w:ascii="Cambria" w:hAnsi="Cambria"/>
          <w:lang w:eastAsia="fr-FR"/>
        </w:rPr>
        <w:t>Dans le même temps afin d’accompagner également les producteurs de porcelets, le syndicat des éleveurs de porc organise des commandes groupées d’aliments afin d’obtenir des prix réduits et attractifs sur les aliments d’élevage.</w:t>
      </w:r>
    </w:p>
    <w:p w14:paraId="564B7117" w14:textId="7013F12A" w:rsidR="00AC5B52" w:rsidRDefault="00AC5B52" w:rsidP="00073530">
      <w:pPr>
        <w:pStyle w:val="NormalWeb"/>
        <w:jc w:val="both"/>
        <w:rPr>
          <w:rFonts w:ascii="Cambria" w:hAnsi="Cambria"/>
        </w:rPr>
      </w:pPr>
    </w:p>
    <w:p w14:paraId="4817C43B" w14:textId="77777777" w:rsidR="00FA26F2" w:rsidRPr="00F532C7" w:rsidRDefault="00FA26F2" w:rsidP="00073530">
      <w:pPr>
        <w:pStyle w:val="NormalWeb"/>
        <w:jc w:val="both"/>
        <w:rPr>
          <w:rFonts w:ascii="Cambria" w:hAnsi="Cambria"/>
        </w:rPr>
      </w:pPr>
    </w:p>
    <w:p w14:paraId="3048671C" w14:textId="381209FE" w:rsidR="00D722E2" w:rsidRDefault="00F532C7" w:rsidP="005D084D">
      <w:pPr>
        <w:pStyle w:val="Titre1"/>
      </w:pPr>
      <w:bookmarkStart w:id="18" w:name="_Toc88668366"/>
      <w:r w:rsidRPr="00F532C7">
        <w:t xml:space="preserve">- </w:t>
      </w:r>
      <w:r w:rsidR="00073530">
        <w:t>MCE</w:t>
      </w:r>
      <w:r w:rsidRPr="00F532C7">
        <w:t xml:space="preserve"> </w:t>
      </w:r>
      <w:r>
        <w:t>-</w:t>
      </w:r>
      <w:bookmarkStart w:id="19" w:name="_Hlk88044199"/>
      <w:bookmarkEnd w:id="18"/>
    </w:p>
    <w:p w14:paraId="2E0FA823" w14:textId="7DF94981" w:rsidR="00D722E2" w:rsidRDefault="00D722E2" w:rsidP="000979C6">
      <w:pPr>
        <w:jc w:val="both"/>
        <w:rPr>
          <w:rFonts w:ascii="Cambria" w:hAnsi="Cambria"/>
          <w:lang w:eastAsia="fr-FR"/>
        </w:rPr>
      </w:pPr>
    </w:p>
    <w:p w14:paraId="2766DECB" w14:textId="5A6FE101" w:rsidR="00D722E2" w:rsidRDefault="00D722E2" w:rsidP="00D722E2">
      <w:pPr>
        <w:pStyle w:val="Titre2"/>
        <w:rPr>
          <w:lang w:eastAsia="fr-FR"/>
        </w:rPr>
      </w:pPr>
      <w:bookmarkStart w:id="20" w:name="_Toc88668367"/>
      <w:r>
        <w:rPr>
          <w:lang w:eastAsia="fr-FR"/>
        </w:rPr>
        <w:t>Salon de noël « Te Noera »</w:t>
      </w:r>
      <w:bookmarkEnd w:id="20"/>
    </w:p>
    <w:p w14:paraId="5F85D3C5" w14:textId="77777777" w:rsidR="00D722E2" w:rsidRDefault="00D722E2" w:rsidP="000979C6">
      <w:pPr>
        <w:jc w:val="both"/>
        <w:rPr>
          <w:rFonts w:ascii="Cambria" w:hAnsi="Cambria"/>
          <w:lang w:eastAsia="fr-FR"/>
        </w:rPr>
      </w:pPr>
    </w:p>
    <w:bookmarkEnd w:id="19"/>
    <w:p w14:paraId="5882B163" w14:textId="77777777" w:rsidR="00D722E2" w:rsidRDefault="00D722E2" w:rsidP="00D722E2">
      <w:pPr>
        <w:jc w:val="both"/>
        <w:rPr>
          <w:rFonts w:ascii="Cambria" w:hAnsi="Cambria"/>
          <w:lang w:eastAsia="fr-FR"/>
        </w:rPr>
      </w:pPr>
      <w:r w:rsidRPr="00D722E2">
        <w:rPr>
          <w:rFonts w:ascii="Cambria" w:hAnsi="Cambria"/>
          <w:lang w:eastAsia="fr-FR"/>
        </w:rPr>
        <w:t xml:space="preserve">Le </w:t>
      </w:r>
      <w:r>
        <w:rPr>
          <w:rFonts w:ascii="Cambria" w:hAnsi="Cambria"/>
          <w:lang w:eastAsia="fr-FR"/>
        </w:rPr>
        <w:t>m</w:t>
      </w:r>
      <w:r w:rsidRPr="00D722E2">
        <w:rPr>
          <w:rFonts w:ascii="Cambria" w:hAnsi="Cambria"/>
          <w:lang w:eastAsia="fr-FR"/>
        </w:rPr>
        <w:t xml:space="preserve">inistère de la Culture en charge de l’artisanat traditionnel a le plaisir de vous annoncer l’ouverture du salon Te Noera, l’un des rendez-vous annuels tant attendus de l’artisanat, mais aussi plus récemment des événements qui nous ont manqué pendant la pandémie de Covid-19. </w:t>
      </w:r>
    </w:p>
    <w:p w14:paraId="1BD16D40" w14:textId="77777777" w:rsidR="00D722E2" w:rsidRDefault="00D722E2" w:rsidP="00D722E2">
      <w:pPr>
        <w:jc w:val="both"/>
        <w:rPr>
          <w:rFonts w:ascii="Cambria" w:hAnsi="Cambria"/>
          <w:lang w:eastAsia="fr-FR"/>
        </w:rPr>
      </w:pPr>
    </w:p>
    <w:p w14:paraId="3BBB91AB" w14:textId="663C2760" w:rsidR="00D722E2" w:rsidRDefault="00D722E2" w:rsidP="00D722E2">
      <w:pPr>
        <w:jc w:val="both"/>
        <w:rPr>
          <w:rFonts w:ascii="Cambria" w:hAnsi="Cambria"/>
          <w:lang w:eastAsia="fr-FR"/>
        </w:rPr>
      </w:pPr>
      <w:r w:rsidRPr="00D722E2">
        <w:rPr>
          <w:rFonts w:ascii="Cambria" w:hAnsi="Cambria"/>
          <w:lang w:eastAsia="fr-FR"/>
        </w:rPr>
        <w:lastRenderedPageBreak/>
        <w:t>Cette 14</w:t>
      </w:r>
      <w:r w:rsidRPr="00D722E2">
        <w:rPr>
          <w:rFonts w:ascii="Cambria" w:hAnsi="Cambria"/>
          <w:vertAlign w:val="superscript"/>
          <w:lang w:eastAsia="fr-FR"/>
        </w:rPr>
        <w:t>ème</w:t>
      </w:r>
      <w:r w:rsidRPr="00D722E2">
        <w:rPr>
          <w:rFonts w:ascii="Cambria" w:hAnsi="Cambria"/>
          <w:lang w:eastAsia="fr-FR"/>
        </w:rPr>
        <w:t xml:space="preserve"> édition est organisée comme de coutume par le comité Tahiti i te Rima </w:t>
      </w:r>
      <w:proofErr w:type="spellStart"/>
      <w:r w:rsidRPr="00D722E2">
        <w:rPr>
          <w:rFonts w:ascii="Cambria" w:hAnsi="Cambria"/>
          <w:lang w:eastAsia="fr-FR"/>
        </w:rPr>
        <w:t>rau</w:t>
      </w:r>
      <w:proofErr w:type="spellEnd"/>
      <w:r w:rsidRPr="00D722E2">
        <w:rPr>
          <w:rFonts w:ascii="Cambria" w:hAnsi="Cambria"/>
          <w:lang w:eastAsia="fr-FR"/>
        </w:rPr>
        <w:t xml:space="preserve">, présidé par Nathalie </w:t>
      </w:r>
      <w:proofErr w:type="spellStart"/>
      <w:r w:rsidRPr="00D722E2">
        <w:rPr>
          <w:rFonts w:ascii="Cambria" w:hAnsi="Cambria"/>
          <w:lang w:eastAsia="fr-FR"/>
        </w:rPr>
        <w:t>Teariki</w:t>
      </w:r>
      <w:proofErr w:type="spellEnd"/>
      <w:r w:rsidRPr="00D722E2">
        <w:rPr>
          <w:rFonts w:ascii="Cambria" w:hAnsi="Cambria"/>
          <w:lang w:eastAsia="fr-FR"/>
        </w:rPr>
        <w:t>. Le salon est ouvert du 1</w:t>
      </w:r>
      <w:r w:rsidRPr="00D722E2">
        <w:rPr>
          <w:rFonts w:ascii="Cambria" w:hAnsi="Cambria"/>
          <w:vertAlign w:val="superscript"/>
          <w:lang w:eastAsia="fr-FR"/>
        </w:rPr>
        <w:t>er</w:t>
      </w:r>
      <w:r w:rsidRPr="00D722E2">
        <w:rPr>
          <w:rFonts w:ascii="Cambria" w:hAnsi="Cambria"/>
          <w:lang w:eastAsia="fr-FR"/>
        </w:rPr>
        <w:t xml:space="preserve"> au 24 décembre 2021 au parc</w:t>
      </w:r>
      <w:r>
        <w:rPr>
          <w:rFonts w:ascii="Cambria" w:hAnsi="Cambria"/>
          <w:lang w:eastAsia="fr-FR"/>
        </w:rPr>
        <w:t xml:space="preserve"> des </w:t>
      </w:r>
      <w:r w:rsidRPr="00D722E2">
        <w:rPr>
          <w:rFonts w:ascii="Cambria" w:hAnsi="Cambria"/>
          <w:lang w:eastAsia="fr-FR"/>
        </w:rPr>
        <w:t>expo</w:t>
      </w:r>
      <w:r>
        <w:rPr>
          <w:rFonts w:ascii="Cambria" w:hAnsi="Cambria"/>
          <w:lang w:eastAsia="fr-FR"/>
        </w:rPr>
        <w:t>sitions</w:t>
      </w:r>
      <w:r w:rsidRPr="00D722E2">
        <w:rPr>
          <w:rFonts w:ascii="Cambria" w:hAnsi="Cambria"/>
          <w:lang w:eastAsia="fr-FR"/>
        </w:rPr>
        <w:t xml:space="preserve"> de Mamao, et se tiendra cette année sur le thème du sabot du </w:t>
      </w:r>
      <w:r w:rsidR="00C278F2">
        <w:rPr>
          <w:rFonts w:ascii="Cambria" w:hAnsi="Cambria"/>
          <w:lang w:eastAsia="fr-FR"/>
        </w:rPr>
        <w:t>p</w:t>
      </w:r>
      <w:r w:rsidRPr="00D722E2">
        <w:rPr>
          <w:rFonts w:ascii="Cambria" w:hAnsi="Cambria"/>
          <w:lang w:eastAsia="fr-FR"/>
        </w:rPr>
        <w:t xml:space="preserve">ère </w:t>
      </w:r>
      <w:r w:rsidR="00C278F2">
        <w:rPr>
          <w:rFonts w:ascii="Cambria" w:hAnsi="Cambria"/>
          <w:lang w:eastAsia="fr-FR"/>
        </w:rPr>
        <w:t>n</w:t>
      </w:r>
      <w:r w:rsidRPr="00D722E2">
        <w:rPr>
          <w:rFonts w:ascii="Cambria" w:hAnsi="Cambria"/>
          <w:lang w:eastAsia="fr-FR"/>
        </w:rPr>
        <w:t xml:space="preserve">oël, </w:t>
      </w:r>
      <w:proofErr w:type="spellStart"/>
      <w:r w:rsidRPr="00D722E2">
        <w:rPr>
          <w:rFonts w:ascii="Cambria" w:hAnsi="Cambria"/>
          <w:i/>
          <w:lang w:eastAsia="fr-FR"/>
        </w:rPr>
        <w:t>Tïa’a</w:t>
      </w:r>
      <w:proofErr w:type="spellEnd"/>
      <w:r w:rsidRPr="00D722E2">
        <w:rPr>
          <w:rFonts w:ascii="Cambria" w:hAnsi="Cambria"/>
          <w:i/>
          <w:lang w:eastAsia="fr-FR"/>
        </w:rPr>
        <w:t xml:space="preserve"> </w:t>
      </w:r>
      <w:proofErr w:type="spellStart"/>
      <w:r w:rsidRPr="00D722E2">
        <w:rPr>
          <w:rFonts w:ascii="Cambria" w:hAnsi="Cambria"/>
          <w:i/>
          <w:lang w:eastAsia="fr-FR"/>
        </w:rPr>
        <w:t>nö</w:t>
      </w:r>
      <w:proofErr w:type="spellEnd"/>
      <w:r w:rsidRPr="00D722E2">
        <w:rPr>
          <w:rFonts w:ascii="Cambria" w:hAnsi="Cambria"/>
          <w:i/>
          <w:lang w:eastAsia="fr-FR"/>
        </w:rPr>
        <w:t xml:space="preserve"> Papa </w:t>
      </w:r>
      <w:proofErr w:type="spellStart"/>
      <w:r w:rsidRPr="00D722E2">
        <w:rPr>
          <w:rFonts w:ascii="Cambria" w:hAnsi="Cambria"/>
          <w:i/>
          <w:lang w:eastAsia="fr-FR"/>
        </w:rPr>
        <w:t>Noera</w:t>
      </w:r>
      <w:proofErr w:type="spellEnd"/>
      <w:r w:rsidRPr="00D722E2">
        <w:rPr>
          <w:rFonts w:ascii="Cambria" w:hAnsi="Cambria"/>
          <w:i/>
          <w:lang w:eastAsia="fr-FR"/>
        </w:rPr>
        <w:t>.</w:t>
      </w:r>
      <w:r w:rsidRPr="00D722E2">
        <w:rPr>
          <w:rFonts w:ascii="Cambria" w:hAnsi="Cambria"/>
          <w:lang w:eastAsia="fr-FR"/>
        </w:rPr>
        <w:t xml:space="preserve"> Il regroupe, sur 61 stands, pas moins de 95 artisans qui seront à l’honneur tout au long de l’événement, avec des concours de sculpture sur bois, de tressage et de couture. </w:t>
      </w:r>
    </w:p>
    <w:p w14:paraId="2CBF7A73" w14:textId="77777777" w:rsidR="00EE0217" w:rsidRPr="00D722E2" w:rsidRDefault="00EE0217" w:rsidP="00D722E2">
      <w:pPr>
        <w:jc w:val="both"/>
        <w:rPr>
          <w:rFonts w:ascii="Cambria" w:hAnsi="Cambria"/>
          <w:lang w:eastAsia="fr-FR"/>
        </w:rPr>
      </w:pPr>
    </w:p>
    <w:p w14:paraId="4E99BD6C" w14:textId="737E1641" w:rsidR="00D722E2" w:rsidRPr="00D722E2" w:rsidRDefault="00D722E2" w:rsidP="00D722E2">
      <w:pPr>
        <w:jc w:val="both"/>
        <w:rPr>
          <w:rFonts w:ascii="Cambria" w:hAnsi="Cambria"/>
          <w:lang w:eastAsia="fr-FR"/>
        </w:rPr>
      </w:pPr>
      <w:r w:rsidRPr="00D722E2">
        <w:rPr>
          <w:rFonts w:ascii="Cambria" w:hAnsi="Cambria"/>
          <w:lang w:eastAsia="fr-FR"/>
        </w:rPr>
        <w:t xml:space="preserve">Le comité propose chaque jour des démonstrations, animations et ateliers, pour mettre en valeur l’ensemble des savoir-faire artisanaux réunis sur le salon. Quant aux concours, ils permettront aux artisans de se mesurer sur plusieurs thèmes, en attendant la remise des prix qui aura lieu le jeudi 23 décembre en matinée : </w:t>
      </w:r>
    </w:p>
    <w:p w14:paraId="3F704626" w14:textId="77777777" w:rsidR="00D722E2" w:rsidRPr="00D722E2" w:rsidRDefault="00D722E2" w:rsidP="00D722E2">
      <w:pPr>
        <w:pStyle w:val="Paragraphedeliste"/>
        <w:numPr>
          <w:ilvl w:val="0"/>
          <w:numId w:val="13"/>
        </w:numPr>
        <w:jc w:val="both"/>
        <w:rPr>
          <w:rFonts w:ascii="Cambria" w:hAnsi="Cambria"/>
          <w:lang w:eastAsia="fr-FR"/>
        </w:rPr>
      </w:pPr>
      <w:r w:rsidRPr="00D722E2">
        <w:rPr>
          <w:rFonts w:ascii="Cambria" w:hAnsi="Cambria"/>
          <w:lang w:eastAsia="fr-FR"/>
        </w:rPr>
        <w:t>Vannerie : tressage d’un panier</w:t>
      </w:r>
    </w:p>
    <w:p w14:paraId="513FF8AB" w14:textId="5D629812" w:rsidR="00D722E2" w:rsidRPr="00D722E2" w:rsidRDefault="00D722E2" w:rsidP="00D722E2">
      <w:pPr>
        <w:pStyle w:val="Paragraphedeliste"/>
        <w:numPr>
          <w:ilvl w:val="0"/>
          <w:numId w:val="13"/>
        </w:numPr>
        <w:jc w:val="both"/>
        <w:rPr>
          <w:rFonts w:ascii="Cambria" w:hAnsi="Cambria"/>
          <w:lang w:eastAsia="fr-FR"/>
        </w:rPr>
      </w:pPr>
      <w:r w:rsidRPr="00D722E2">
        <w:rPr>
          <w:rFonts w:ascii="Cambria" w:hAnsi="Cambria"/>
          <w:lang w:eastAsia="fr-FR"/>
        </w:rPr>
        <w:t xml:space="preserve">Sculpture sur bois : création d’un sabot de </w:t>
      </w:r>
      <w:r w:rsidR="00C278F2">
        <w:rPr>
          <w:rFonts w:ascii="Cambria" w:hAnsi="Cambria"/>
          <w:lang w:eastAsia="fr-FR"/>
        </w:rPr>
        <w:t>n</w:t>
      </w:r>
      <w:r w:rsidRPr="00D722E2">
        <w:rPr>
          <w:rFonts w:ascii="Cambria" w:hAnsi="Cambria"/>
          <w:lang w:eastAsia="fr-FR"/>
        </w:rPr>
        <w:t>oël</w:t>
      </w:r>
    </w:p>
    <w:p w14:paraId="1E33A24C" w14:textId="7B04C27B" w:rsidR="00D722E2" w:rsidRDefault="00D722E2" w:rsidP="00D722E2">
      <w:pPr>
        <w:pStyle w:val="Paragraphedeliste"/>
        <w:numPr>
          <w:ilvl w:val="0"/>
          <w:numId w:val="13"/>
        </w:numPr>
        <w:jc w:val="both"/>
        <w:rPr>
          <w:rFonts w:ascii="Cambria" w:hAnsi="Cambria"/>
          <w:lang w:eastAsia="fr-FR"/>
        </w:rPr>
      </w:pPr>
      <w:r w:rsidRPr="00D722E2">
        <w:rPr>
          <w:rFonts w:ascii="Cambria" w:hAnsi="Cambria"/>
          <w:lang w:eastAsia="fr-FR"/>
        </w:rPr>
        <w:t>Couture : réalisation d’une couverture de bébé et d’un chemin de table</w:t>
      </w:r>
    </w:p>
    <w:p w14:paraId="00A5D842" w14:textId="77777777" w:rsidR="00D722E2" w:rsidRPr="00D722E2" w:rsidRDefault="00D722E2" w:rsidP="00D722E2">
      <w:pPr>
        <w:jc w:val="both"/>
        <w:rPr>
          <w:rFonts w:ascii="Cambria" w:hAnsi="Cambria"/>
          <w:lang w:eastAsia="fr-FR"/>
        </w:rPr>
      </w:pPr>
    </w:p>
    <w:p w14:paraId="3DE5FFD9" w14:textId="6FB45C6C" w:rsidR="00D722E2" w:rsidRDefault="00D722E2" w:rsidP="00D722E2">
      <w:pPr>
        <w:jc w:val="both"/>
        <w:rPr>
          <w:rFonts w:ascii="Cambria" w:hAnsi="Cambria"/>
          <w:lang w:eastAsia="fr-FR"/>
        </w:rPr>
      </w:pPr>
      <w:r w:rsidRPr="00D722E2">
        <w:rPr>
          <w:rFonts w:ascii="Cambria" w:hAnsi="Cambria"/>
          <w:lang w:eastAsia="fr-FR"/>
        </w:rPr>
        <w:t xml:space="preserve">Au programme également, de nombreux ateliers seront proposés au public pour découvrir les secrets d’une décoration de </w:t>
      </w:r>
      <w:r w:rsidR="00C278F2">
        <w:rPr>
          <w:rFonts w:ascii="Cambria" w:hAnsi="Cambria"/>
          <w:lang w:eastAsia="fr-FR"/>
        </w:rPr>
        <w:t>n</w:t>
      </w:r>
      <w:r w:rsidRPr="00D722E2">
        <w:rPr>
          <w:rFonts w:ascii="Cambria" w:hAnsi="Cambria"/>
          <w:lang w:eastAsia="fr-FR"/>
        </w:rPr>
        <w:t xml:space="preserve">oël entièrement artisanale : des ornements de l’arbre de </w:t>
      </w:r>
      <w:r w:rsidR="00C278F2">
        <w:rPr>
          <w:rFonts w:ascii="Cambria" w:hAnsi="Cambria"/>
          <w:lang w:eastAsia="fr-FR"/>
        </w:rPr>
        <w:t>n</w:t>
      </w:r>
      <w:r w:rsidRPr="00D722E2">
        <w:rPr>
          <w:rFonts w:ascii="Cambria" w:hAnsi="Cambria"/>
          <w:lang w:eastAsia="fr-FR"/>
        </w:rPr>
        <w:t xml:space="preserve">oël en passant par le fameux sabot, les guirlandes, la couronne, la chaussette de </w:t>
      </w:r>
      <w:r w:rsidR="00C278F2">
        <w:rPr>
          <w:rFonts w:ascii="Cambria" w:hAnsi="Cambria"/>
          <w:lang w:eastAsia="fr-FR"/>
        </w:rPr>
        <w:t>n</w:t>
      </w:r>
      <w:r w:rsidRPr="00D722E2">
        <w:rPr>
          <w:rFonts w:ascii="Cambria" w:hAnsi="Cambria"/>
          <w:lang w:eastAsia="fr-FR"/>
        </w:rPr>
        <w:t>oël, tous les accessoires d’une décoration réussie sont au programme.</w:t>
      </w:r>
    </w:p>
    <w:p w14:paraId="754A840E" w14:textId="77777777" w:rsidR="00C278F2" w:rsidRPr="00D722E2" w:rsidRDefault="00C278F2" w:rsidP="00D722E2">
      <w:pPr>
        <w:jc w:val="both"/>
        <w:rPr>
          <w:rFonts w:ascii="Cambria" w:hAnsi="Cambria"/>
          <w:lang w:eastAsia="fr-FR"/>
        </w:rPr>
      </w:pPr>
    </w:p>
    <w:p w14:paraId="5BF5919B" w14:textId="18710554" w:rsidR="00D722E2" w:rsidRPr="00D722E2" w:rsidRDefault="00D722E2" w:rsidP="00D722E2">
      <w:pPr>
        <w:jc w:val="both"/>
        <w:rPr>
          <w:rFonts w:ascii="Cambria" w:hAnsi="Cambria"/>
          <w:lang w:eastAsia="fr-FR"/>
        </w:rPr>
      </w:pPr>
      <w:r w:rsidRPr="00D722E2">
        <w:rPr>
          <w:rFonts w:ascii="Cambria" w:hAnsi="Cambria"/>
          <w:lang w:eastAsia="fr-FR"/>
        </w:rPr>
        <w:t>L’inauguration officielle aura lieu le mercredi 1</w:t>
      </w:r>
      <w:r w:rsidRPr="00D722E2">
        <w:rPr>
          <w:rFonts w:ascii="Cambria" w:hAnsi="Cambria"/>
          <w:vertAlign w:val="superscript"/>
          <w:lang w:eastAsia="fr-FR"/>
        </w:rPr>
        <w:t>er</w:t>
      </w:r>
      <w:r w:rsidRPr="00D722E2">
        <w:rPr>
          <w:rFonts w:ascii="Cambria" w:hAnsi="Cambria"/>
          <w:lang w:eastAsia="fr-FR"/>
        </w:rPr>
        <w:t xml:space="preserve"> décembre 2021 à 10h00 au </w:t>
      </w:r>
      <w:r w:rsidR="00C278F2">
        <w:rPr>
          <w:rFonts w:ascii="Cambria" w:hAnsi="Cambria"/>
          <w:lang w:eastAsia="fr-FR"/>
        </w:rPr>
        <w:t>p</w:t>
      </w:r>
      <w:r w:rsidRPr="00D722E2">
        <w:rPr>
          <w:rFonts w:ascii="Cambria" w:hAnsi="Cambria"/>
          <w:lang w:eastAsia="fr-FR"/>
        </w:rPr>
        <w:t xml:space="preserve">arc </w:t>
      </w:r>
      <w:r w:rsidR="00C278F2">
        <w:rPr>
          <w:rFonts w:ascii="Cambria" w:hAnsi="Cambria"/>
          <w:lang w:eastAsia="fr-FR"/>
        </w:rPr>
        <w:t>des e</w:t>
      </w:r>
      <w:r w:rsidRPr="00D722E2">
        <w:rPr>
          <w:rFonts w:ascii="Cambria" w:hAnsi="Cambria"/>
          <w:lang w:eastAsia="fr-FR"/>
        </w:rPr>
        <w:t>xpo</w:t>
      </w:r>
      <w:r w:rsidR="00C278F2">
        <w:rPr>
          <w:rFonts w:ascii="Cambria" w:hAnsi="Cambria"/>
          <w:lang w:eastAsia="fr-FR"/>
        </w:rPr>
        <w:t>sitions</w:t>
      </w:r>
      <w:r w:rsidRPr="00D722E2">
        <w:rPr>
          <w:rFonts w:ascii="Cambria" w:hAnsi="Cambria"/>
          <w:lang w:eastAsia="fr-FR"/>
        </w:rPr>
        <w:t xml:space="preserve"> de Mamao à Papeete ; l’événement est ouvert de 9h à 17h30 tous les jours sauf le 24 décembre jusqu’à 17h.</w:t>
      </w:r>
      <w:r w:rsidR="00C278F2">
        <w:rPr>
          <w:rFonts w:ascii="Cambria" w:hAnsi="Cambria"/>
          <w:lang w:eastAsia="fr-FR"/>
        </w:rPr>
        <w:t xml:space="preserve"> </w:t>
      </w:r>
      <w:r w:rsidRPr="00D722E2">
        <w:rPr>
          <w:rFonts w:ascii="Cambria" w:hAnsi="Cambria"/>
          <w:lang w:eastAsia="fr-FR"/>
        </w:rPr>
        <w:t xml:space="preserve">Le programme détaillé sera accessible sur le site </w:t>
      </w:r>
      <w:hyperlink r:id="rId10" w:history="1">
        <w:r w:rsidRPr="00D722E2">
          <w:rPr>
            <w:rStyle w:val="Lienhypertexte"/>
            <w:rFonts w:ascii="Cambria" w:hAnsi="Cambria"/>
            <w:lang w:eastAsia="fr-FR"/>
          </w:rPr>
          <w:t>www.artisanat.pf</w:t>
        </w:r>
      </w:hyperlink>
      <w:r w:rsidRPr="00D722E2">
        <w:rPr>
          <w:rFonts w:ascii="Cambria" w:hAnsi="Cambria"/>
          <w:lang w:eastAsia="fr-FR"/>
        </w:rPr>
        <w:t>. Un dispositif sanitaire adapté aux consignes en vigueur sera mis en place et permettra d’accueillir exposants et visiteurs en toute sécurité.</w:t>
      </w:r>
    </w:p>
    <w:p w14:paraId="6ED2DAA6" w14:textId="77777777" w:rsidR="00C278F2" w:rsidRPr="003C260A" w:rsidRDefault="00C278F2" w:rsidP="00BE6F65">
      <w:pPr>
        <w:jc w:val="both"/>
        <w:rPr>
          <w:rFonts w:ascii="Cambria" w:hAnsi="Cambria"/>
          <w:b/>
          <w:bCs/>
          <w:lang w:eastAsia="fr-FR"/>
        </w:rPr>
      </w:pPr>
    </w:p>
    <w:p w14:paraId="10704E5A" w14:textId="114097E0" w:rsidR="00DF6629" w:rsidRDefault="00DF6629" w:rsidP="00FA26F2">
      <w:pPr>
        <w:pStyle w:val="Titre1"/>
      </w:pPr>
      <w:bookmarkStart w:id="21" w:name="_Toc88668368"/>
      <w:r w:rsidRPr="00F532C7">
        <w:t xml:space="preserve">- </w:t>
      </w:r>
      <w:r w:rsidR="000979C6">
        <w:t>MEA</w:t>
      </w:r>
      <w:r>
        <w:t>-</w:t>
      </w:r>
      <w:bookmarkEnd w:id="21"/>
    </w:p>
    <w:p w14:paraId="7FBB8EE8" w14:textId="77777777" w:rsidR="00DF6629" w:rsidRPr="00DF6629" w:rsidRDefault="00DF6629" w:rsidP="00DF6629"/>
    <w:p w14:paraId="4907CD05" w14:textId="4FA8B51B" w:rsidR="00DF6629" w:rsidRDefault="0000644B" w:rsidP="00DF6629">
      <w:pPr>
        <w:pStyle w:val="Titre2"/>
        <w:rPr>
          <w:rFonts w:eastAsia="Times New Roman"/>
          <w:lang w:eastAsia="fr-FR"/>
        </w:rPr>
      </w:pPr>
      <w:bookmarkStart w:id="22" w:name="_Toc88668369"/>
      <w:r>
        <w:rPr>
          <w:rFonts w:eastAsia="Times New Roman"/>
          <w:lang w:eastAsia="fr-FR"/>
        </w:rPr>
        <w:t>Convention cadre : Le passeport mobilité formation professionnelle reconduit pour 3 ans</w:t>
      </w:r>
      <w:bookmarkEnd w:id="22"/>
    </w:p>
    <w:p w14:paraId="1EA02CA4" w14:textId="649387C5" w:rsidR="0000644B" w:rsidRPr="0000644B" w:rsidRDefault="0000644B" w:rsidP="0000644B">
      <w:pPr>
        <w:spacing w:before="100" w:beforeAutospacing="1" w:after="100" w:afterAutospacing="1"/>
        <w:jc w:val="both"/>
        <w:rPr>
          <w:rFonts w:ascii="Cambria" w:hAnsi="Cambria"/>
          <w:lang w:eastAsia="fr-FR"/>
        </w:rPr>
      </w:pPr>
      <w:r w:rsidRPr="0000644B">
        <w:rPr>
          <w:rFonts w:ascii="Cambria" w:hAnsi="Cambria"/>
          <w:lang w:eastAsia="fr-FR"/>
        </w:rPr>
        <w:t>Le Conseil des ministres a approuvé la convention cadre 2021-2023 entre l’Etat, la Polynésie française et l’Agence de l’Outre-mer pour la Mobilité (LADOM) relative au passeport mobilité formation professionnelle (PMFP).</w:t>
      </w:r>
    </w:p>
    <w:p w14:paraId="01DD4588" w14:textId="77777777" w:rsidR="0000644B" w:rsidRPr="0000644B" w:rsidRDefault="0000644B" w:rsidP="0000644B">
      <w:pPr>
        <w:spacing w:before="100" w:beforeAutospacing="1" w:after="100" w:afterAutospacing="1"/>
        <w:jc w:val="both"/>
        <w:rPr>
          <w:rFonts w:ascii="Cambria" w:hAnsi="Cambria"/>
          <w:lang w:eastAsia="fr-FR"/>
        </w:rPr>
      </w:pPr>
      <w:r w:rsidRPr="0000644B">
        <w:rPr>
          <w:rFonts w:ascii="Cambria" w:hAnsi="Cambria"/>
          <w:lang w:eastAsia="fr-FR"/>
        </w:rPr>
        <w:t xml:space="preserve">La mise en œuvre du PMFP a fait l’objet d’une première convention triennale 2018-2020 conclue entre l’Etat, la Polynésie française et LADOM. Celle-ci a expiré le 31 décembre 2020. </w:t>
      </w:r>
    </w:p>
    <w:p w14:paraId="20C11D7E" w14:textId="77777777" w:rsidR="0000644B" w:rsidRPr="0000644B" w:rsidRDefault="0000644B" w:rsidP="0000644B">
      <w:pPr>
        <w:spacing w:before="100" w:beforeAutospacing="1" w:after="100" w:afterAutospacing="1"/>
        <w:jc w:val="both"/>
        <w:rPr>
          <w:rFonts w:ascii="Cambria" w:hAnsi="Cambria"/>
          <w:lang w:eastAsia="fr-FR"/>
        </w:rPr>
      </w:pPr>
      <w:r w:rsidRPr="0000644B">
        <w:rPr>
          <w:rFonts w:ascii="Cambria" w:hAnsi="Cambria"/>
          <w:lang w:eastAsia="fr-FR"/>
        </w:rPr>
        <w:t>Au vu des bénéfices apportés au Pays en matière de formation professionnelle, son renouvellement pour les trois années à venir participera au développement de compétences prioritaires et pointues pour répondre aux besoins en qualifications et en compétences spécialisées exprimées par les secteurs professionnels et pour l’essentiel non disponibles en Polynésie française.</w:t>
      </w:r>
    </w:p>
    <w:p w14:paraId="2B952F43" w14:textId="77777777" w:rsidR="0000644B" w:rsidRPr="0000644B" w:rsidRDefault="0000644B" w:rsidP="0000644B">
      <w:pPr>
        <w:spacing w:before="100" w:beforeAutospacing="1" w:after="100" w:afterAutospacing="1"/>
        <w:jc w:val="both"/>
        <w:rPr>
          <w:rFonts w:ascii="Cambria" w:hAnsi="Cambria"/>
          <w:lang w:eastAsia="fr-FR"/>
        </w:rPr>
      </w:pPr>
      <w:r w:rsidRPr="0000644B">
        <w:rPr>
          <w:rFonts w:ascii="Cambria" w:hAnsi="Cambria"/>
          <w:lang w:eastAsia="fr-FR"/>
        </w:rPr>
        <w:t>Ce dispositif vise la promotion et la protection de l’emploi local et permet de compléter la palette des dispositifs d’aides à la mobilité et à la formation de l’Etat et du Pays en ciblant un public autre que celui des étudiants : celui des demandeurs d’emploi.</w:t>
      </w:r>
    </w:p>
    <w:p w14:paraId="1542E892" w14:textId="5683A821" w:rsidR="0000644B" w:rsidRPr="0000644B" w:rsidRDefault="0000644B" w:rsidP="0000644B">
      <w:pPr>
        <w:spacing w:before="100" w:beforeAutospacing="1" w:after="100" w:afterAutospacing="1"/>
        <w:jc w:val="both"/>
        <w:rPr>
          <w:rFonts w:ascii="Cambria" w:hAnsi="Cambria"/>
          <w:lang w:eastAsia="fr-FR"/>
        </w:rPr>
      </w:pPr>
      <w:r w:rsidRPr="0000644B">
        <w:rPr>
          <w:rFonts w:ascii="Cambria" w:hAnsi="Cambria"/>
          <w:lang w:eastAsia="fr-FR"/>
        </w:rPr>
        <w:lastRenderedPageBreak/>
        <w:t>Pour rappel, la convention LADOM 2018-2020 a permis à vingt-huit demandeurs d’emploi de bénéficier d’offres de formation en métropole qui n’existaient pas localement. Parmi eux</w:t>
      </w:r>
      <w:r>
        <w:rPr>
          <w:rFonts w:ascii="Cambria" w:hAnsi="Cambria"/>
          <w:lang w:eastAsia="fr-FR"/>
        </w:rPr>
        <w:t xml:space="preserve">, </w:t>
      </w:r>
      <w:r w:rsidRPr="0000644B">
        <w:rPr>
          <w:rFonts w:ascii="Cambria" w:hAnsi="Cambria"/>
          <w:lang w:eastAsia="fr-FR"/>
        </w:rPr>
        <w:t>trois scaphandriers travaux publics, deux techniciens supérieur géomètre, un constructeur bois et un technicien études en construction bois ont été formés. Par ailleurs, une formation spécifique a permis à quatre stagiaires de valider la certification d’inspecteur en abattoir de boucherie à l’Institut National de Formation des Personnels du ministère chargé de l’Agriculture (INFOMA).</w:t>
      </w:r>
    </w:p>
    <w:p w14:paraId="0F9C6DF3" w14:textId="0BF2EBCA" w:rsidR="00E32EBC" w:rsidRDefault="0000644B" w:rsidP="00E32EBC">
      <w:pPr>
        <w:spacing w:before="100" w:beforeAutospacing="1" w:after="100" w:afterAutospacing="1"/>
        <w:jc w:val="both"/>
        <w:rPr>
          <w:rFonts w:ascii="Cambria" w:hAnsi="Cambria"/>
          <w:lang w:eastAsia="fr-FR"/>
        </w:rPr>
      </w:pPr>
      <w:r w:rsidRPr="0000644B">
        <w:rPr>
          <w:rFonts w:ascii="Cambria" w:hAnsi="Cambria"/>
          <w:lang w:eastAsia="fr-FR"/>
        </w:rPr>
        <w:t xml:space="preserve">Le projet de la nouvelle convention 2021-2023 reprendra dans l’ensemble les dispositions de la précédente tout en améliorant les modalités de mise en œuvre du dispositif. </w:t>
      </w:r>
    </w:p>
    <w:p w14:paraId="3E22F4D2" w14:textId="47CB223B" w:rsidR="00B678EB" w:rsidRDefault="00B678EB" w:rsidP="00E32EBC">
      <w:pPr>
        <w:spacing w:before="100" w:beforeAutospacing="1" w:after="100" w:afterAutospacing="1"/>
        <w:jc w:val="both"/>
        <w:rPr>
          <w:rFonts w:ascii="Cambria" w:hAnsi="Cambria"/>
          <w:lang w:eastAsia="fr-FR"/>
        </w:rPr>
      </w:pPr>
    </w:p>
    <w:p w14:paraId="5D8BBCF9" w14:textId="1C3C57C1" w:rsidR="00EC305D" w:rsidRDefault="00EC305D" w:rsidP="00EC305D">
      <w:pPr>
        <w:pStyle w:val="Titre1"/>
      </w:pPr>
      <w:bookmarkStart w:id="23" w:name="_Toc88668370"/>
      <w:r w:rsidRPr="00F532C7">
        <w:t xml:space="preserve">- </w:t>
      </w:r>
      <w:r>
        <w:t>MFA-</w:t>
      </w:r>
      <w:bookmarkEnd w:id="23"/>
    </w:p>
    <w:p w14:paraId="51FF49B9" w14:textId="77777777" w:rsidR="00EC305D" w:rsidRPr="00EC305D" w:rsidRDefault="00EC305D" w:rsidP="00EC305D"/>
    <w:p w14:paraId="0EE25750" w14:textId="736AF3B0" w:rsidR="00EC305D" w:rsidRDefault="00EC305D" w:rsidP="00EC305D">
      <w:pPr>
        <w:pStyle w:val="Titre2"/>
        <w:rPr>
          <w:rFonts w:eastAsia="Times New Roman"/>
          <w:lang w:eastAsia="fr-FR"/>
        </w:rPr>
      </w:pPr>
      <w:bookmarkStart w:id="24" w:name="_Toc88668371"/>
      <w:r>
        <w:rPr>
          <w:rFonts w:eastAsia="Times New Roman"/>
          <w:lang w:eastAsia="fr-FR"/>
        </w:rPr>
        <w:t>Opération « Une journée pour soi » initiée dans le cadre de la Journée de lutte contre les violences faites aux femmes</w:t>
      </w:r>
      <w:bookmarkEnd w:id="24"/>
    </w:p>
    <w:p w14:paraId="74F4C478" w14:textId="3D27FB7E" w:rsidR="00EC305D" w:rsidRPr="00EC305D" w:rsidRDefault="00EC305D" w:rsidP="00EC305D">
      <w:pPr>
        <w:spacing w:before="100" w:beforeAutospacing="1" w:after="100" w:afterAutospacing="1"/>
        <w:jc w:val="both"/>
        <w:rPr>
          <w:rFonts w:ascii="Cambria" w:hAnsi="Cambria"/>
          <w:lang w:eastAsia="fr-FR"/>
        </w:rPr>
      </w:pPr>
      <w:r w:rsidRPr="00EC305D">
        <w:rPr>
          <w:rFonts w:ascii="Cambria" w:hAnsi="Cambria"/>
          <w:lang w:eastAsia="fr-FR"/>
        </w:rPr>
        <w:t xml:space="preserve">Dans le cadre de la Journée internationale pour l’élimination de la violence à l’égard des femmes, le </w:t>
      </w:r>
      <w:r>
        <w:rPr>
          <w:rFonts w:ascii="Cambria" w:hAnsi="Cambria"/>
          <w:lang w:eastAsia="fr-FR"/>
        </w:rPr>
        <w:t>m</w:t>
      </w:r>
      <w:r w:rsidRPr="00EC305D">
        <w:rPr>
          <w:rFonts w:ascii="Cambria" w:hAnsi="Cambria"/>
          <w:lang w:eastAsia="fr-FR"/>
        </w:rPr>
        <w:t xml:space="preserve">inistère de la </w:t>
      </w:r>
      <w:r>
        <w:rPr>
          <w:rFonts w:ascii="Cambria" w:hAnsi="Cambria"/>
          <w:lang w:eastAsia="fr-FR"/>
        </w:rPr>
        <w:t>F</w:t>
      </w:r>
      <w:r w:rsidRPr="00EC305D">
        <w:rPr>
          <w:rFonts w:ascii="Cambria" w:hAnsi="Cambria"/>
          <w:lang w:eastAsia="fr-FR"/>
        </w:rPr>
        <w:t xml:space="preserve">amille, des affaires sociales, de la condition féminine, en charge de la lutte contre l’exclusion, va déployer une opération intitulée « Une journée pour soi » s’adressant à une cinquantaine de femmes victimes de violences et/ou de harcèlement, issues de </w:t>
      </w:r>
      <w:r w:rsidRPr="00EC305D">
        <w:rPr>
          <w:rFonts w:ascii="Cambria" w:hAnsi="Cambria"/>
          <w:iCs/>
          <w:lang w:eastAsia="fr-FR"/>
        </w:rPr>
        <w:t>tous âges et de toutes catégories socioprofessionnelles confondues</w:t>
      </w:r>
      <w:r w:rsidRPr="00EC305D">
        <w:rPr>
          <w:rFonts w:ascii="Cambria" w:hAnsi="Cambria"/>
          <w:lang w:eastAsia="fr-FR"/>
        </w:rPr>
        <w:t>. Les associations et établissements du secteur socio-éducatif ont été contactés afin de soutenir l’évènement en se faisant relais auprès de leurs publics.</w:t>
      </w:r>
    </w:p>
    <w:p w14:paraId="524305DB" w14:textId="41E7ED63" w:rsidR="00EC305D" w:rsidRPr="00EC305D" w:rsidRDefault="00EC305D" w:rsidP="00EC305D">
      <w:pPr>
        <w:spacing w:before="100" w:beforeAutospacing="1" w:after="100" w:afterAutospacing="1"/>
        <w:jc w:val="both"/>
        <w:rPr>
          <w:rFonts w:ascii="Cambria" w:hAnsi="Cambria"/>
          <w:lang w:eastAsia="fr-FR"/>
        </w:rPr>
      </w:pPr>
      <w:r w:rsidRPr="00EC305D">
        <w:rPr>
          <w:rFonts w:ascii="Cambria" w:hAnsi="Cambria"/>
          <w:lang w:eastAsia="fr-FR"/>
        </w:rPr>
        <w:t xml:space="preserve">Les violences, quelles qu’elles soient, causent des dégâts émotionnels importants et diminuent l’estime de soi qui se retrouve malmenée, torturée et affaiblie, ce qui empêche souvent les victimes de se reconstruire et d’aller mieux. Face à ce constat, l’opération « Une journée pour soi » a été travaillée de façon à soutenir le renforcement de l’estime de soi de femmes ayant subi de lourds traumatismes en leur offrant la possibilité de participer à dix ateliers spécialement conçus sur cette problématique. </w:t>
      </w:r>
    </w:p>
    <w:p w14:paraId="2BDF92B0" w14:textId="733A91CA" w:rsidR="00C06286" w:rsidRPr="00EC305D" w:rsidRDefault="00EC305D" w:rsidP="00EC305D">
      <w:pPr>
        <w:spacing w:before="100" w:beforeAutospacing="1" w:after="100" w:afterAutospacing="1"/>
        <w:jc w:val="both"/>
        <w:rPr>
          <w:rFonts w:ascii="Cambria" w:hAnsi="Cambria"/>
          <w:lang w:eastAsia="fr-FR"/>
        </w:rPr>
      </w:pPr>
      <w:r w:rsidRPr="00EC305D">
        <w:rPr>
          <w:rFonts w:ascii="Cambria" w:hAnsi="Cambria"/>
          <w:lang w:eastAsia="fr-FR"/>
        </w:rPr>
        <w:t xml:space="preserve"> L’objectif est de leur permettre de prendre un temps pour elles</w:t>
      </w:r>
      <w:r w:rsidR="00C06286">
        <w:rPr>
          <w:rFonts w:ascii="Cambria" w:hAnsi="Cambria"/>
          <w:lang w:eastAsia="fr-FR"/>
        </w:rPr>
        <w:t> :</w:t>
      </w:r>
    </w:p>
    <w:p w14:paraId="12087CD4" w14:textId="77777777" w:rsidR="00EC305D" w:rsidRPr="00EC305D" w:rsidRDefault="00EC305D" w:rsidP="00EC305D">
      <w:pPr>
        <w:numPr>
          <w:ilvl w:val="0"/>
          <w:numId w:val="14"/>
        </w:numPr>
        <w:spacing w:before="100" w:beforeAutospacing="1" w:after="100" w:afterAutospacing="1"/>
        <w:jc w:val="both"/>
        <w:rPr>
          <w:rFonts w:ascii="Cambria" w:hAnsi="Cambria"/>
          <w:lang w:eastAsia="fr-FR"/>
        </w:rPr>
      </w:pPr>
      <w:r w:rsidRPr="00EC305D">
        <w:rPr>
          <w:rFonts w:ascii="Cambria" w:hAnsi="Cambria"/>
          <w:lang w:eastAsia="fr-FR"/>
        </w:rPr>
        <w:t>Pour</w:t>
      </w:r>
      <w:r w:rsidRPr="00EC305D">
        <w:rPr>
          <w:rFonts w:ascii="Cambria" w:hAnsi="Cambria"/>
          <w:bCs/>
          <w:lang w:eastAsia="fr-FR"/>
        </w:rPr>
        <w:t xml:space="preserve"> échanger</w:t>
      </w:r>
      <w:r w:rsidRPr="00EC305D">
        <w:rPr>
          <w:rFonts w:ascii="Cambria" w:hAnsi="Cambria"/>
          <w:lang w:eastAsia="fr-FR"/>
        </w:rPr>
        <w:t xml:space="preserve"> et se rendre compte qu’elles ne sont pas </w:t>
      </w:r>
      <w:r w:rsidRPr="00EC305D">
        <w:rPr>
          <w:rFonts w:ascii="Cambria" w:hAnsi="Cambria"/>
          <w:iCs/>
          <w:lang w:eastAsia="fr-FR"/>
        </w:rPr>
        <w:t>seules dans leur situation</w:t>
      </w:r>
    </w:p>
    <w:p w14:paraId="6AA98BAF" w14:textId="77777777" w:rsidR="00EC305D" w:rsidRPr="00EC305D" w:rsidRDefault="00EC305D" w:rsidP="00EC305D">
      <w:pPr>
        <w:numPr>
          <w:ilvl w:val="0"/>
          <w:numId w:val="14"/>
        </w:numPr>
        <w:spacing w:before="100" w:beforeAutospacing="1" w:after="100" w:afterAutospacing="1"/>
        <w:jc w:val="both"/>
        <w:rPr>
          <w:rFonts w:ascii="Cambria" w:hAnsi="Cambria"/>
          <w:lang w:eastAsia="fr-FR"/>
        </w:rPr>
      </w:pPr>
      <w:r w:rsidRPr="00EC305D">
        <w:rPr>
          <w:rFonts w:ascii="Cambria" w:hAnsi="Cambria"/>
          <w:lang w:eastAsia="fr-FR"/>
        </w:rPr>
        <w:t xml:space="preserve">Pour </w:t>
      </w:r>
      <w:r w:rsidRPr="00EC305D">
        <w:rPr>
          <w:rFonts w:ascii="Cambria" w:hAnsi="Cambria"/>
          <w:bCs/>
          <w:lang w:eastAsia="fr-FR"/>
        </w:rPr>
        <w:t>sortir de leur isolement</w:t>
      </w:r>
      <w:r w:rsidRPr="00EC305D">
        <w:rPr>
          <w:rFonts w:ascii="Cambria" w:hAnsi="Cambria"/>
          <w:lang w:eastAsia="fr-FR"/>
        </w:rPr>
        <w:t xml:space="preserve"> et recréer des liens, dans un </w:t>
      </w:r>
      <w:r w:rsidRPr="00EC305D">
        <w:rPr>
          <w:rFonts w:ascii="Cambria" w:hAnsi="Cambria"/>
          <w:iCs/>
          <w:lang w:eastAsia="fr-FR"/>
        </w:rPr>
        <w:t>cadre sécurisant et bienveillant</w:t>
      </w:r>
    </w:p>
    <w:p w14:paraId="05609B09" w14:textId="77777777" w:rsidR="00EC305D" w:rsidRPr="00EC305D" w:rsidRDefault="00EC305D" w:rsidP="00EC305D">
      <w:pPr>
        <w:numPr>
          <w:ilvl w:val="0"/>
          <w:numId w:val="14"/>
        </w:numPr>
        <w:spacing w:before="100" w:beforeAutospacing="1" w:after="100" w:afterAutospacing="1"/>
        <w:jc w:val="both"/>
        <w:rPr>
          <w:rFonts w:ascii="Cambria" w:hAnsi="Cambria"/>
          <w:lang w:eastAsia="fr-FR"/>
        </w:rPr>
      </w:pPr>
      <w:r w:rsidRPr="00EC305D">
        <w:rPr>
          <w:rFonts w:ascii="Cambria" w:hAnsi="Cambria"/>
          <w:lang w:eastAsia="fr-FR"/>
        </w:rPr>
        <w:t xml:space="preserve">Pour </w:t>
      </w:r>
      <w:r w:rsidRPr="00EC305D">
        <w:rPr>
          <w:rFonts w:ascii="Cambria" w:hAnsi="Cambria"/>
          <w:bCs/>
          <w:lang w:eastAsia="fr-FR"/>
        </w:rPr>
        <w:t>prendre du recul</w:t>
      </w:r>
      <w:r w:rsidRPr="00EC305D">
        <w:rPr>
          <w:rFonts w:ascii="Cambria" w:hAnsi="Cambria"/>
          <w:lang w:eastAsia="fr-FR"/>
        </w:rPr>
        <w:t xml:space="preserve"> par rapport à ce qu’elles ont traversé</w:t>
      </w:r>
    </w:p>
    <w:p w14:paraId="66284F4E" w14:textId="28F7E207" w:rsidR="00EC305D" w:rsidRPr="00EC305D" w:rsidRDefault="00EC305D" w:rsidP="00EC305D">
      <w:pPr>
        <w:numPr>
          <w:ilvl w:val="0"/>
          <w:numId w:val="14"/>
        </w:numPr>
        <w:spacing w:before="100" w:beforeAutospacing="1" w:after="100" w:afterAutospacing="1"/>
        <w:jc w:val="both"/>
        <w:rPr>
          <w:rFonts w:ascii="Cambria" w:hAnsi="Cambria"/>
          <w:lang w:eastAsia="fr-FR"/>
        </w:rPr>
      </w:pPr>
      <w:r w:rsidRPr="00EC305D">
        <w:rPr>
          <w:rFonts w:ascii="Cambria" w:hAnsi="Cambria"/>
          <w:lang w:eastAsia="fr-FR"/>
        </w:rPr>
        <w:t xml:space="preserve">Pour </w:t>
      </w:r>
      <w:r w:rsidRPr="00EC305D">
        <w:rPr>
          <w:rFonts w:ascii="Cambria" w:hAnsi="Cambria"/>
          <w:bCs/>
          <w:lang w:eastAsia="fr-FR"/>
        </w:rPr>
        <w:t>réfléchir</w:t>
      </w:r>
      <w:r w:rsidRPr="00EC305D">
        <w:rPr>
          <w:rFonts w:ascii="Cambria" w:hAnsi="Cambria"/>
          <w:lang w:eastAsia="fr-FR"/>
        </w:rPr>
        <w:t xml:space="preserve"> à la femme qu’elles ont envie de devenir, tout en tenant compte de leur</w:t>
      </w:r>
      <w:r w:rsidR="00C06286">
        <w:rPr>
          <w:rFonts w:ascii="Cambria" w:hAnsi="Cambria"/>
          <w:lang w:eastAsia="fr-FR"/>
        </w:rPr>
        <w:t>s</w:t>
      </w:r>
      <w:r w:rsidRPr="00EC305D">
        <w:rPr>
          <w:rFonts w:ascii="Cambria" w:hAnsi="Cambria"/>
          <w:lang w:eastAsia="fr-FR"/>
        </w:rPr>
        <w:t xml:space="preserve"> parcours</w:t>
      </w:r>
    </w:p>
    <w:p w14:paraId="33775587" w14:textId="77777777" w:rsidR="00EC305D" w:rsidRPr="00EC305D" w:rsidRDefault="00EC305D" w:rsidP="00EC305D">
      <w:pPr>
        <w:spacing w:before="100" w:beforeAutospacing="1" w:after="100" w:afterAutospacing="1"/>
        <w:jc w:val="both"/>
        <w:rPr>
          <w:rFonts w:ascii="Cambria" w:hAnsi="Cambria"/>
          <w:bCs/>
          <w:iCs/>
          <w:lang w:eastAsia="fr-FR"/>
        </w:rPr>
      </w:pPr>
      <w:r w:rsidRPr="00EC305D">
        <w:rPr>
          <w:rFonts w:ascii="Cambria" w:hAnsi="Cambria"/>
          <w:iCs/>
          <w:lang w:eastAsia="fr-FR"/>
        </w:rPr>
        <w:t xml:space="preserve">Les cinquante participantes seront réparties en petits groupes afin de leur permettre de prendre leur place et de sentir que leur parole est importante, ce qui contribuera à </w:t>
      </w:r>
      <w:r w:rsidRPr="00EC305D">
        <w:rPr>
          <w:rFonts w:ascii="Cambria" w:hAnsi="Cambria"/>
          <w:bCs/>
          <w:iCs/>
          <w:lang w:eastAsia="fr-FR"/>
        </w:rPr>
        <w:t xml:space="preserve">soutenir la restauration de l’image de soi souvent bien entamée. </w:t>
      </w:r>
    </w:p>
    <w:p w14:paraId="0418EEFE" w14:textId="77777777" w:rsidR="00EC305D" w:rsidRPr="00EC305D" w:rsidRDefault="00EC305D" w:rsidP="00EC305D">
      <w:pPr>
        <w:spacing w:before="100" w:beforeAutospacing="1" w:after="100" w:afterAutospacing="1"/>
        <w:jc w:val="both"/>
        <w:rPr>
          <w:rFonts w:ascii="Cambria" w:hAnsi="Cambria"/>
          <w:lang w:eastAsia="fr-FR"/>
        </w:rPr>
      </w:pPr>
      <w:r w:rsidRPr="00EC305D">
        <w:rPr>
          <w:rFonts w:ascii="Cambria" w:hAnsi="Cambria"/>
          <w:lang w:eastAsia="fr-FR"/>
        </w:rPr>
        <w:t>Cet évènement se tiendra le jeudi 25 novembre 2021, de 8h à 17h à l’hôtel Manava Suite Resort.</w:t>
      </w:r>
    </w:p>
    <w:p w14:paraId="56ED02A8" w14:textId="4B953CAC" w:rsidR="00EC305D" w:rsidRPr="0033485E" w:rsidRDefault="00EC305D" w:rsidP="00E32EBC">
      <w:pPr>
        <w:spacing w:before="100" w:beforeAutospacing="1" w:after="100" w:afterAutospacing="1"/>
        <w:jc w:val="both"/>
        <w:rPr>
          <w:rFonts w:ascii="Cambria" w:hAnsi="Cambria"/>
          <w:lang w:eastAsia="fr-FR"/>
        </w:rPr>
      </w:pPr>
    </w:p>
    <w:p w14:paraId="6BAA1A6E" w14:textId="0FE807FF" w:rsidR="004E0E1A" w:rsidRPr="00CF60AA" w:rsidRDefault="004E0E1A" w:rsidP="003229A6">
      <w:pPr>
        <w:pStyle w:val="-LettreTexteGEDA"/>
        <w:ind w:firstLine="0"/>
        <w:jc w:val="center"/>
        <w:rPr>
          <w:rFonts w:ascii="Cambria" w:hAnsi="Cambria"/>
        </w:rPr>
      </w:pPr>
      <w:r w:rsidRPr="00DF3674">
        <w:rPr>
          <w:rFonts w:ascii="Cambria" w:hAnsi="Cambria"/>
          <w:noProof w:val="0"/>
          <w:szCs w:val="24"/>
        </w:rPr>
        <w:t>-o-o-o-o-o-</w:t>
      </w:r>
    </w:p>
    <w:sectPr w:rsidR="004E0E1A" w:rsidRPr="00CF60AA" w:rsidSect="00F80F4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D3A58" w14:textId="77777777" w:rsidR="00694F72" w:rsidRDefault="00694F72" w:rsidP="000946F2">
      <w:r>
        <w:separator/>
      </w:r>
    </w:p>
  </w:endnote>
  <w:endnote w:type="continuationSeparator" w:id="0">
    <w:p w14:paraId="583BAA32" w14:textId="77777777" w:rsidR="00694F72" w:rsidRDefault="00694F72" w:rsidP="0009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b/>
        <w:bCs/>
        <w:sz w:val="20"/>
        <w:szCs w:val="20"/>
      </w:rPr>
      <w:id w:val="-61563272"/>
      <w:docPartObj>
        <w:docPartGallery w:val="Page Numbers (Bottom of Page)"/>
        <w:docPartUnique/>
      </w:docPartObj>
    </w:sdtPr>
    <w:sdtEndPr/>
    <w:sdtContent>
      <w:p w14:paraId="0A6CE67B" w14:textId="4266D5F5" w:rsidR="00261AEC" w:rsidRPr="00261AEC" w:rsidRDefault="00261AEC">
        <w:pPr>
          <w:pStyle w:val="Pieddepage"/>
          <w:jc w:val="center"/>
          <w:rPr>
            <w:rFonts w:ascii="Cambria" w:hAnsi="Cambria"/>
            <w:b/>
            <w:bCs/>
            <w:sz w:val="20"/>
            <w:szCs w:val="20"/>
          </w:rPr>
        </w:pPr>
        <w:r w:rsidRPr="00261AEC">
          <w:rPr>
            <w:rFonts w:ascii="Cambria" w:hAnsi="Cambria"/>
            <w:b/>
            <w:bCs/>
            <w:sz w:val="20"/>
            <w:szCs w:val="20"/>
          </w:rPr>
          <w:fldChar w:fldCharType="begin"/>
        </w:r>
        <w:r w:rsidRPr="00261AEC">
          <w:rPr>
            <w:rFonts w:ascii="Cambria" w:hAnsi="Cambria"/>
            <w:b/>
            <w:bCs/>
            <w:sz w:val="20"/>
            <w:szCs w:val="20"/>
          </w:rPr>
          <w:instrText>PAGE   \* MERGEFORMAT</w:instrText>
        </w:r>
        <w:r w:rsidRPr="00261AEC">
          <w:rPr>
            <w:rFonts w:ascii="Cambria" w:hAnsi="Cambria"/>
            <w:b/>
            <w:bCs/>
            <w:sz w:val="20"/>
            <w:szCs w:val="20"/>
          </w:rPr>
          <w:fldChar w:fldCharType="separate"/>
        </w:r>
        <w:r w:rsidRPr="00261AEC">
          <w:rPr>
            <w:rFonts w:ascii="Cambria" w:hAnsi="Cambria"/>
            <w:b/>
            <w:bCs/>
            <w:sz w:val="20"/>
            <w:szCs w:val="20"/>
          </w:rPr>
          <w:t>2</w:t>
        </w:r>
        <w:r w:rsidRPr="00261AEC">
          <w:rPr>
            <w:rFonts w:ascii="Cambria" w:hAnsi="Cambria"/>
            <w:b/>
            <w:bCs/>
            <w:sz w:val="20"/>
            <w:szCs w:val="20"/>
          </w:rPr>
          <w:fldChar w:fldCharType="end"/>
        </w:r>
      </w:p>
    </w:sdtContent>
  </w:sdt>
  <w:p w14:paraId="681CA0A1" w14:textId="77777777" w:rsidR="00261AEC" w:rsidRDefault="00261A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B00AF" w14:textId="77777777" w:rsidR="00694F72" w:rsidRDefault="00694F72" w:rsidP="000946F2">
      <w:r>
        <w:separator/>
      </w:r>
    </w:p>
  </w:footnote>
  <w:footnote w:type="continuationSeparator" w:id="0">
    <w:p w14:paraId="4AB48FB0" w14:textId="77777777" w:rsidR="00694F72" w:rsidRDefault="00694F72" w:rsidP="00094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23C"/>
    <w:multiLevelType w:val="hybridMultilevel"/>
    <w:tmpl w:val="A4BC2C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816A14"/>
    <w:multiLevelType w:val="hybridMultilevel"/>
    <w:tmpl w:val="CF74096C"/>
    <w:lvl w:ilvl="0" w:tplc="6C7A012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0232FB"/>
    <w:multiLevelType w:val="hybridMultilevel"/>
    <w:tmpl w:val="8FD8F4D6"/>
    <w:lvl w:ilvl="0" w:tplc="3FBEC834">
      <w:start w:val="1"/>
      <w:numFmt w:val="bullet"/>
      <w:pStyle w:val="TM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4" w15:restartNumberingAfterBreak="0">
    <w:nsid w:val="387766B1"/>
    <w:multiLevelType w:val="hybridMultilevel"/>
    <w:tmpl w:val="0290A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4A6242"/>
    <w:multiLevelType w:val="hybridMultilevel"/>
    <w:tmpl w:val="A10E1FBE"/>
    <w:lvl w:ilvl="0" w:tplc="040C000D">
      <w:start w:val="1"/>
      <w:numFmt w:val="bullet"/>
      <w:lvlText w:val=""/>
      <w:lvlJc w:val="left"/>
      <w:pPr>
        <w:ind w:left="1571" w:hanging="360"/>
      </w:pPr>
      <w:rPr>
        <w:rFonts w:ascii="Wingdings" w:hAnsi="Wingdings"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hint="default"/>
      </w:rPr>
    </w:lvl>
    <w:lvl w:ilvl="6" w:tplc="040C0001">
      <w:start w:val="1"/>
      <w:numFmt w:val="bullet"/>
      <w:lvlText w:val=""/>
      <w:lvlJc w:val="left"/>
      <w:pPr>
        <w:ind w:left="5891" w:hanging="360"/>
      </w:pPr>
      <w:rPr>
        <w:rFonts w:ascii="Symbol" w:hAnsi="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hint="default"/>
      </w:rPr>
    </w:lvl>
  </w:abstractNum>
  <w:abstractNum w:abstractNumId="6" w15:restartNumberingAfterBreak="0">
    <w:nsid w:val="3E21462F"/>
    <w:multiLevelType w:val="hybridMultilevel"/>
    <w:tmpl w:val="95DCB3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4C90D04"/>
    <w:multiLevelType w:val="multilevel"/>
    <w:tmpl w:val="1E365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67311E"/>
    <w:multiLevelType w:val="hybridMultilevel"/>
    <w:tmpl w:val="34EE17B8"/>
    <w:lvl w:ilvl="0" w:tplc="6C7A012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AC33380"/>
    <w:multiLevelType w:val="hybridMultilevel"/>
    <w:tmpl w:val="93B05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EA6D60"/>
    <w:multiLevelType w:val="hybridMultilevel"/>
    <w:tmpl w:val="F8580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A4E6E4B"/>
    <w:multiLevelType w:val="hybridMultilevel"/>
    <w:tmpl w:val="6BAE7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E3335DF"/>
    <w:multiLevelType w:val="hybridMultilevel"/>
    <w:tmpl w:val="33105C94"/>
    <w:lvl w:ilvl="0" w:tplc="44F6FC22">
      <w:start w:val="1"/>
      <w:numFmt w:val="bullet"/>
      <w:lvlText w:val="-"/>
      <w:lvlJc w:val="left"/>
      <w:pPr>
        <w:ind w:left="1080" w:hanging="360"/>
      </w:pPr>
      <w:rPr>
        <w:rFonts w:ascii="Cambria" w:eastAsia="Times New Roman" w:hAnsi="Cambria"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num>
  <w:num w:numId="2">
    <w:abstractNumId w:val="2"/>
  </w:num>
  <w:num w:numId="3">
    <w:abstractNumId w:val="9"/>
  </w:num>
  <w:num w:numId="4">
    <w:abstractNumId w:val="12"/>
  </w:num>
  <w:num w:numId="5">
    <w:abstractNumId w:val="10"/>
  </w:num>
  <w:num w:numId="6">
    <w:abstractNumId w:val="6"/>
  </w:num>
  <w:num w:numId="7">
    <w:abstractNumId w:val="1"/>
  </w:num>
  <w:num w:numId="8">
    <w:abstractNumId w:val="8"/>
  </w:num>
  <w:num w:numId="9">
    <w:abstractNumId w:val="0"/>
  </w:num>
  <w:num w:numId="10">
    <w:abstractNumId w:val="11"/>
  </w:num>
  <w:num w:numId="11">
    <w:abstractNumId w:val="5"/>
  </w:num>
  <w:num w:numId="12">
    <w:abstractNumId w:val="5"/>
  </w:num>
  <w:num w:numId="13">
    <w:abstractNumId w:val="4"/>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70"/>
    <w:rsid w:val="0000058C"/>
    <w:rsid w:val="00004213"/>
    <w:rsid w:val="000046C9"/>
    <w:rsid w:val="0000644B"/>
    <w:rsid w:val="00033BA7"/>
    <w:rsid w:val="000360F8"/>
    <w:rsid w:val="00041F07"/>
    <w:rsid w:val="00057D09"/>
    <w:rsid w:val="0006201F"/>
    <w:rsid w:val="00062B2E"/>
    <w:rsid w:val="00067B39"/>
    <w:rsid w:val="00073530"/>
    <w:rsid w:val="000946F2"/>
    <w:rsid w:val="00094C9A"/>
    <w:rsid w:val="000979C6"/>
    <w:rsid w:val="00097EB2"/>
    <w:rsid w:val="000A1085"/>
    <w:rsid w:val="000B007B"/>
    <w:rsid w:val="000B0CD2"/>
    <w:rsid w:val="000B1686"/>
    <w:rsid w:val="000B406E"/>
    <w:rsid w:val="000B611A"/>
    <w:rsid w:val="000C153E"/>
    <w:rsid w:val="000C6F38"/>
    <w:rsid w:val="000C796A"/>
    <w:rsid w:val="001019EF"/>
    <w:rsid w:val="0010365C"/>
    <w:rsid w:val="001148FC"/>
    <w:rsid w:val="00126959"/>
    <w:rsid w:val="00132DC3"/>
    <w:rsid w:val="00147531"/>
    <w:rsid w:val="001514F8"/>
    <w:rsid w:val="001560E0"/>
    <w:rsid w:val="001657A7"/>
    <w:rsid w:val="00193BE7"/>
    <w:rsid w:val="00197F24"/>
    <w:rsid w:val="001B0339"/>
    <w:rsid w:val="001B4ED0"/>
    <w:rsid w:val="001B6B39"/>
    <w:rsid w:val="001C4C61"/>
    <w:rsid w:val="001E591D"/>
    <w:rsid w:val="00201254"/>
    <w:rsid w:val="00203E06"/>
    <w:rsid w:val="00211E34"/>
    <w:rsid w:val="00222F7A"/>
    <w:rsid w:val="00226F02"/>
    <w:rsid w:val="00230129"/>
    <w:rsid w:val="00241E36"/>
    <w:rsid w:val="002558FB"/>
    <w:rsid w:val="00261AEC"/>
    <w:rsid w:val="002943B2"/>
    <w:rsid w:val="002B1EDC"/>
    <w:rsid w:val="002B714B"/>
    <w:rsid w:val="002C02AC"/>
    <w:rsid w:val="002D6D5D"/>
    <w:rsid w:val="002E696E"/>
    <w:rsid w:val="003019E6"/>
    <w:rsid w:val="00303F47"/>
    <w:rsid w:val="00314196"/>
    <w:rsid w:val="0031620D"/>
    <w:rsid w:val="00317C66"/>
    <w:rsid w:val="003229A6"/>
    <w:rsid w:val="00324018"/>
    <w:rsid w:val="00331E05"/>
    <w:rsid w:val="00333CE8"/>
    <w:rsid w:val="0033485E"/>
    <w:rsid w:val="003358A4"/>
    <w:rsid w:val="00335BEC"/>
    <w:rsid w:val="00336845"/>
    <w:rsid w:val="00343E2F"/>
    <w:rsid w:val="0034488A"/>
    <w:rsid w:val="00344F00"/>
    <w:rsid w:val="00344F22"/>
    <w:rsid w:val="00372D2A"/>
    <w:rsid w:val="003750FA"/>
    <w:rsid w:val="00376980"/>
    <w:rsid w:val="00380DE7"/>
    <w:rsid w:val="003921C7"/>
    <w:rsid w:val="00395A63"/>
    <w:rsid w:val="003A5001"/>
    <w:rsid w:val="003B316A"/>
    <w:rsid w:val="003C260A"/>
    <w:rsid w:val="003D5DC5"/>
    <w:rsid w:val="003E7569"/>
    <w:rsid w:val="003F3E18"/>
    <w:rsid w:val="003F4314"/>
    <w:rsid w:val="003F7DFC"/>
    <w:rsid w:val="00416564"/>
    <w:rsid w:val="004178CE"/>
    <w:rsid w:val="00426E43"/>
    <w:rsid w:val="00447A3B"/>
    <w:rsid w:val="00453068"/>
    <w:rsid w:val="00456DD6"/>
    <w:rsid w:val="00464602"/>
    <w:rsid w:val="00467546"/>
    <w:rsid w:val="00470251"/>
    <w:rsid w:val="00492417"/>
    <w:rsid w:val="00494EA8"/>
    <w:rsid w:val="004A28D6"/>
    <w:rsid w:val="004A3805"/>
    <w:rsid w:val="004A5ED4"/>
    <w:rsid w:val="004B00A1"/>
    <w:rsid w:val="004C2F05"/>
    <w:rsid w:val="004C71F3"/>
    <w:rsid w:val="004D2D55"/>
    <w:rsid w:val="004E0E1A"/>
    <w:rsid w:val="004E4719"/>
    <w:rsid w:val="004E766B"/>
    <w:rsid w:val="004F1350"/>
    <w:rsid w:val="004F1EFE"/>
    <w:rsid w:val="004F33BA"/>
    <w:rsid w:val="004F4E5C"/>
    <w:rsid w:val="004F6EBC"/>
    <w:rsid w:val="00511CE9"/>
    <w:rsid w:val="0051569C"/>
    <w:rsid w:val="00522BC6"/>
    <w:rsid w:val="00522EA0"/>
    <w:rsid w:val="00524E73"/>
    <w:rsid w:val="005268C6"/>
    <w:rsid w:val="005314A8"/>
    <w:rsid w:val="005412C9"/>
    <w:rsid w:val="00550369"/>
    <w:rsid w:val="005524F8"/>
    <w:rsid w:val="00561D2B"/>
    <w:rsid w:val="00561F43"/>
    <w:rsid w:val="00566602"/>
    <w:rsid w:val="00574994"/>
    <w:rsid w:val="00582562"/>
    <w:rsid w:val="005A0732"/>
    <w:rsid w:val="005A5A4F"/>
    <w:rsid w:val="005B0EDB"/>
    <w:rsid w:val="005B1B14"/>
    <w:rsid w:val="005C1C62"/>
    <w:rsid w:val="005D084D"/>
    <w:rsid w:val="005D631A"/>
    <w:rsid w:val="005D76E3"/>
    <w:rsid w:val="005E514F"/>
    <w:rsid w:val="005F535E"/>
    <w:rsid w:val="0061449D"/>
    <w:rsid w:val="0061731C"/>
    <w:rsid w:val="00617820"/>
    <w:rsid w:val="00625270"/>
    <w:rsid w:val="00647EC4"/>
    <w:rsid w:val="00655352"/>
    <w:rsid w:val="0065694E"/>
    <w:rsid w:val="006676A1"/>
    <w:rsid w:val="00667FA9"/>
    <w:rsid w:val="00670C3E"/>
    <w:rsid w:val="00674CD0"/>
    <w:rsid w:val="006846F8"/>
    <w:rsid w:val="00690ED4"/>
    <w:rsid w:val="00691BB6"/>
    <w:rsid w:val="00692133"/>
    <w:rsid w:val="00694F72"/>
    <w:rsid w:val="006B1A88"/>
    <w:rsid w:val="006B3CFE"/>
    <w:rsid w:val="006B66F6"/>
    <w:rsid w:val="006C3CC1"/>
    <w:rsid w:val="006E0132"/>
    <w:rsid w:val="006E08F8"/>
    <w:rsid w:val="006F299C"/>
    <w:rsid w:val="006F6B6D"/>
    <w:rsid w:val="006F7FD4"/>
    <w:rsid w:val="00720225"/>
    <w:rsid w:val="007207E2"/>
    <w:rsid w:val="00725E9F"/>
    <w:rsid w:val="00726CC1"/>
    <w:rsid w:val="007279F8"/>
    <w:rsid w:val="00744496"/>
    <w:rsid w:val="00754E86"/>
    <w:rsid w:val="00770033"/>
    <w:rsid w:val="0078291E"/>
    <w:rsid w:val="00793B69"/>
    <w:rsid w:val="00793E0E"/>
    <w:rsid w:val="00795572"/>
    <w:rsid w:val="007A28D6"/>
    <w:rsid w:val="007A5E09"/>
    <w:rsid w:val="007A6A5E"/>
    <w:rsid w:val="007B6A6C"/>
    <w:rsid w:val="007C1BC9"/>
    <w:rsid w:val="007C1C93"/>
    <w:rsid w:val="007C605D"/>
    <w:rsid w:val="007E133D"/>
    <w:rsid w:val="007E5D66"/>
    <w:rsid w:val="007F3848"/>
    <w:rsid w:val="007F664D"/>
    <w:rsid w:val="00805658"/>
    <w:rsid w:val="00807CE3"/>
    <w:rsid w:val="00814C48"/>
    <w:rsid w:val="00816A9C"/>
    <w:rsid w:val="00820476"/>
    <w:rsid w:val="00820BBC"/>
    <w:rsid w:val="00822589"/>
    <w:rsid w:val="00825D17"/>
    <w:rsid w:val="0083539D"/>
    <w:rsid w:val="008445F1"/>
    <w:rsid w:val="00851748"/>
    <w:rsid w:val="00854E57"/>
    <w:rsid w:val="008560D1"/>
    <w:rsid w:val="00861B69"/>
    <w:rsid w:val="00862A63"/>
    <w:rsid w:val="0087417F"/>
    <w:rsid w:val="00890177"/>
    <w:rsid w:val="008B7411"/>
    <w:rsid w:val="008C6B51"/>
    <w:rsid w:val="008D469A"/>
    <w:rsid w:val="008D4C19"/>
    <w:rsid w:val="008D68E2"/>
    <w:rsid w:val="008E0300"/>
    <w:rsid w:val="008E2E81"/>
    <w:rsid w:val="008F4EDA"/>
    <w:rsid w:val="008F7988"/>
    <w:rsid w:val="00902AD0"/>
    <w:rsid w:val="00904570"/>
    <w:rsid w:val="0090638F"/>
    <w:rsid w:val="00906A1A"/>
    <w:rsid w:val="00906D4A"/>
    <w:rsid w:val="00916876"/>
    <w:rsid w:val="00916F0F"/>
    <w:rsid w:val="00920D6D"/>
    <w:rsid w:val="009263A2"/>
    <w:rsid w:val="00936C76"/>
    <w:rsid w:val="00937DB4"/>
    <w:rsid w:val="00942EB3"/>
    <w:rsid w:val="009435C9"/>
    <w:rsid w:val="0095116C"/>
    <w:rsid w:val="009723F8"/>
    <w:rsid w:val="009744ED"/>
    <w:rsid w:val="0098256C"/>
    <w:rsid w:val="009A619B"/>
    <w:rsid w:val="009C4DE3"/>
    <w:rsid w:val="009E2A3F"/>
    <w:rsid w:val="009E34ED"/>
    <w:rsid w:val="009F797D"/>
    <w:rsid w:val="00A00B63"/>
    <w:rsid w:val="00A0201D"/>
    <w:rsid w:val="00A06040"/>
    <w:rsid w:val="00A12C80"/>
    <w:rsid w:val="00A1301D"/>
    <w:rsid w:val="00A17C6A"/>
    <w:rsid w:val="00A3661B"/>
    <w:rsid w:val="00A44598"/>
    <w:rsid w:val="00A5773F"/>
    <w:rsid w:val="00A60491"/>
    <w:rsid w:val="00A66B6A"/>
    <w:rsid w:val="00A83348"/>
    <w:rsid w:val="00A93EAD"/>
    <w:rsid w:val="00A94201"/>
    <w:rsid w:val="00A9585C"/>
    <w:rsid w:val="00AA1452"/>
    <w:rsid w:val="00AA1585"/>
    <w:rsid w:val="00AA6F62"/>
    <w:rsid w:val="00AC5919"/>
    <w:rsid w:val="00AC5B52"/>
    <w:rsid w:val="00AD364D"/>
    <w:rsid w:val="00AD4D7B"/>
    <w:rsid w:val="00AE615B"/>
    <w:rsid w:val="00AE6479"/>
    <w:rsid w:val="00B05F97"/>
    <w:rsid w:val="00B16100"/>
    <w:rsid w:val="00B2325C"/>
    <w:rsid w:val="00B31286"/>
    <w:rsid w:val="00B34C72"/>
    <w:rsid w:val="00B35075"/>
    <w:rsid w:val="00B46373"/>
    <w:rsid w:val="00B678EB"/>
    <w:rsid w:val="00B7240B"/>
    <w:rsid w:val="00B81E7B"/>
    <w:rsid w:val="00B9574C"/>
    <w:rsid w:val="00BB580C"/>
    <w:rsid w:val="00BB77F0"/>
    <w:rsid w:val="00BC1879"/>
    <w:rsid w:val="00BD7E3B"/>
    <w:rsid w:val="00BE6F65"/>
    <w:rsid w:val="00BF04DB"/>
    <w:rsid w:val="00BF0A26"/>
    <w:rsid w:val="00BF71E2"/>
    <w:rsid w:val="00C06286"/>
    <w:rsid w:val="00C100A7"/>
    <w:rsid w:val="00C246B5"/>
    <w:rsid w:val="00C257B4"/>
    <w:rsid w:val="00C278F2"/>
    <w:rsid w:val="00C32F66"/>
    <w:rsid w:val="00C514AE"/>
    <w:rsid w:val="00C53E63"/>
    <w:rsid w:val="00C56BBF"/>
    <w:rsid w:val="00C57132"/>
    <w:rsid w:val="00C57D05"/>
    <w:rsid w:val="00C6114E"/>
    <w:rsid w:val="00C61300"/>
    <w:rsid w:val="00C72F7B"/>
    <w:rsid w:val="00C750C4"/>
    <w:rsid w:val="00C83214"/>
    <w:rsid w:val="00C9090D"/>
    <w:rsid w:val="00C9475F"/>
    <w:rsid w:val="00CA729E"/>
    <w:rsid w:val="00CB30FC"/>
    <w:rsid w:val="00CB73CF"/>
    <w:rsid w:val="00CC6E73"/>
    <w:rsid w:val="00CD3117"/>
    <w:rsid w:val="00CE6642"/>
    <w:rsid w:val="00CF60AA"/>
    <w:rsid w:val="00CF6CEA"/>
    <w:rsid w:val="00D035B6"/>
    <w:rsid w:val="00D13D49"/>
    <w:rsid w:val="00D22A2D"/>
    <w:rsid w:val="00D231FD"/>
    <w:rsid w:val="00D410EC"/>
    <w:rsid w:val="00D415F8"/>
    <w:rsid w:val="00D558AB"/>
    <w:rsid w:val="00D5697C"/>
    <w:rsid w:val="00D603D6"/>
    <w:rsid w:val="00D65DFB"/>
    <w:rsid w:val="00D722E2"/>
    <w:rsid w:val="00D74DED"/>
    <w:rsid w:val="00D76297"/>
    <w:rsid w:val="00D91BC5"/>
    <w:rsid w:val="00D94DB8"/>
    <w:rsid w:val="00DA7916"/>
    <w:rsid w:val="00DB32DD"/>
    <w:rsid w:val="00DC2281"/>
    <w:rsid w:val="00DC76A1"/>
    <w:rsid w:val="00DD6357"/>
    <w:rsid w:val="00DE08C4"/>
    <w:rsid w:val="00DE5190"/>
    <w:rsid w:val="00DF078C"/>
    <w:rsid w:val="00DF268A"/>
    <w:rsid w:val="00DF6629"/>
    <w:rsid w:val="00DF6B95"/>
    <w:rsid w:val="00DF73B9"/>
    <w:rsid w:val="00E03ED5"/>
    <w:rsid w:val="00E07421"/>
    <w:rsid w:val="00E14F1C"/>
    <w:rsid w:val="00E32EBC"/>
    <w:rsid w:val="00E41D28"/>
    <w:rsid w:val="00E625FF"/>
    <w:rsid w:val="00E64ADC"/>
    <w:rsid w:val="00EB1B52"/>
    <w:rsid w:val="00EB661E"/>
    <w:rsid w:val="00EC1170"/>
    <w:rsid w:val="00EC305D"/>
    <w:rsid w:val="00EC4BC9"/>
    <w:rsid w:val="00EE0217"/>
    <w:rsid w:val="00EE0BAB"/>
    <w:rsid w:val="00EF0155"/>
    <w:rsid w:val="00EF2616"/>
    <w:rsid w:val="00EF4A34"/>
    <w:rsid w:val="00EF4A3B"/>
    <w:rsid w:val="00F02EF4"/>
    <w:rsid w:val="00F0504E"/>
    <w:rsid w:val="00F10B59"/>
    <w:rsid w:val="00F2595C"/>
    <w:rsid w:val="00F35395"/>
    <w:rsid w:val="00F532C7"/>
    <w:rsid w:val="00F671C3"/>
    <w:rsid w:val="00F72FCF"/>
    <w:rsid w:val="00F763BB"/>
    <w:rsid w:val="00F80F49"/>
    <w:rsid w:val="00F836CE"/>
    <w:rsid w:val="00F97177"/>
    <w:rsid w:val="00F97AB4"/>
    <w:rsid w:val="00FA00F4"/>
    <w:rsid w:val="00FA26F2"/>
    <w:rsid w:val="00FA5FD1"/>
    <w:rsid w:val="00FA6D2C"/>
    <w:rsid w:val="00FB6936"/>
    <w:rsid w:val="00FC0BA3"/>
    <w:rsid w:val="00FC1CC1"/>
    <w:rsid w:val="00FD4A5E"/>
    <w:rsid w:val="00FD7003"/>
    <w:rsid w:val="00FE0839"/>
    <w:rsid w:val="00FF04A3"/>
    <w:rsid w:val="00FF1C65"/>
    <w:rsid w:val="00FF3F25"/>
    <w:rsid w:val="00FF4DA6"/>
    <w:rsid w:val="00FF6B89"/>
    <w:rsid w:val="00FF75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1">
    <w:name w:val="heading 1"/>
    <w:aliases w:val="MINISTERE"/>
    <w:basedOn w:val="Normal"/>
    <w:next w:val="Normal"/>
    <w:link w:val="Titre1Car"/>
    <w:uiPriority w:val="9"/>
    <w:qFormat/>
    <w:rsid w:val="00816A9C"/>
    <w:pPr>
      <w:keepNext/>
      <w:keepLines/>
      <w:spacing w:before="240"/>
      <w:jc w:val="center"/>
      <w:outlineLvl w:val="0"/>
    </w:pPr>
    <w:rPr>
      <w:rFonts w:ascii="Cambria" w:eastAsiaTheme="majorEastAsia" w:hAnsi="Cambria" w:cstheme="majorBidi"/>
      <w:b/>
      <w:color w:val="000000" w:themeColor="text1"/>
      <w:sz w:val="28"/>
      <w:szCs w:val="32"/>
    </w:rPr>
  </w:style>
  <w:style w:type="paragraph" w:styleId="Titre2">
    <w:name w:val="heading 2"/>
    <w:aliases w:val="TEXTE CM"/>
    <w:basedOn w:val="Normal"/>
    <w:next w:val="Normal"/>
    <w:link w:val="Titre2Car"/>
    <w:uiPriority w:val="9"/>
    <w:unhideWhenUsed/>
    <w:qFormat/>
    <w:rsid w:val="00D74DED"/>
    <w:pPr>
      <w:keepNext/>
      <w:keepLines/>
      <w:spacing w:before="40"/>
      <w:jc w:val="both"/>
      <w:outlineLvl w:val="1"/>
    </w:pPr>
    <w:rPr>
      <w:rFonts w:ascii="Cambria" w:eastAsiaTheme="majorEastAsia" w:hAnsi="Cambria" w:cstheme="majorBidi"/>
      <w:b/>
      <w:szCs w:val="26"/>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uiPriority w:val="99"/>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paragraph">
    <w:name w:val="paragraph"/>
    <w:basedOn w:val="Normal"/>
    <w:rsid w:val="00FF4DA6"/>
    <w:pPr>
      <w:spacing w:before="100" w:beforeAutospacing="1" w:after="100" w:afterAutospacing="1"/>
    </w:pPr>
    <w:rPr>
      <w:lang w:eastAsia="fr-FR"/>
    </w:rPr>
  </w:style>
  <w:style w:type="character" w:customStyle="1" w:styleId="normaltextrun">
    <w:name w:val="normaltextrun"/>
    <w:rsid w:val="00FF4DA6"/>
  </w:style>
  <w:style w:type="character" w:customStyle="1" w:styleId="eop">
    <w:name w:val="eop"/>
    <w:rsid w:val="00FF4DA6"/>
  </w:style>
  <w:style w:type="paragraph" w:styleId="Commentaire">
    <w:name w:val="annotation text"/>
    <w:basedOn w:val="Normal"/>
    <w:link w:val="CommentaireCar"/>
    <w:uiPriority w:val="99"/>
    <w:unhideWhenUsed/>
    <w:rsid w:val="00241E36"/>
    <w:rPr>
      <w:sz w:val="20"/>
      <w:szCs w:val="20"/>
      <w:lang w:eastAsia="fr-FR"/>
    </w:rPr>
  </w:style>
  <w:style w:type="character" w:customStyle="1" w:styleId="CommentaireCar">
    <w:name w:val="Commentaire Car"/>
    <w:basedOn w:val="Policepardfaut"/>
    <w:link w:val="Commentaire"/>
    <w:uiPriority w:val="99"/>
    <w:rsid w:val="00241E36"/>
    <w:rPr>
      <w:rFonts w:ascii="Times New Roman" w:eastAsia="Times New Roman" w:hAnsi="Times New Roman" w:cs="Times New Roman"/>
      <w:sz w:val="20"/>
      <w:szCs w:val="20"/>
      <w:lang w:eastAsia="fr-FR"/>
    </w:rPr>
  </w:style>
  <w:style w:type="paragraph" w:customStyle="1" w:styleId="-DiversLigneinvisibleGEDA">
    <w:name w:val="- Divers:Ligne invisible   GEDA"/>
    <w:rsid w:val="00241E36"/>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paragraph" w:customStyle="1" w:styleId="Notedebasdepage1">
    <w:name w:val="Note de bas de page1"/>
    <w:basedOn w:val="Normal"/>
    <w:next w:val="Notedebasdepage"/>
    <w:link w:val="NotedebasdepageCar"/>
    <w:uiPriority w:val="99"/>
    <w:semiHidden/>
    <w:unhideWhenUsed/>
    <w:rsid w:val="000946F2"/>
    <w:rPr>
      <w:rFonts w:eastAsiaTheme="minorHAnsi"/>
      <w:sz w:val="20"/>
      <w:szCs w:val="20"/>
      <w:lang w:eastAsia="en-US"/>
    </w:rPr>
  </w:style>
  <w:style w:type="character" w:customStyle="1" w:styleId="NotedebasdepageCar">
    <w:name w:val="Note de bas de page Car"/>
    <w:basedOn w:val="Policepardfaut"/>
    <w:link w:val="Notedebasdepage1"/>
    <w:uiPriority w:val="99"/>
    <w:semiHidden/>
    <w:rsid w:val="000946F2"/>
    <w:rPr>
      <w:rFonts w:ascii="Times New Roman" w:hAnsi="Times New Roman" w:cs="Times New Roman"/>
      <w:sz w:val="20"/>
      <w:szCs w:val="20"/>
    </w:rPr>
  </w:style>
  <w:style w:type="character" w:styleId="Appelnotedebasdep">
    <w:name w:val="footnote reference"/>
    <w:basedOn w:val="Policepardfaut"/>
    <w:uiPriority w:val="99"/>
    <w:semiHidden/>
    <w:unhideWhenUsed/>
    <w:rsid w:val="000946F2"/>
    <w:rPr>
      <w:vertAlign w:val="superscript"/>
    </w:rPr>
  </w:style>
  <w:style w:type="table" w:styleId="Tableausimple1">
    <w:name w:val="Plain Table 1"/>
    <w:basedOn w:val="TableauNormal"/>
    <w:uiPriority w:val="41"/>
    <w:rsid w:val="000946F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tedebasdepage">
    <w:name w:val="footnote text"/>
    <w:basedOn w:val="Normal"/>
    <w:link w:val="NotedebasdepageCar1"/>
    <w:uiPriority w:val="99"/>
    <w:semiHidden/>
    <w:unhideWhenUsed/>
    <w:rsid w:val="000946F2"/>
    <w:rPr>
      <w:sz w:val="20"/>
      <w:szCs w:val="20"/>
    </w:rPr>
  </w:style>
  <w:style w:type="character" w:customStyle="1" w:styleId="NotedebasdepageCar1">
    <w:name w:val="Note de bas de page Car1"/>
    <w:basedOn w:val="Policepardfaut"/>
    <w:link w:val="Notedebasdepage"/>
    <w:uiPriority w:val="99"/>
    <w:semiHidden/>
    <w:rsid w:val="000946F2"/>
    <w:rPr>
      <w:rFonts w:ascii="Times New Roman" w:eastAsia="Times New Roman" w:hAnsi="Times New Roman" w:cs="Times New Roman"/>
      <w:sz w:val="20"/>
      <w:szCs w:val="20"/>
      <w:lang w:eastAsia="es-ES"/>
    </w:rPr>
  </w:style>
  <w:style w:type="paragraph" w:customStyle="1" w:styleId="Normal1">
    <w:name w:val="Normal1"/>
    <w:basedOn w:val="Normal"/>
    <w:rsid w:val="007F664D"/>
    <w:rPr>
      <w:rFonts w:eastAsiaTheme="minorHAnsi"/>
      <w:lang w:eastAsia="fr-FR"/>
    </w:rPr>
  </w:style>
  <w:style w:type="paragraph" w:customStyle="1" w:styleId="-LettreSuiteORefPJGEDA">
    <w:name w:val="- Lettre:Suite O/Ref/PJ GEDA"/>
    <w:basedOn w:val="Normal"/>
    <w:rsid w:val="001560E0"/>
    <w:pPr>
      <w:overflowPunct w:val="0"/>
      <w:autoSpaceDE w:val="0"/>
      <w:autoSpaceDN w:val="0"/>
      <w:ind w:left="851"/>
      <w:jc w:val="both"/>
    </w:pPr>
    <w:rPr>
      <w:rFonts w:eastAsiaTheme="minorHAnsi"/>
      <w:lang w:eastAsia="fr-FR"/>
    </w:rPr>
  </w:style>
  <w:style w:type="paragraph" w:customStyle="1" w:styleId="-LettrehDestinataireadGEDA">
    <w:name w:val="- Lettre:h_Destinataire (ad)GEDA"/>
    <w:basedOn w:val="Normal"/>
    <w:rsid w:val="001560E0"/>
    <w:pPr>
      <w:overflowPunct w:val="0"/>
      <w:autoSpaceDE w:val="0"/>
      <w:autoSpaceDN w:val="0"/>
      <w:jc w:val="center"/>
    </w:pPr>
    <w:rPr>
      <w:rFonts w:eastAsiaTheme="minorHAnsi"/>
      <w:b/>
      <w:bCs/>
      <w:lang w:eastAsia="fr-FR"/>
    </w:rPr>
  </w:style>
  <w:style w:type="character" w:customStyle="1" w:styleId="Titre2Car">
    <w:name w:val="Titre 2 Car"/>
    <w:aliases w:val="TEXTE CM Car"/>
    <w:basedOn w:val="Policepardfaut"/>
    <w:link w:val="Titre2"/>
    <w:uiPriority w:val="9"/>
    <w:rsid w:val="00D74DED"/>
    <w:rPr>
      <w:rFonts w:ascii="Cambria" w:eastAsiaTheme="majorEastAsia" w:hAnsi="Cambria" w:cstheme="majorBidi"/>
      <w:b/>
      <w:sz w:val="24"/>
      <w:szCs w:val="26"/>
      <w:lang w:eastAsia="es-ES"/>
    </w:rPr>
  </w:style>
  <w:style w:type="character" w:styleId="lev">
    <w:name w:val="Strong"/>
    <w:basedOn w:val="Policepardfaut"/>
    <w:uiPriority w:val="22"/>
    <w:qFormat/>
    <w:rsid w:val="0087417F"/>
    <w:rPr>
      <w:b/>
      <w:bCs/>
    </w:rPr>
  </w:style>
  <w:style w:type="character" w:styleId="Accentuation">
    <w:name w:val="Emphasis"/>
    <w:basedOn w:val="Policepardfaut"/>
    <w:uiPriority w:val="20"/>
    <w:qFormat/>
    <w:rsid w:val="000360F8"/>
    <w:rPr>
      <w:i/>
      <w:iCs/>
    </w:rPr>
  </w:style>
  <w:style w:type="character" w:customStyle="1" w:styleId="Titre1Car">
    <w:name w:val="Titre 1 Car"/>
    <w:aliases w:val="MINISTERE Car"/>
    <w:basedOn w:val="Policepardfaut"/>
    <w:link w:val="Titre1"/>
    <w:uiPriority w:val="9"/>
    <w:rsid w:val="00816A9C"/>
    <w:rPr>
      <w:rFonts w:ascii="Cambria" w:eastAsiaTheme="majorEastAsia" w:hAnsi="Cambria" w:cstheme="majorBidi"/>
      <w:b/>
      <w:color w:val="000000" w:themeColor="text1"/>
      <w:sz w:val="28"/>
      <w:szCs w:val="32"/>
      <w:lang w:eastAsia="es-ES"/>
    </w:rPr>
  </w:style>
  <w:style w:type="paragraph" w:styleId="En-ttedetabledesmatires">
    <w:name w:val="TOC Heading"/>
    <w:basedOn w:val="Titre1"/>
    <w:next w:val="Normal"/>
    <w:uiPriority w:val="39"/>
    <w:unhideWhenUsed/>
    <w:qFormat/>
    <w:rsid w:val="00EF2616"/>
    <w:pPr>
      <w:spacing w:line="259" w:lineRule="auto"/>
      <w:outlineLvl w:val="9"/>
    </w:pPr>
    <w:rPr>
      <w:lang w:eastAsia="fr-FR"/>
    </w:rPr>
  </w:style>
  <w:style w:type="paragraph" w:styleId="TM2">
    <w:name w:val="toc 2"/>
    <w:basedOn w:val="Normal"/>
    <w:next w:val="Normal"/>
    <w:autoRedefine/>
    <w:uiPriority w:val="39"/>
    <w:unhideWhenUsed/>
    <w:rsid w:val="001E591D"/>
    <w:pPr>
      <w:numPr>
        <w:numId w:val="2"/>
      </w:numPr>
      <w:tabs>
        <w:tab w:val="right" w:leader="dot" w:pos="9062"/>
      </w:tabs>
      <w:spacing w:after="100" w:line="259" w:lineRule="auto"/>
    </w:pPr>
    <w:rPr>
      <w:rFonts w:asciiTheme="minorHAnsi" w:eastAsiaTheme="minorEastAsia" w:hAnsiTheme="minorHAnsi"/>
      <w:sz w:val="22"/>
      <w:szCs w:val="22"/>
      <w:lang w:eastAsia="fr-FR"/>
    </w:rPr>
  </w:style>
  <w:style w:type="paragraph" w:styleId="TM1">
    <w:name w:val="toc 1"/>
    <w:basedOn w:val="Normal"/>
    <w:next w:val="Normal"/>
    <w:autoRedefine/>
    <w:uiPriority w:val="39"/>
    <w:unhideWhenUsed/>
    <w:rsid w:val="00FA26F2"/>
    <w:pPr>
      <w:tabs>
        <w:tab w:val="right" w:leader="dot" w:pos="9062"/>
      </w:tabs>
      <w:spacing w:after="100" w:line="259" w:lineRule="auto"/>
    </w:pPr>
    <w:rPr>
      <w:rFonts w:ascii="Cambria" w:eastAsiaTheme="minorEastAsia" w:hAnsi="Cambria"/>
      <w:b/>
      <w:bCs/>
      <w:noProof/>
      <w:sz w:val="22"/>
      <w:szCs w:val="22"/>
      <w:lang w:eastAsia="fr-FR"/>
    </w:rPr>
  </w:style>
  <w:style w:type="paragraph" w:styleId="TM3">
    <w:name w:val="toc 3"/>
    <w:basedOn w:val="Normal"/>
    <w:next w:val="Normal"/>
    <w:autoRedefine/>
    <w:uiPriority w:val="39"/>
    <w:unhideWhenUsed/>
    <w:rsid w:val="00EF2616"/>
    <w:pPr>
      <w:spacing w:after="100" w:line="259" w:lineRule="auto"/>
      <w:ind w:left="440"/>
    </w:pPr>
    <w:rPr>
      <w:rFonts w:asciiTheme="minorHAnsi" w:eastAsiaTheme="minorEastAsia" w:hAnsiTheme="minorHAnsi"/>
      <w:sz w:val="22"/>
      <w:szCs w:val="22"/>
      <w:lang w:eastAsia="fr-FR"/>
    </w:rPr>
  </w:style>
  <w:style w:type="paragraph" w:styleId="En-tte">
    <w:name w:val="header"/>
    <w:basedOn w:val="Normal"/>
    <w:link w:val="En-tteCar"/>
    <w:uiPriority w:val="99"/>
    <w:unhideWhenUsed/>
    <w:rsid w:val="00261AEC"/>
    <w:pPr>
      <w:tabs>
        <w:tab w:val="center" w:pos="4536"/>
        <w:tab w:val="right" w:pos="9072"/>
      </w:tabs>
    </w:pPr>
  </w:style>
  <w:style w:type="character" w:customStyle="1" w:styleId="En-tteCar">
    <w:name w:val="En-tête Car"/>
    <w:basedOn w:val="Policepardfaut"/>
    <w:link w:val="En-tte"/>
    <w:uiPriority w:val="99"/>
    <w:rsid w:val="00261AEC"/>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261AEC"/>
    <w:pPr>
      <w:tabs>
        <w:tab w:val="center" w:pos="4536"/>
        <w:tab w:val="right" w:pos="9072"/>
      </w:tabs>
    </w:pPr>
  </w:style>
  <w:style w:type="character" w:customStyle="1" w:styleId="PieddepageCar">
    <w:name w:val="Pied de page Car"/>
    <w:basedOn w:val="Policepardfaut"/>
    <w:link w:val="Pieddepage"/>
    <w:uiPriority w:val="99"/>
    <w:rsid w:val="00261AEC"/>
    <w:rPr>
      <w:rFonts w:ascii="Times New Roman" w:eastAsia="Times New Roman" w:hAnsi="Times New Roman" w:cs="Times New Roman"/>
      <w:sz w:val="24"/>
      <w:szCs w:val="24"/>
      <w:lang w:eastAsia="es-ES"/>
    </w:rPr>
  </w:style>
  <w:style w:type="character" w:styleId="Mentionnonrsolue">
    <w:name w:val="Unresolved Mention"/>
    <w:basedOn w:val="Policepardfaut"/>
    <w:uiPriority w:val="99"/>
    <w:semiHidden/>
    <w:unhideWhenUsed/>
    <w:rsid w:val="00BB5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069">
      <w:bodyDiv w:val="1"/>
      <w:marLeft w:val="0"/>
      <w:marRight w:val="0"/>
      <w:marTop w:val="0"/>
      <w:marBottom w:val="0"/>
      <w:divBdr>
        <w:top w:val="none" w:sz="0" w:space="0" w:color="auto"/>
        <w:left w:val="none" w:sz="0" w:space="0" w:color="auto"/>
        <w:bottom w:val="none" w:sz="0" w:space="0" w:color="auto"/>
        <w:right w:val="none" w:sz="0" w:space="0" w:color="auto"/>
      </w:divBdr>
    </w:div>
    <w:div w:id="33122345">
      <w:bodyDiv w:val="1"/>
      <w:marLeft w:val="0"/>
      <w:marRight w:val="0"/>
      <w:marTop w:val="0"/>
      <w:marBottom w:val="0"/>
      <w:divBdr>
        <w:top w:val="none" w:sz="0" w:space="0" w:color="auto"/>
        <w:left w:val="none" w:sz="0" w:space="0" w:color="auto"/>
        <w:bottom w:val="none" w:sz="0" w:space="0" w:color="auto"/>
        <w:right w:val="none" w:sz="0" w:space="0" w:color="auto"/>
      </w:divBdr>
    </w:div>
    <w:div w:id="52244379">
      <w:bodyDiv w:val="1"/>
      <w:marLeft w:val="0"/>
      <w:marRight w:val="0"/>
      <w:marTop w:val="0"/>
      <w:marBottom w:val="0"/>
      <w:divBdr>
        <w:top w:val="none" w:sz="0" w:space="0" w:color="auto"/>
        <w:left w:val="none" w:sz="0" w:space="0" w:color="auto"/>
        <w:bottom w:val="none" w:sz="0" w:space="0" w:color="auto"/>
        <w:right w:val="none" w:sz="0" w:space="0" w:color="auto"/>
      </w:divBdr>
    </w:div>
    <w:div w:id="55862106">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87119346">
      <w:bodyDiv w:val="1"/>
      <w:marLeft w:val="0"/>
      <w:marRight w:val="0"/>
      <w:marTop w:val="0"/>
      <w:marBottom w:val="0"/>
      <w:divBdr>
        <w:top w:val="none" w:sz="0" w:space="0" w:color="auto"/>
        <w:left w:val="none" w:sz="0" w:space="0" w:color="auto"/>
        <w:bottom w:val="none" w:sz="0" w:space="0" w:color="auto"/>
        <w:right w:val="none" w:sz="0" w:space="0" w:color="auto"/>
      </w:divBdr>
    </w:div>
    <w:div w:id="95103606">
      <w:bodyDiv w:val="1"/>
      <w:marLeft w:val="0"/>
      <w:marRight w:val="0"/>
      <w:marTop w:val="0"/>
      <w:marBottom w:val="0"/>
      <w:divBdr>
        <w:top w:val="none" w:sz="0" w:space="0" w:color="auto"/>
        <w:left w:val="none" w:sz="0" w:space="0" w:color="auto"/>
        <w:bottom w:val="none" w:sz="0" w:space="0" w:color="auto"/>
        <w:right w:val="none" w:sz="0" w:space="0" w:color="auto"/>
      </w:divBdr>
    </w:div>
    <w:div w:id="107624682">
      <w:bodyDiv w:val="1"/>
      <w:marLeft w:val="0"/>
      <w:marRight w:val="0"/>
      <w:marTop w:val="0"/>
      <w:marBottom w:val="0"/>
      <w:divBdr>
        <w:top w:val="none" w:sz="0" w:space="0" w:color="auto"/>
        <w:left w:val="none" w:sz="0" w:space="0" w:color="auto"/>
        <w:bottom w:val="none" w:sz="0" w:space="0" w:color="auto"/>
        <w:right w:val="none" w:sz="0" w:space="0" w:color="auto"/>
      </w:divBdr>
    </w:div>
    <w:div w:id="113719833">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7620744">
      <w:bodyDiv w:val="1"/>
      <w:marLeft w:val="0"/>
      <w:marRight w:val="0"/>
      <w:marTop w:val="0"/>
      <w:marBottom w:val="0"/>
      <w:divBdr>
        <w:top w:val="none" w:sz="0" w:space="0" w:color="auto"/>
        <w:left w:val="none" w:sz="0" w:space="0" w:color="auto"/>
        <w:bottom w:val="none" w:sz="0" w:space="0" w:color="auto"/>
        <w:right w:val="none" w:sz="0" w:space="0" w:color="auto"/>
      </w:divBdr>
    </w:div>
    <w:div w:id="172956446">
      <w:bodyDiv w:val="1"/>
      <w:marLeft w:val="0"/>
      <w:marRight w:val="0"/>
      <w:marTop w:val="0"/>
      <w:marBottom w:val="0"/>
      <w:divBdr>
        <w:top w:val="none" w:sz="0" w:space="0" w:color="auto"/>
        <w:left w:val="none" w:sz="0" w:space="0" w:color="auto"/>
        <w:bottom w:val="none" w:sz="0" w:space="0" w:color="auto"/>
        <w:right w:val="none" w:sz="0" w:space="0" w:color="auto"/>
      </w:divBdr>
    </w:div>
    <w:div w:id="229124835">
      <w:bodyDiv w:val="1"/>
      <w:marLeft w:val="0"/>
      <w:marRight w:val="0"/>
      <w:marTop w:val="0"/>
      <w:marBottom w:val="0"/>
      <w:divBdr>
        <w:top w:val="none" w:sz="0" w:space="0" w:color="auto"/>
        <w:left w:val="none" w:sz="0" w:space="0" w:color="auto"/>
        <w:bottom w:val="none" w:sz="0" w:space="0" w:color="auto"/>
        <w:right w:val="none" w:sz="0" w:space="0" w:color="auto"/>
      </w:divBdr>
    </w:div>
    <w:div w:id="270475821">
      <w:bodyDiv w:val="1"/>
      <w:marLeft w:val="0"/>
      <w:marRight w:val="0"/>
      <w:marTop w:val="0"/>
      <w:marBottom w:val="0"/>
      <w:divBdr>
        <w:top w:val="none" w:sz="0" w:space="0" w:color="auto"/>
        <w:left w:val="none" w:sz="0" w:space="0" w:color="auto"/>
        <w:bottom w:val="none" w:sz="0" w:space="0" w:color="auto"/>
        <w:right w:val="none" w:sz="0" w:space="0" w:color="auto"/>
      </w:divBdr>
    </w:div>
    <w:div w:id="276716710">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348719378">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82494115">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643848716">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761336105">
      <w:bodyDiv w:val="1"/>
      <w:marLeft w:val="0"/>
      <w:marRight w:val="0"/>
      <w:marTop w:val="0"/>
      <w:marBottom w:val="0"/>
      <w:divBdr>
        <w:top w:val="none" w:sz="0" w:space="0" w:color="auto"/>
        <w:left w:val="none" w:sz="0" w:space="0" w:color="auto"/>
        <w:bottom w:val="none" w:sz="0" w:space="0" w:color="auto"/>
        <w:right w:val="none" w:sz="0" w:space="0" w:color="auto"/>
      </w:divBdr>
    </w:div>
    <w:div w:id="871265556">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48507244">
      <w:bodyDiv w:val="1"/>
      <w:marLeft w:val="0"/>
      <w:marRight w:val="0"/>
      <w:marTop w:val="0"/>
      <w:marBottom w:val="0"/>
      <w:divBdr>
        <w:top w:val="none" w:sz="0" w:space="0" w:color="auto"/>
        <w:left w:val="none" w:sz="0" w:space="0" w:color="auto"/>
        <w:bottom w:val="none" w:sz="0" w:space="0" w:color="auto"/>
        <w:right w:val="none" w:sz="0" w:space="0" w:color="auto"/>
      </w:divBdr>
    </w:div>
    <w:div w:id="1001470987">
      <w:bodyDiv w:val="1"/>
      <w:marLeft w:val="0"/>
      <w:marRight w:val="0"/>
      <w:marTop w:val="0"/>
      <w:marBottom w:val="0"/>
      <w:divBdr>
        <w:top w:val="none" w:sz="0" w:space="0" w:color="auto"/>
        <w:left w:val="none" w:sz="0" w:space="0" w:color="auto"/>
        <w:bottom w:val="none" w:sz="0" w:space="0" w:color="auto"/>
        <w:right w:val="none" w:sz="0" w:space="0" w:color="auto"/>
      </w:divBdr>
      <w:divsChild>
        <w:div w:id="1250042016">
          <w:marLeft w:val="0"/>
          <w:marRight w:val="0"/>
          <w:marTop w:val="0"/>
          <w:marBottom w:val="0"/>
          <w:divBdr>
            <w:top w:val="none" w:sz="0" w:space="0" w:color="auto"/>
            <w:left w:val="none" w:sz="0" w:space="0" w:color="auto"/>
            <w:bottom w:val="none" w:sz="0" w:space="0" w:color="auto"/>
            <w:right w:val="none" w:sz="0" w:space="0" w:color="auto"/>
          </w:divBdr>
        </w:div>
      </w:divsChild>
    </w:div>
    <w:div w:id="1021661582">
      <w:bodyDiv w:val="1"/>
      <w:marLeft w:val="0"/>
      <w:marRight w:val="0"/>
      <w:marTop w:val="0"/>
      <w:marBottom w:val="0"/>
      <w:divBdr>
        <w:top w:val="none" w:sz="0" w:space="0" w:color="auto"/>
        <w:left w:val="none" w:sz="0" w:space="0" w:color="auto"/>
        <w:bottom w:val="none" w:sz="0" w:space="0" w:color="auto"/>
        <w:right w:val="none" w:sz="0" w:space="0" w:color="auto"/>
      </w:divBdr>
    </w:div>
    <w:div w:id="1025597820">
      <w:bodyDiv w:val="1"/>
      <w:marLeft w:val="0"/>
      <w:marRight w:val="0"/>
      <w:marTop w:val="0"/>
      <w:marBottom w:val="0"/>
      <w:divBdr>
        <w:top w:val="none" w:sz="0" w:space="0" w:color="auto"/>
        <w:left w:val="none" w:sz="0" w:space="0" w:color="auto"/>
        <w:bottom w:val="none" w:sz="0" w:space="0" w:color="auto"/>
        <w:right w:val="none" w:sz="0" w:space="0" w:color="auto"/>
      </w:divBdr>
      <w:divsChild>
        <w:div w:id="2145155589">
          <w:marLeft w:val="0"/>
          <w:marRight w:val="0"/>
          <w:marTop w:val="0"/>
          <w:marBottom w:val="0"/>
          <w:divBdr>
            <w:top w:val="none" w:sz="0" w:space="0" w:color="auto"/>
            <w:left w:val="none" w:sz="0" w:space="0" w:color="auto"/>
            <w:bottom w:val="none" w:sz="0" w:space="0" w:color="auto"/>
            <w:right w:val="none" w:sz="0" w:space="0" w:color="auto"/>
          </w:divBdr>
          <w:divsChild>
            <w:div w:id="9611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79861">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125930852">
      <w:bodyDiv w:val="1"/>
      <w:marLeft w:val="0"/>
      <w:marRight w:val="0"/>
      <w:marTop w:val="0"/>
      <w:marBottom w:val="0"/>
      <w:divBdr>
        <w:top w:val="none" w:sz="0" w:space="0" w:color="auto"/>
        <w:left w:val="none" w:sz="0" w:space="0" w:color="auto"/>
        <w:bottom w:val="none" w:sz="0" w:space="0" w:color="auto"/>
        <w:right w:val="none" w:sz="0" w:space="0" w:color="auto"/>
      </w:divBdr>
    </w:div>
    <w:div w:id="1128356964">
      <w:bodyDiv w:val="1"/>
      <w:marLeft w:val="0"/>
      <w:marRight w:val="0"/>
      <w:marTop w:val="0"/>
      <w:marBottom w:val="0"/>
      <w:divBdr>
        <w:top w:val="none" w:sz="0" w:space="0" w:color="auto"/>
        <w:left w:val="none" w:sz="0" w:space="0" w:color="auto"/>
        <w:bottom w:val="none" w:sz="0" w:space="0" w:color="auto"/>
        <w:right w:val="none" w:sz="0" w:space="0" w:color="auto"/>
      </w:divBdr>
    </w:div>
    <w:div w:id="1180392667">
      <w:bodyDiv w:val="1"/>
      <w:marLeft w:val="0"/>
      <w:marRight w:val="0"/>
      <w:marTop w:val="0"/>
      <w:marBottom w:val="0"/>
      <w:divBdr>
        <w:top w:val="none" w:sz="0" w:space="0" w:color="auto"/>
        <w:left w:val="none" w:sz="0" w:space="0" w:color="auto"/>
        <w:bottom w:val="none" w:sz="0" w:space="0" w:color="auto"/>
        <w:right w:val="none" w:sz="0" w:space="0" w:color="auto"/>
      </w:divBdr>
    </w:div>
    <w:div w:id="1182937944">
      <w:bodyDiv w:val="1"/>
      <w:marLeft w:val="0"/>
      <w:marRight w:val="0"/>
      <w:marTop w:val="0"/>
      <w:marBottom w:val="0"/>
      <w:divBdr>
        <w:top w:val="none" w:sz="0" w:space="0" w:color="auto"/>
        <w:left w:val="none" w:sz="0" w:space="0" w:color="auto"/>
        <w:bottom w:val="none" w:sz="0" w:space="0" w:color="auto"/>
        <w:right w:val="none" w:sz="0" w:space="0" w:color="auto"/>
      </w:divBdr>
    </w:div>
    <w:div w:id="1199275019">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458914702">
      <w:bodyDiv w:val="1"/>
      <w:marLeft w:val="0"/>
      <w:marRight w:val="0"/>
      <w:marTop w:val="0"/>
      <w:marBottom w:val="0"/>
      <w:divBdr>
        <w:top w:val="none" w:sz="0" w:space="0" w:color="auto"/>
        <w:left w:val="none" w:sz="0" w:space="0" w:color="auto"/>
        <w:bottom w:val="none" w:sz="0" w:space="0" w:color="auto"/>
        <w:right w:val="none" w:sz="0" w:space="0" w:color="auto"/>
      </w:divBdr>
    </w:div>
    <w:div w:id="1474248079">
      <w:bodyDiv w:val="1"/>
      <w:marLeft w:val="0"/>
      <w:marRight w:val="0"/>
      <w:marTop w:val="0"/>
      <w:marBottom w:val="0"/>
      <w:divBdr>
        <w:top w:val="none" w:sz="0" w:space="0" w:color="auto"/>
        <w:left w:val="none" w:sz="0" w:space="0" w:color="auto"/>
        <w:bottom w:val="none" w:sz="0" w:space="0" w:color="auto"/>
        <w:right w:val="none" w:sz="0" w:space="0" w:color="auto"/>
      </w:divBdr>
      <w:divsChild>
        <w:div w:id="586503750">
          <w:marLeft w:val="0"/>
          <w:marRight w:val="0"/>
          <w:marTop w:val="0"/>
          <w:marBottom w:val="0"/>
          <w:divBdr>
            <w:top w:val="none" w:sz="0" w:space="0" w:color="auto"/>
            <w:left w:val="none" w:sz="0" w:space="0" w:color="auto"/>
            <w:bottom w:val="none" w:sz="0" w:space="0" w:color="auto"/>
            <w:right w:val="none" w:sz="0" w:space="0" w:color="auto"/>
          </w:divBdr>
          <w:divsChild>
            <w:div w:id="12880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88547622">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02702172">
      <w:bodyDiv w:val="1"/>
      <w:marLeft w:val="0"/>
      <w:marRight w:val="0"/>
      <w:marTop w:val="0"/>
      <w:marBottom w:val="0"/>
      <w:divBdr>
        <w:top w:val="none" w:sz="0" w:space="0" w:color="auto"/>
        <w:left w:val="none" w:sz="0" w:space="0" w:color="auto"/>
        <w:bottom w:val="none" w:sz="0" w:space="0" w:color="auto"/>
        <w:right w:val="none" w:sz="0" w:space="0" w:color="auto"/>
      </w:divBdr>
    </w:div>
    <w:div w:id="1517770816">
      <w:bodyDiv w:val="1"/>
      <w:marLeft w:val="0"/>
      <w:marRight w:val="0"/>
      <w:marTop w:val="0"/>
      <w:marBottom w:val="0"/>
      <w:divBdr>
        <w:top w:val="none" w:sz="0" w:space="0" w:color="auto"/>
        <w:left w:val="none" w:sz="0" w:space="0" w:color="auto"/>
        <w:bottom w:val="none" w:sz="0" w:space="0" w:color="auto"/>
        <w:right w:val="none" w:sz="0" w:space="0" w:color="auto"/>
      </w:divBdr>
    </w:div>
    <w:div w:id="1530221834">
      <w:bodyDiv w:val="1"/>
      <w:marLeft w:val="0"/>
      <w:marRight w:val="0"/>
      <w:marTop w:val="0"/>
      <w:marBottom w:val="0"/>
      <w:divBdr>
        <w:top w:val="none" w:sz="0" w:space="0" w:color="auto"/>
        <w:left w:val="none" w:sz="0" w:space="0" w:color="auto"/>
        <w:bottom w:val="none" w:sz="0" w:space="0" w:color="auto"/>
        <w:right w:val="none" w:sz="0" w:space="0" w:color="auto"/>
      </w:divBdr>
    </w:div>
    <w:div w:id="1610891202">
      <w:bodyDiv w:val="1"/>
      <w:marLeft w:val="0"/>
      <w:marRight w:val="0"/>
      <w:marTop w:val="0"/>
      <w:marBottom w:val="0"/>
      <w:divBdr>
        <w:top w:val="none" w:sz="0" w:space="0" w:color="auto"/>
        <w:left w:val="none" w:sz="0" w:space="0" w:color="auto"/>
        <w:bottom w:val="none" w:sz="0" w:space="0" w:color="auto"/>
        <w:right w:val="none" w:sz="0" w:space="0" w:color="auto"/>
      </w:divBdr>
    </w:div>
    <w:div w:id="1613900342">
      <w:bodyDiv w:val="1"/>
      <w:marLeft w:val="0"/>
      <w:marRight w:val="0"/>
      <w:marTop w:val="0"/>
      <w:marBottom w:val="0"/>
      <w:divBdr>
        <w:top w:val="none" w:sz="0" w:space="0" w:color="auto"/>
        <w:left w:val="none" w:sz="0" w:space="0" w:color="auto"/>
        <w:bottom w:val="none" w:sz="0" w:space="0" w:color="auto"/>
        <w:right w:val="none" w:sz="0" w:space="0" w:color="auto"/>
      </w:divBdr>
    </w:div>
    <w:div w:id="1618756159">
      <w:bodyDiv w:val="1"/>
      <w:marLeft w:val="0"/>
      <w:marRight w:val="0"/>
      <w:marTop w:val="0"/>
      <w:marBottom w:val="0"/>
      <w:divBdr>
        <w:top w:val="none" w:sz="0" w:space="0" w:color="auto"/>
        <w:left w:val="none" w:sz="0" w:space="0" w:color="auto"/>
        <w:bottom w:val="none" w:sz="0" w:space="0" w:color="auto"/>
        <w:right w:val="none" w:sz="0" w:space="0" w:color="auto"/>
      </w:divBdr>
    </w:div>
    <w:div w:id="1645960912">
      <w:bodyDiv w:val="1"/>
      <w:marLeft w:val="0"/>
      <w:marRight w:val="0"/>
      <w:marTop w:val="0"/>
      <w:marBottom w:val="0"/>
      <w:divBdr>
        <w:top w:val="none" w:sz="0" w:space="0" w:color="auto"/>
        <w:left w:val="none" w:sz="0" w:space="0" w:color="auto"/>
        <w:bottom w:val="none" w:sz="0" w:space="0" w:color="auto"/>
        <w:right w:val="none" w:sz="0" w:space="0" w:color="auto"/>
      </w:divBdr>
    </w:div>
    <w:div w:id="1653676844">
      <w:bodyDiv w:val="1"/>
      <w:marLeft w:val="0"/>
      <w:marRight w:val="0"/>
      <w:marTop w:val="0"/>
      <w:marBottom w:val="0"/>
      <w:divBdr>
        <w:top w:val="none" w:sz="0" w:space="0" w:color="auto"/>
        <w:left w:val="none" w:sz="0" w:space="0" w:color="auto"/>
        <w:bottom w:val="none" w:sz="0" w:space="0" w:color="auto"/>
        <w:right w:val="none" w:sz="0" w:space="0" w:color="auto"/>
      </w:divBdr>
    </w:div>
    <w:div w:id="1666080825">
      <w:bodyDiv w:val="1"/>
      <w:marLeft w:val="0"/>
      <w:marRight w:val="0"/>
      <w:marTop w:val="0"/>
      <w:marBottom w:val="0"/>
      <w:divBdr>
        <w:top w:val="none" w:sz="0" w:space="0" w:color="auto"/>
        <w:left w:val="none" w:sz="0" w:space="0" w:color="auto"/>
        <w:bottom w:val="none" w:sz="0" w:space="0" w:color="auto"/>
        <w:right w:val="none" w:sz="0" w:space="0" w:color="auto"/>
      </w:divBdr>
    </w:div>
    <w:div w:id="1694645472">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740592913">
      <w:bodyDiv w:val="1"/>
      <w:marLeft w:val="0"/>
      <w:marRight w:val="0"/>
      <w:marTop w:val="0"/>
      <w:marBottom w:val="0"/>
      <w:divBdr>
        <w:top w:val="none" w:sz="0" w:space="0" w:color="auto"/>
        <w:left w:val="none" w:sz="0" w:space="0" w:color="auto"/>
        <w:bottom w:val="none" w:sz="0" w:space="0" w:color="auto"/>
        <w:right w:val="none" w:sz="0" w:space="0" w:color="auto"/>
      </w:divBdr>
    </w:div>
    <w:div w:id="1790591192">
      <w:bodyDiv w:val="1"/>
      <w:marLeft w:val="0"/>
      <w:marRight w:val="0"/>
      <w:marTop w:val="0"/>
      <w:marBottom w:val="0"/>
      <w:divBdr>
        <w:top w:val="none" w:sz="0" w:space="0" w:color="auto"/>
        <w:left w:val="none" w:sz="0" w:space="0" w:color="auto"/>
        <w:bottom w:val="none" w:sz="0" w:space="0" w:color="auto"/>
        <w:right w:val="none" w:sz="0" w:space="0" w:color="auto"/>
      </w:divBdr>
    </w:div>
    <w:div w:id="1846703868">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6626459">
      <w:bodyDiv w:val="1"/>
      <w:marLeft w:val="0"/>
      <w:marRight w:val="0"/>
      <w:marTop w:val="0"/>
      <w:marBottom w:val="0"/>
      <w:divBdr>
        <w:top w:val="none" w:sz="0" w:space="0" w:color="auto"/>
        <w:left w:val="none" w:sz="0" w:space="0" w:color="auto"/>
        <w:bottom w:val="none" w:sz="0" w:space="0" w:color="auto"/>
        <w:right w:val="none" w:sz="0" w:space="0" w:color="auto"/>
      </w:divBdr>
    </w:div>
    <w:div w:id="1907717861">
      <w:bodyDiv w:val="1"/>
      <w:marLeft w:val="0"/>
      <w:marRight w:val="0"/>
      <w:marTop w:val="0"/>
      <w:marBottom w:val="0"/>
      <w:divBdr>
        <w:top w:val="none" w:sz="0" w:space="0" w:color="auto"/>
        <w:left w:val="none" w:sz="0" w:space="0" w:color="auto"/>
        <w:bottom w:val="none" w:sz="0" w:space="0" w:color="auto"/>
        <w:right w:val="none" w:sz="0" w:space="0" w:color="auto"/>
      </w:divBdr>
    </w:div>
    <w:div w:id="1910533014">
      <w:bodyDiv w:val="1"/>
      <w:marLeft w:val="0"/>
      <w:marRight w:val="0"/>
      <w:marTop w:val="0"/>
      <w:marBottom w:val="0"/>
      <w:divBdr>
        <w:top w:val="none" w:sz="0" w:space="0" w:color="auto"/>
        <w:left w:val="none" w:sz="0" w:space="0" w:color="auto"/>
        <w:bottom w:val="none" w:sz="0" w:space="0" w:color="auto"/>
        <w:right w:val="none" w:sz="0" w:space="0" w:color="auto"/>
      </w:divBdr>
    </w:div>
    <w:div w:id="1941840395">
      <w:bodyDiv w:val="1"/>
      <w:marLeft w:val="0"/>
      <w:marRight w:val="0"/>
      <w:marTop w:val="0"/>
      <w:marBottom w:val="0"/>
      <w:divBdr>
        <w:top w:val="none" w:sz="0" w:space="0" w:color="auto"/>
        <w:left w:val="none" w:sz="0" w:space="0" w:color="auto"/>
        <w:bottom w:val="none" w:sz="0" w:space="0" w:color="auto"/>
        <w:right w:val="none" w:sz="0" w:space="0" w:color="auto"/>
      </w:divBdr>
    </w:div>
    <w:div w:id="2038847413">
      <w:bodyDiv w:val="1"/>
      <w:marLeft w:val="0"/>
      <w:marRight w:val="0"/>
      <w:marTop w:val="0"/>
      <w:marBottom w:val="0"/>
      <w:divBdr>
        <w:top w:val="none" w:sz="0" w:space="0" w:color="auto"/>
        <w:left w:val="none" w:sz="0" w:space="0" w:color="auto"/>
        <w:bottom w:val="none" w:sz="0" w:space="0" w:color="auto"/>
        <w:right w:val="none" w:sz="0" w:space="0" w:color="auto"/>
      </w:divBdr>
      <w:divsChild>
        <w:div w:id="1217160242">
          <w:marLeft w:val="0"/>
          <w:marRight w:val="0"/>
          <w:marTop w:val="0"/>
          <w:marBottom w:val="0"/>
          <w:divBdr>
            <w:top w:val="none" w:sz="0" w:space="0" w:color="auto"/>
            <w:left w:val="none" w:sz="0" w:space="0" w:color="auto"/>
            <w:bottom w:val="none" w:sz="0" w:space="0" w:color="auto"/>
            <w:right w:val="none" w:sz="0" w:space="0" w:color="auto"/>
          </w:divBdr>
          <w:divsChild>
            <w:div w:id="121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2826">
      <w:bodyDiv w:val="1"/>
      <w:marLeft w:val="0"/>
      <w:marRight w:val="0"/>
      <w:marTop w:val="0"/>
      <w:marBottom w:val="0"/>
      <w:divBdr>
        <w:top w:val="none" w:sz="0" w:space="0" w:color="auto"/>
        <w:left w:val="none" w:sz="0" w:space="0" w:color="auto"/>
        <w:bottom w:val="none" w:sz="0" w:space="0" w:color="auto"/>
        <w:right w:val="none" w:sz="0" w:space="0" w:color="auto"/>
      </w:divBdr>
      <w:divsChild>
        <w:div w:id="552011539">
          <w:marLeft w:val="0"/>
          <w:marRight w:val="255"/>
          <w:marTop w:val="0"/>
          <w:marBottom w:val="0"/>
          <w:divBdr>
            <w:top w:val="none" w:sz="0" w:space="0" w:color="auto"/>
            <w:left w:val="none" w:sz="0" w:space="0" w:color="auto"/>
            <w:bottom w:val="none" w:sz="0" w:space="0" w:color="auto"/>
            <w:right w:val="none" w:sz="0" w:space="0" w:color="auto"/>
          </w:divBdr>
          <w:divsChild>
            <w:div w:id="1937640239">
              <w:marLeft w:val="0"/>
              <w:marRight w:val="0"/>
              <w:marTop w:val="0"/>
              <w:marBottom w:val="0"/>
              <w:divBdr>
                <w:top w:val="none" w:sz="0" w:space="0" w:color="auto"/>
                <w:left w:val="none" w:sz="0" w:space="0" w:color="auto"/>
                <w:bottom w:val="none" w:sz="0" w:space="0" w:color="auto"/>
                <w:right w:val="none" w:sz="0" w:space="0" w:color="auto"/>
              </w:divBdr>
              <w:divsChild>
                <w:div w:id="1885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26974">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tisanat.p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18CAC-DAFF-4B75-ABB9-CEB3AB53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3174</Words>
  <Characters>17459</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Teheiariki TB. EBB</cp:lastModifiedBy>
  <cp:revision>2</cp:revision>
  <cp:lastPrinted>2021-11-24T03:43:00Z</cp:lastPrinted>
  <dcterms:created xsi:type="dcterms:W3CDTF">2021-11-25T03:47:00Z</dcterms:created>
  <dcterms:modified xsi:type="dcterms:W3CDTF">2021-11-25T03:47:00Z</dcterms:modified>
</cp:coreProperties>
</file>