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CF60AA" w:rsidRDefault="00625270" w:rsidP="00CF60AA">
      <w:pPr>
        <w:jc w:val="both"/>
        <w:rPr>
          <w:rFonts w:ascii="Cambria" w:hAnsi="Cambria"/>
          <w:lang w:eastAsia="fr-FR"/>
        </w:rPr>
      </w:pPr>
      <w:r w:rsidRPr="00CF60AA">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CF60AA">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CF60AA">
        <w:rPr>
          <w:rFonts w:ascii="Cambria" w:hAnsi="Cambria"/>
          <w:lang w:eastAsia="fr-FR"/>
        </w:rPr>
        <w:t xml:space="preserve"> </w:t>
      </w:r>
    </w:p>
    <w:p w14:paraId="5B96777C" w14:textId="77777777" w:rsidR="00625270" w:rsidRPr="00CF60AA" w:rsidRDefault="00625270" w:rsidP="00CF60AA">
      <w:pPr>
        <w:jc w:val="both"/>
        <w:rPr>
          <w:rFonts w:ascii="Cambria" w:hAnsi="Cambria"/>
          <w:color w:val="993366"/>
        </w:rPr>
      </w:pPr>
    </w:p>
    <w:p w14:paraId="3672BD85" w14:textId="77777777" w:rsidR="00625270" w:rsidRPr="00CF60AA" w:rsidRDefault="00625270" w:rsidP="00CF60AA">
      <w:pPr>
        <w:jc w:val="both"/>
        <w:rPr>
          <w:rFonts w:ascii="Cambria" w:hAnsi="Cambria"/>
          <w:color w:val="993366"/>
        </w:rPr>
      </w:pPr>
    </w:p>
    <w:p w14:paraId="6ADD5940" w14:textId="77777777" w:rsidR="00625270" w:rsidRPr="00CF60AA" w:rsidRDefault="00625270" w:rsidP="00CF60AA">
      <w:pPr>
        <w:jc w:val="both"/>
        <w:rPr>
          <w:rFonts w:ascii="Cambria" w:hAnsi="Cambria"/>
          <w:color w:val="993366"/>
        </w:rPr>
      </w:pPr>
    </w:p>
    <w:p w14:paraId="48B5E675" w14:textId="77777777" w:rsidR="00625270" w:rsidRPr="00CF60AA" w:rsidRDefault="00625270" w:rsidP="00CF60AA">
      <w:pPr>
        <w:jc w:val="both"/>
        <w:rPr>
          <w:rFonts w:ascii="Cambria" w:hAnsi="Cambria"/>
          <w:color w:val="993366"/>
        </w:rPr>
      </w:pPr>
    </w:p>
    <w:p w14:paraId="0556FA3D" w14:textId="77777777" w:rsidR="00625270" w:rsidRPr="00CF60AA" w:rsidRDefault="00625270" w:rsidP="00CF60AA">
      <w:pPr>
        <w:tabs>
          <w:tab w:val="center" w:pos="4533"/>
          <w:tab w:val="left" w:pos="6544"/>
        </w:tabs>
        <w:jc w:val="both"/>
        <w:rPr>
          <w:rFonts w:ascii="Cambria" w:hAnsi="Cambria"/>
          <w:u w:val="single"/>
        </w:rPr>
      </w:pPr>
      <w:r w:rsidRPr="00CF60AA">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CF60AA" w:rsidRDefault="00625270" w:rsidP="00CF60AA">
      <w:pPr>
        <w:tabs>
          <w:tab w:val="left" w:pos="3240"/>
        </w:tabs>
        <w:jc w:val="center"/>
        <w:rPr>
          <w:rFonts w:ascii="Cambria" w:hAnsi="Cambria" w:cs="Arial"/>
          <w:b/>
        </w:rPr>
      </w:pPr>
      <w:r w:rsidRPr="00CF60AA">
        <w:rPr>
          <w:rFonts w:ascii="Cambria" w:hAnsi="Cambria" w:cs="Arial"/>
          <w:b/>
        </w:rPr>
        <w:t>BUREAU DE LA COMMUNICATION</w:t>
      </w:r>
    </w:p>
    <w:p w14:paraId="48860829" w14:textId="096E66FE" w:rsidR="00625270" w:rsidRPr="00CF60AA" w:rsidRDefault="004C71F3" w:rsidP="00CF60AA">
      <w:pPr>
        <w:tabs>
          <w:tab w:val="left" w:pos="3240"/>
        </w:tabs>
        <w:jc w:val="center"/>
        <w:rPr>
          <w:rFonts w:ascii="Cambria" w:hAnsi="Cambria" w:cs="Arial"/>
          <w:b/>
          <w:i/>
        </w:rPr>
      </w:pPr>
      <w:r w:rsidRPr="00CF60AA">
        <w:rPr>
          <w:rFonts w:ascii="Cambria" w:hAnsi="Cambria" w:cs="Arial"/>
          <w:b/>
          <w:i/>
        </w:rPr>
        <w:t>Mercredi</w:t>
      </w:r>
      <w:r w:rsidR="00625270" w:rsidRPr="00CF60AA">
        <w:rPr>
          <w:rFonts w:ascii="Cambria" w:hAnsi="Cambria" w:cs="Arial"/>
          <w:b/>
          <w:i/>
        </w:rPr>
        <w:t xml:space="preserve"> </w:t>
      </w:r>
      <w:r w:rsidR="00343E2F">
        <w:rPr>
          <w:rFonts w:ascii="Cambria" w:hAnsi="Cambria" w:cs="Arial"/>
          <w:b/>
          <w:i/>
        </w:rPr>
        <w:t>1</w:t>
      </w:r>
      <w:r w:rsidR="0033485E">
        <w:rPr>
          <w:rFonts w:ascii="Cambria" w:hAnsi="Cambria" w:cs="Arial"/>
          <w:b/>
          <w:i/>
        </w:rPr>
        <w:t>7</w:t>
      </w:r>
      <w:r w:rsidR="00625270" w:rsidRPr="00CF60AA">
        <w:rPr>
          <w:rFonts w:ascii="Cambria" w:hAnsi="Cambria" w:cs="Arial"/>
          <w:b/>
          <w:i/>
        </w:rPr>
        <w:t xml:space="preserve"> </w:t>
      </w:r>
      <w:r w:rsidR="00A44598">
        <w:rPr>
          <w:rFonts w:ascii="Cambria" w:hAnsi="Cambria" w:cs="Arial"/>
          <w:b/>
          <w:i/>
        </w:rPr>
        <w:t>novembre</w:t>
      </w:r>
      <w:r w:rsidR="00625270" w:rsidRPr="00CF60AA">
        <w:rPr>
          <w:rFonts w:ascii="Cambria" w:hAnsi="Cambria" w:cs="Arial"/>
          <w:b/>
          <w:i/>
        </w:rPr>
        <w:t xml:space="preserve"> 202</w:t>
      </w:r>
      <w:r w:rsidR="00456DD6" w:rsidRPr="00CF60AA">
        <w:rPr>
          <w:rFonts w:ascii="Cambria" w:hAnsi="Cambria" w:cs="Arial"/>
          <w:b/>
          <w:i/>
        </w:rPr>
        <w:t>1</w:t>
      </w:r>
    </w:p>
    <w:p w14:paraId="58F3DB1E" w14:textId="77777777" w:rsidR="00625270" w:rsidRPr="00CF60AA" w:rsidRDefault="00625270" w:rsidP="00CF60AA">
      <w:pPr>
        <w:tabs>
          <w:tab w:val="left" w:pos="3240"/>
        </w:tabs>
        <w:jc w:val="both"/>
        <w:rPr>
          <w:rFonts w:ascii="Cambria" w:hAnsi="Cambria"/>
        </w:rPr>
      </w:pPr>
      <w:r w:rsidRPr="00CF60AA">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CF60AA" w:rsidRDefault="00625270" w:rsidP="00CF60AA">
      <w:pPr>
        <w:overflowPunct w:val="0"/>
        <w:autoSpaceDE w:val="0"/>
        <w:autoSpaceDN w:val="0"/>
        <w:adjustRightInd w:val="0"/>
        <w:spacing w:before="120"/>
        <w:jc w:val="both"/>
        <w:rPr>
          <w:rFonts w:ascii="Cambria" w:hAnsi="Cambria"/>
          <w:b/>
          <w:lang w:eastAsia="fr-FR"/>
        </w:rPr>
      </w:pPr>
    </w:p>
    <w:p w14:paraId="4D703140" w14:textId="641E3027" w:rsidR="004C71F3" w:rsidRPr="00CF60AA" w:rsidRDefault="004C71F3" w:rsidP="00CF60AA">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CF60AA">
        <w:rPr>
          <w:rFonts w:ascii="Cambria" w:hAnsi="Cambria"/>
          <w:b/>
        </w:rPr>
        <w:t>Compte rendu du Conseil des ministres</w:t>
      </w:r>
    </w:p>
    <w:p w14:paraId="23E3B0A2" w14:textId="0847956C" w:rsidR="00690ED4" w:rsidRDefault="00690ED4" w:rsidP="00CF60AA">
      <w:pPr>
        <w:widowControl w:val="0"/>
        <w:autoSpaceDE w:val="0"/>
        <w:autoSpaceDN w:val="0"/>
        <w:adjustRightInd w:val="0"/>
        <w:spacing w:before="120"/>
        <w:jc w:val="both"/>
        <w:rPr>
          <w:rFonts w:ascii="Cambria" w:hAnsi="Cambria"/>
          <w:lang w:eastAsia="fr-FR"/>
        </w:rPr>
      </w:pPr>
    </w:p>
    <w:p w14:paraId="6524973B" w14:textId="4F7FBB21" w:rsidR="00561D2B" w:rsidRDefault="00261AEC" w:rsidP="00CF60AA">
      <w:pPr>
        <w:widowControl w:val="0"/>
        <w:autoSpaceDE w:val="0"/>
        <w:autoSpaceDN w:val="0"/>
        <w:adjustRightInd w:val="0"/>
        <w:spacing w:before="120"/>
        <w:jc w:val="both"/>
        <w:rPr>
          <w:rFonts w:ascii="Cambria" w:hAnsi="Cambria"/>
          <w:lang w:eastAsia="fr-FR"/>
        </w:rPr>
      </w:pPr>
      <w:r>
        <w:rPr>
          <w:rFonts w:ascii="Cambria" w:hAnsi="Cambria"/>
          <w:lang w:eastAsia="fr-FR"/>
        </w:rPr>
        <w:t xml:space="preserve">Le Conseil des ministres s’est réuni ce mercredi </w:t>
      </w:r>
      <w:r w:rsidR="00343E2F">
        <w:rPr>
          <w:rFonts w:ascii="Cambria" w:hAnsi="Cambria"/>
          <w:lang w:eastAsia="fr-FR"/>
        </w:rPr>
        <w:t>1</w:t>
      </w:r>
      <w:r w:rsidR="00DF268A">
        <w:rPr>
          <w:rFonts w:ascii="Cambria" w:hAnsi="Cambria"/>
          <w:lang w:eastAsia="fr-FR"/>
        </w:rPr>
        <w:t>7</w:t>
      </w:r>
      <w:r>
        <w:rPr>
          <w:rFonts w:ascii="Cambria" w:hAnsi="Cambria"/>
          <w:lang w:eastAsia="fr-FR"/>
        </w:rPr>
        <w:t xml:space="preserve"> novembre 2021.</w:t>
      </w:r>
      <w:r w:rsidR="006E08F8">
        <w:rPr>
          <w:rFonts w:ascii="Cambria" w:hAnsi="Cambria"/>
          <w:lang w:eastAsia="fr-FR"/>
        </w:rPr>
        <w:t xml:space="preserve"> </w:t>
      </w:r>
      <w:r>
        <w:rPr>
          <w:rFonts w:ascii="Cambria" w:hAnsi="Cambria"/>
          <w:lang w:eastAsia="fr-FR"/>
        </w:rPr>
        <w:t>Parmi les dossiers examinés, il a adopté les dossiers suivants</w:t>
      </w:r>
      <w:r w:rsidR="004F6EBC">
        <w:rPr>
          <w:rFonts w:ascii="Cambria" w:hAnsi="Cambria"/>
          <w:lang w:eastAsia="fr-FR"/>
        </w:rPr>
        <w:t xml:space="preserve"> (lien du sommaire </w:t>
      </w:r>
      <w:r w:rsidR="00566602">
        <w:rPr>
          <w:rFonts w:ascii="Cambria" w:hAnsi="Cambria"/>
          <w:lang w:eastAsia="fr-FR"/>
        </w:rPr>
        <w:t>interactif</w:t>
      </w:r>
      <w:r w:rsidR="004F6EBC">
        <w:rPr>
          <w:rFonts w:ascii="Cambria" w:hAnsi="Cambria"/>
          <w:lang w:eastAsia="fr-FR"/>
        </w:rPr>
        <w:t>)</w:t>
      </w:r>
      <w:r>
        <w:rPr>
          <w:rFonts w:ascii="Cambria" w:hAnsi="Cambria"/>
          <w:lang w:eastAsia="fr-FR"/>
        </w:rPr>
        <w:t> :</w:t>
      </w:r>
      <w:r w:rsidR="001B0339">
        <w:rPr>
          <w:rFonts w:ascii="Cambria" w:hAnsi="Cambria"/>
          <w:lang w:eastAsia="fr-FR"/>
        </w:rPr>
        <w:t xml:space="preserve"> </w:t>
      </w:r>
    </w:p>
    <w:p w14:paraId="4AB6D9AE" w14:textId="77777777" w:rsidR="00226F02" w:rsidRDefault="00226F02"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sz w:val="24"/>
          <w:szCs w:val="24"/>
          <w:lang w:eastAsia="es-ES"/>
        </w:rPr>
        <w:id w:val="-1045363697"/>
        <w:docPartObj>
          <w:docPartGallery w:val="Table of Contents"/>
          <w:docPartUnique/>
        </w:docPartObj>
      </w:sdtPr>
      <w:sdtEndPr/>
      <w:sdtContent>
        <w:p w14:paraId="453DB985" w14:textId="68A0D5C0" w:rsidR="00AC5B52" w:rsidRDefault="0065694E">
          <w:pPr>
            <w:pStyle w:val="TM1"/>
            <w:rPr>
              <w:rFonts w:asciiTheme="minorHAnsi" w:hAnsiTheme="minorHAnsi" w:cstheme="minorBidi"/>
              <w:b w:val="0"/>
              <w:bCs w:val="0"/>
            </w:rPr>
          </w:pPr>
          <w:r w:rsidRPr="00C53E63">
            <w:fldChar w:fldCharType="begin"/>
          </w:r>
          <w:r w:rsidRPr="00C53E63">
            <w:instrText xml:space="preserve"> TOC \o "1-3" \h \z \u </w:instrText>
          </w:r>
          <w:r w:rsidRPr="00C53E63">
            <w:fldChar w:fldCharType="separate"/>
          </w:r>
          <w:hyperlink w:anchor="_Toc88059112" w:history="1">
            <w:r w:rsidR="00AC5B52" w:rsidRPr="005259CA">
              <w:rPr>
                <w:rStyle w:val="Lienhypertexte"/>
              </w:rPr>
              <w:t>MEF</w:t>
            </w:r>
            <w:r w:rsidR="00BE6F65">
              <w:rPr>
                <w:rStyle w:val="Lienhypertexte"/>
              </w:rPr>
              <w:t xml:space="preserve"> </w:t>
            </w:r>
            <w:r w:rsidR="00AC5B52" w:rsidRPr="005259CA">
              <w:rPr>
                <w:rStyle w:val="Lienhypertexte"/>
              </w:rPr>
              <w:t>-</w:t>
            </w:r>
            <w:r w:rsidR="00BE6F65">
              <w:rPr>
                <w:rStyle w:val="Lienhypertexte"/>
              </w:rPr>
              <w:t xml:space="preserve"> ministre des Finances, de l’économie et du tourisme</w:t>
            </w:r>
            <w:r w:rsidR="00AC5B52">
              <w:rPr>
                <w:webHidden/>
              </w:rPr>
              <w:tab/>
            </w:r>
            <w:r w:rsidR="00AC5B52">
              <w:rPr>
                <w:webHidden/>
              </w:rPr>
              <w:fldChar w:fldCharType="begin"/>
            </w:r>
            <w:r w:rsidR="00AC5B52">
              <w:rPr>
                <w:webHidden/>
              </w:rPr>
              <w:instrText xml:space="preserve"> PAGEREF _Toc88059112 \h </w:instrText>
            </w:r>
            <w:r w:rsidR="00AC5B52">
              <w:rPr>
                <w:webHidden/>
              </w:rPr>
            </w:r>
            <w:r w:rsidR="00AC5B52">
              <w:rPr>
                <w:webHidden/>
              </w:rPr>
              <w:fldChar w:fldCharType="separate"/>
            </w:r>
            <w:r w:rsidR="00BE6F65">
              <w:rPr>
                <w:webHidden/>
              </w:rPr>
              <w:t>2</w:t>
            </w:r>
            <w:r w:rsidR="00AC5B52">
              <w:rPr>
                <w:webHidden/>
              </w:rPr>
              <w:fldChar w:fldCharType="end"/>
            </w:r>
          </w:hyperlink>
        </w:p>
        <w:p w14:paraId="6C030791" w14:textId="35B21862" w:rsidR="00AC5B52" w:rsidRDefault="0095116C">
          <w:pPr>
            <w:pStyle w:val="TM2"/>
            <w:rPr>
              <w:rFonts w:cstheme="minorBidi"/>
              <w:noProof/>
            </w:rPr>
          </w:pPr>
          <w:hyperlink w:anchor="_Toc88059113" w:history="1">
            <w:r w:rsidR="00AC5B52" w:rsidRPr="005259CA">
              <w:rPr>
                <w:rStyle w:val="Lienhypertexte"/>
                <w:noProof/>
              </w:rPr>
              <w:t>Soutien des actions en faveur des exportateurs</w:t>
            </w:r>
            <w:r w:rsidR="00AC5B52">
              <w:rPr>
                <w:noProof/>
                <w:webHidden/>
              </w:rPr>
              <w:tab/>
            </w:r>
            <w:r w:rsidR="00AC5B52">
              <w:rPr>
                <w:noProof/>
                <w:webHidden/>
              </w:rPr>
              <w:fldChar w:fldCharType="begin"/>
            </w:r>
            <w:r w:rsidR="00AC5B52">
              <w:rPr>
                <w:noProof/>
                <w:webHidden/>
              </w:rPr>
              <w:instrText xml:space="preserve"> PAGEREF _Toc88059113 \h </w:instrText>
            </w:r>
            <w:r w:rsidR="00AC5B52">
              <w:rPr>
                <w:noProof/>
                <w:webHidden/>
              </w:rPr>
            </w:r>
            <w:r w:rsidR="00AC5B52">
              <w:rPr>
                <w:noProof/>
                <w:webHidden/>
              </w:rPr>
              <w:fldChar w:fldCharType="separate"/>
            </w:r>
            <w:r w:rsidR="00BE6F65">
              <w:rPr>
                <w:noProof/>
                <w:webHidden/>
              </w:rPr>
              <w:t>2</w:t>
            </w:r>
            <w:r w:rsidR="00AC5B52">
              <w:rPr>
                <w:noProof/>
                <w:webHidden/>
              </w:rPr>
              <w:fldChar w:fldCharType="end"/>
            </w:r>
          </w:hyperlink>
        </w:p>
        <w:p w14:paraId="4B46473A" w14:textId="1834EFE3" w:rsidR="00AC5B52" w:rsidRDefault="0095116C">
          <w:pPr>
            <w:pStyle w:val="TM2"/>
            <w:rPr>
              <w:rFonts w:cstheme="minorBidi"/>
              <w:noProof/>
            </w:rPr>
          </w:pPr>
          <w:hyperlink w:anchor="_Toc88059114" w:history="1">
            <w:r w:rsidR="00AC5B52" w:rsidRPr="005259CA">
              <w:rPr>
                <w:rStyle w:val="Lienhypertexte"/>
                <w:noProof/>
              </w:rPr>
              <w:t>Indices BTP et hybrides</w:t>
            </w:r>
            <w:r w:rsidR="00AC5B52">
              <w:rPr>
                <w:noProof/>
                <w:webHidden/>
              </w:rPr>
              <w:tab/>
            </w:r>
            <w:r w:rsidR="00AC5B52">
              <w:rPr>
                <w:noProof/>
                <w:webHidden/>
              </w:rPr>
              <w:fldChar w:fldCharType="begin"/>
            </w:r>
            <w:r w:rsidR="00AC5B52">
              <w:rPr>
                <w:noProof/>
                <w:webHidden/>
              </w:rPr>
              <w:instrText xml:space="preserve"> PAGEREF _Toc88059114 \h </w:instrText>
            </w:r>
            <w:r w:rsidR="00AC5B52">
              <w:rPr>
                <w:noProof/>
                <w:webHidden/>
              </w:rPr>
            </w:r>
            <w:r w:rsidR="00AC5B52">
              <w:rPr>
                <w:noProof/>
                <w:webHidden/>
              </w:rPr>
              <w:fldChar w:fldCharType="separate"/>
            </w:r>
            <w:r w:rsidR="00BE6F65">
              <w:rPr>
                <w:noProof/>
                <w:webHidden/>
              </w:rPr>
              <w:t>2</w:t>
            </w:r>
            <w:r w:rsidR="00AC5B52">
              <w:rPr>
                <w:noProof/>
                <w:webHidden/>
              </w:rPr>
              <w:fldChar w:fldCharType="end"/>
            </w:r>
          </w:hyperlink>
        </w:p>
        <w:p w14:paraId="62275828" w14:textId="785B1E39" w:rsidR="00AC5B52" w:rsidRDefault="0095116C">
          <w:pPr>
            <w:pStyle w:val="TM1"/>
            <w:rPr>
              <w:rFonts w:asciiTheme="minorHAnsi" w:hAnsiTheme="minorHAnsi" w:cstheme="minorBidi"/>
              <w:b w:val="0"/>
              <w:bCs w:val="0"/>
            </w:rPr>
          </w:pPr>
          <w:hyperlink w:anchor="_Toc88059115" w:history="1">
            <w:r w:rsidR="00AC5B52" w:rsidRPr="005259CA">
              <w:rPr>
                <w:rStyle w:val="Lienhypertexte"/>
              </w:rPr>
              <w:t>MCE -</w:t>
            </w:r>
            <w:r w:rsidR="00BE6F65">
              <w:rPr>
                <w:rStyle w:val="Lienhypertexte"/>
              </w:rPr>
              <w:t xml:space="preserve"> ministre de la Culture et de l’environnement</w:t>
            </w:r>
            <w:r w:rsidR="00AC5B52">
              <w:rPr>
                <w:webHidden/>
              </w:rPr>
              <w:tab/>
            </w:r>
            <w:r w:rsidR="00AC5B52">
              <w:rPr>
                <w:webHidden/>
              </w:rPr>
              <w:fldChar w:fldCharType="begin"/>
            </w:r>
            <w:r w:rsidR="00AC5B52">
              <w:rPr>
                <w:webHidden/>
              </w:rPr>
              <w:instrText xml:space="preserve"> PAGEREF _Toc88059115 \h </w:instrText>
            </w:r>
            <w:r w:rsidR="00AC5B52">
              <w:rPr>
                <w:webHidden/>
              </w:rPr>
            </w:r>
            <w:r w:rsidR="00AC5B52">
              <w:rPr>
                <w:webHidden/>
              </w:rPr>
              <w:fldChar w:fldCharType="separate"/>
            </w:r>
            <w:r w:rsidR="00BE6F65">
              <w:rPr>
                <w:webHidden/>
              </w:rPr>
              <w:t>3</w:t>
            </w:r>
            <w:r w:rsidR="00AC5B52">
              <w:rPr>
                <w:webHidden/>
              </w:rPr>
              <w:fldChar w:fldCharType="end"/>
            </w:r>
          </w:hyperlink>
        </w:p>
        <w:p w14:paraId="1A6DD970" w14:textId="77397D9B" w:rsidR="00AC5B52" w:rsidRDefault="0095116C">
          <w:pPr>
            <w:pStyle w:val="TM2"/>
            <w:rPr>
              <w:rFonts w:cstheme="minorBidi"/>
              <w:noProof/>
            </w:rPr>
          </w:pPr>
          <w:hyperlink w:anchor="_Toc88059116" w:history="1">
            <w:r w:rsidR="00AC5B52" w:rsidRPr="005259CA">
              <w:rPr>
                <w:rStyle w:val="Lienhypertexte"/>
                <w:noProof/>
              </w:rPr>
              <w:t>Exposition « Escales en Polynésie » de Titouan Lamazou au Musée de Tahiti et des Îles du 26 novembre 2021 au 04 juin 2022</w:t>
            </w:r>
            <w:r w:rsidR="00AC5B52">
              <w:rPr>
                <w:noProof/>
                <w:webHidden/>
              </w:rPr>
              <w:tab/>
            </w:r>
            <w:r w:rsidR="00AC5B52">
              <w:rPr>
                <w:noProof/>
                <w:webHidden/>
              </w:rPr>
              <w:fldChar w:fldCharType="begin"/>
            </w:r>
            <w:r w:rsidR="00AC5B52">
              <w:rPr>
                <w:noProof/>
                <w:webHidden/>
              </w:rPr>
              <w:instrText xml:space="preserve"> PAGEREF _Toc88059116 \h </w:instrText>
            </w:r>
            <w:r w:rsidR="00AC5B52">
              <w:rPr>
                <w:noProof/>
                <w:webHidden/>
              </w:rPr>
            </w:r>
            <w:r w:rsidR="00AC5B52">
              <w:rPr>
                <w:noProof/>
                <w:webHidden/>
              </w:rPr>
              <w:fldChar w:fldCharType="separate"/>
            </w:r>
            <w:r w:rsidR="00BE6F65">
              <w:rPr>
                <w:noProof/>
                <w:webHidden/>
              </w:rPr>
              <w:t>3</w:t>
            </w:r>
            <w:r w:rsidR="00AC5B52">
              <w:rPr>
                <w:noProof/>
                <w:webHidden/>
              </w:rPr>
              <w:fldChar w:fldCharType="end"/>
            </w:r>
          </w:hyperlink>
        </w:p>
        <w:p w14:paraId="033B6E8A" w14:textId="24EAB173" w:rsidR="00AC5B52" w:rsidRDefault="0095116C">
          <w:pPr>
            <w:pStyle w:val="TM2"/>
            <w:rPr>
              <w:rFonts w:cstheme="minorBidi"/>
              <w:noProof/>
            </w:rPr>
          </w:pPr>
          <w:hyperlink w:anchor="_Toc88059117" w:history="1">
            <w:r w:rsidR="00AC5B52" w:rsidRPr="005259CA">
              <w:rPr>
                <w:rStyle w:val="Lienhypertexte"/>
                <w:noProof/>
              </w:rPr>
              <w:t>Subventions en faveur de 3 associations culturelles</w:t>
            </w:r>
            <w:r w:rsidR="00AC5B52">
              <w:rPr>
                <w:noProof/>
                <w:webHidden/>
              </w:rPr>
              <w:tab/>
            </w:r>
            <w:r w:rsidR="00AC5B52">
              <w:rPr>
                <w:noProof/>
                <w:webHidden/>
              </w:rPr>
              <w:fldChar w:fldCharType="begin"/>
            </w:r>
            <w:r w:rsidR="00AC5B52">
              <w:rPr>
                <w:noProof/>
                <w:webHidden/>
              </w:rPr>
              <w:instrText xml:space="preserve"> PAGEREF _Toc88059117 \h </w:instrText>
            </w:r>
            <w:r w:rsidR="00AC5B52">
              <w:rPr>
                <w:noProof/>
                <w:webHidden/>
              </w:rPr>
            </w:r>
            <w:r w:rsidR="00AC5B52">
              <w:rPr>
                <w:noProof/>
                <w:webHidden/>
              </w:rPr>
              <w:fldChar w:fldCharType="separate"/>
            </w:r>
            <w:r w:rsidR="00BE6F65">
              <w:rPr>
                <w:noProof/>
                <w:webHidden/>
              </w:rPr>
              <w:t>3</w:t>
            </w:r>
            <w:r w:rsidR="00AC5B52">
              <w:rPr>
                <w:noProof/>
                <w:webHidden/>
              </w:rPr>
              <w:fldChar w:fldCharType="end"/>
            </w:r>
          </w:hyperlink>
        </w:p>
        <w:p w14:paraId="1A0C573D" w14:textId="397BB798" w:rsidR="00AC5B52" w:rsidRDefault="0095116C">
          <w:pPr>
            <w:pStyle w:val="TM2"/>
            <w:rPr>
              <w:rFonts w:cstheme="minorBidi"/>
              <w:noProof/>
            </w:rPr>
          </w:pPr>
          <w:hyperlink w:anchor="_Toc88059118" w:history="1">
            <w:r w:rsidR="00AC5B52" w:rsidRPr="005259CA">
              <w:rPr>
                <w:rStyle w:val="Lienhypertexte"/>
                <w:noProof/>
              </w:rPr>
              <w:t>Modification de la nomenclature des Installations Classées pour la Protection de l’Environnement (ICPE) du code de l’environnement</w:t>
            </w:r>
            <w:r w:rsidR="00AC5B52">
              <w:rPr>
                <w:noProof/>
                <w:webHidden/>
              </w:rPr>
              <w:tab/>
            </w:r>
            <w:r w:rsidR="00AC5B52">
              <w:rPr>
                <w:noProof/>
                <w:webHidden/>
              </w:rPr>
              <w:fldChar w:fldCharType="begin"/>
            </w:r>
            <w:r w:rsidR="00AC5B52">
              <w:rPr>
                <w:noProof/>
                <w:webHidden/>
              </w:rPr>
              <w:instrText xml:space="preserve"> PAGEREF _Toc88059118 \h </w:instrText>
            </w:r>
            <w:r w:rsidR="00AC5B52">
              <w:rPr>
                <w:noProof/>
                <w:webHidden/>
              </w:rPr>
            </w:r>
            <w:r w:rsidR="00AC5B52">
              <w:rPr>
                <w:noProof/>
                <w:webHidden/>
              </w:rPr>
              <w:fldChar w:fldCharType="separate"/>
            </w:r>
            <w:r w:rsidR="00BE6F65">
              <w:rPr>
                <w:noProof/>
                <w:webHidden/>
              </w:rPr>
              <w:t>4</w:t>
            </w:r>
            <w:r w:rsidR="00AC5B52">
              <w:rPr>
                <w:noProof/>
                <w:webHidden/>
              </w:rPr>
              <w:fldChar w:fldCharType="end"/>
            </w:r>
          </w:hyperlink>
        </w:p>
        <w:p w14:paraId="667B6DFE" w14:textId="79EC4D18" w:rsidR="00AC5B52" w:rsidRDefault="0095116C">
          <w:pPr>
            <w:pStyle w:val="TM1"/>
            <w:rPr>
              <w:rFonts w:asciiTheme="minorHAnsi" w:hAnsiTheme="minorHAnsi" w:cstheme="minorBidi"/>
              <w:b w:val="0"/>
              <w:bCs w:val="0"/>
            </w:rPr>
          </w:pPr>
          <w:hyperlink w:anchor="_Toc88059119" w:history="1">
            <w:r w:rsidR="00AC5B52" w:rsidRPr="005259CA">
              <w:rPr>
                <w:rStyle w:val="Lienhypertexte"/>
              </w:rPr>
              <w:t>MSP</w:t>
            </w:r>
            <w:r w:rsidR="00BE6F65">
              <w:rPr>
                <w:rStyle w:val="Lienhypertexte"/>
              </w:rPr>
              <w:t xml:space="preserve"> </w:t>
            </w:r>
            <w:r w:rsidR="00AC5B52" w:rsidRPr="005259CA">
              <w:rPr>
                <w:rStyle w:val="Lienhypertexte"/>
              </w:rPr>
              <w:t>-</w:t>
            </w:r>
            <w:r w:rsidR="00BE6F65">
              <w:rPr>
                <w:rStyle w:val="Lienhypertexte"/>
              </w:rPr>
              <w:t xml:space="preserve"> ministre de la Santé</w:t>
            </w:r>
            <w:r w:rsidR="00AC5B52">
              <w:rPr>
                <w:webHidden/>
              </w:rPr>
              <w:tab/>
            </w:r>
            <w:r w:rsidR="00AC5B52">
              <w:rPr>
                <w:webHidden/>
              </w:rPr>
              <w:fldChar w:fldCharType="begin"/>
            </w:r>
            <w:r w:rsidR="00AC5B52">
              <w:rPr>
                <w:webHidden/>
              </w:rPr>
              <w:instrText xml:space="preserve"> PAGEREF _Toc88059119 \h </w:instrText>
            </w:r>
            <w:r w:rsidR="00AC5B52">
              <w:rPr>
                <w:webHidden/>
              </w:rPr>
            </w:r>
            <w:r w:rsidR="00AC5B52">
              <w:rPr>
                <w:webHidden/>
              </w:rPr>
              <w:fldChar w:fldCharType="separate"/>
            </w:r>
            <w:r w:rsidR="00BE6F65">
              <w:rPr>
                <w:webHidden/>
              </w:rPr>
              <w:t>4</w:t>
            </w:r>
            <w:r w:rsidR="00AC5B52">
              <w:rPr>
                <w:webHidden/>
              </w:rPr>
              <w:fldChar w:fldCharType="end"/>
            </w:r>
          </w:hyperlink>
        </w:p>
        <w:p w14:paraId="283787E9" w14:textId="60EF9B5B" w:rsidR="00AC5B52" w:rsidRDefault="0095116C">
          <w:pPr>
            <w:pStyle w:val="TM2"/>
            <w:rPr>
              <w:rFonts w:cstheme="minorBidi"/>
              <w:noProof/>
            </w:rPr>
          </w:pPr>
          <w:hyperlink w:anchor="_Toc88059120" w:history="1">
            <w:r w:rsidR="00AC5B52" w:rsidRPr="005259CA">
              <w:rPr>
                <w:rStyle w:val="Lienhypertexte"/>
                <w:rFonts w:eastAsia="Times New Roman"/>
                <w:noProof/>
              </w:rPr>
              <w:t>Utilisation des tests antigéniques de dépistage rapide du Sars-CoV-2</w:t>
            </w:r>
            <w:r w:rsidR="00AC5B52">
              <w:rPr>
                <w:noProof/>
                <w:webHidden/>
              </w:rPr>
              <w:tab/>
            </w:r>
            <w:r w:rsidR="00AC5B52">
              <w:rPr>
                <w:noProof/>
                <w:webHidden/>
              </w:rPr>
              <w:fldChar w:fldCharType="begin"/>
            </w:r>
            <w:r w:rsidR="00AC5B52">
              <w:rPr>
                <w:noProof/>
                <w:webHidden/>
              </w:rPr>
              <w:instrText xml:space="preserve"> PAGEREF _Toc88059120 \h </w:instrText>
            </w:r>
            <w:r w:rsidR="00AC5B52">
              <w:rPr>
                <w:noProof/>
                <w:webHidden/>
              </w:rPr>
            </w:r>
            <w:r w:rsidR="00AC5B52">
              <w:rPr>
                <w:noProof/>
                <w:webHidden/>
              </w:rPr>
              <w:fldChar w:fldCharType="separate"/>
            </w:r>
            <w:r w:rsidR="00BE6F65">
              <w:rPr>
                <w:noProof/>
                <w:webHidden/>
              </w:rPr>
              <w:t>4</w:t>
            </w:r>
            <w:r w:rsidR="00AC5B52">
              <w:rPr>
                <w:noProof/>
                <w:webHidden/>
              </w:rPr>
              <w:fldChar w:fldCharType="end"/>
            </w:r>
          </w:hyperlink>
        </w:p>
        <w:p w14:paraId="7565B8ED" w14:textId="608B2EE3" w:rsidR="00AC5B52" w:rsidRDefault="0095116C">
          <w:pPr>
            <w:pStyle w:val="TM1"/>
            <w:rPr>
              <w:rFonts w:asciiTheme="minorHAnsi" w:hAnsiTheme="minorHAnsi" w:cstheme="minorBidi"/>
              <w:b w:val="0"/>
              <w:bCs w:val="0"/>
            </w:rPr>
          </w:pPr>
          <w:hyperlink w:anchor="_Toc88059121" w:history="1">
            <w:r w:rsidR="00AC5B52" w:rsidRPr="005259CA">
              <w:rPr>
                <w:rStyle w:val="Lienhypertexte"/>
              </w:rPr>
              <w:t xml:space="preserve">MFA </w:t>
            </w:r>
            <w:r w:rsidR="00BE6F65">
              <w:rPr>
                <w:rStyle w:val="Lienhypertexte"/>
              </w:rPr>
              <w:t>- ministre de la Famille et des affaires sociales</w:t>
            </w:r>
            <w:r w:rsidR="00AC5B52">
              <w:rPr>
                <w:webHidden/>
              </w:rPr>
              <w:tab/>
            </w:r>
            <w:r w:rsidR="00AC5B52">
              <w:rPr>
                <w:webHidden/>
              </w:rPr>
              <w:fldChar w:fldCharType="begin"/>
            </w:r>
            <w:r w:rsidR="00AC5B52">
              <w:rPr>
                <w:webHidden/>
              </w:rPr>
              <w:instrText xml:space="preserve"> PAGEREF _Toc88059121 \h </w:instrText>
            </w:r>
            <w:r w:rsidR="00AC5B52">
              <w:rPr>
                <w:webHidden/>
              </w:rPr>
            </w:r>
            <w:r w:rsidR="00AC5B52">
              <w:rPr>
                <w:webHidden/>
              </w:rPr>
              <w:fldChar w:fldCharType="separate"/>
            </w:r>
            <w:r w:rsidR="00BE6F65">
              <w:rPr>
                <w:webHidden/>
              </w:rPr>
              <w:t>5</w:t>
            </w:r>
            <w:r w:rsidR="00AC5B52">
              <w:rPr>
                <w:webHidden/>
              </w:rPr>
              <w:fldChar w:fldCharType="end"/>
            </w:r>
          </w:hyperlink>
        </w:p>
        <w:p w14:paraId="5A7460A5" w14:textId="0E93CBA1" w:rsidR="00AC5B52" w:rsidRDefault="0095116C">
          <w:pPr>
            <w:pStyle w:val="TM2"/>
            <w:rPr>
              <w:rFonts w:cstheme="minorBidi"/>
              <w:noProof/>
            </w:rPr>
          </w:pPr>
          <w:hyperlink w:anchor="_Toc88059122" w:history="1">
            <w:r w:rsidR="00AC5B52" w:rsidRPr="005259CA">
              <w:rPr>
                <w:rStyle w:val="Lienhypertexte"/>
                <w:rFonts w:eastAsia="Times New Roman"/>
                <w:noProof/>
              </w:rPr>
              <w:t>Formations des professionnels de l’action sociale</w:t>
            </w:r>
            <w:r w:rsidR="00AC5B52">
              <w:rPr>
                <w:noProof/>
                <w:webHidden/>
              </w:rPr>
              <w:tab/>
            </w:r>
            <w:r w:rsidR="00AC5B52">
              <w:rPr>
                <w:noProof/>
                <w:webHidden/>
              </w:rPr>
              <w:fldChar w:fldCharType="begin"/>
            </w:r>
            <w:r w:rsidR="00AC5B52">
              <w:rPr>
                <w:noProof/>
                <w:webHidden/>
              </w:rPr>
              <w:instrText xml:space="preserve"> PAGEREF _Toc88059122 \h </w:instrText>
            </w:r>
            <w:r w:rsidR="00AC5B52">
              <w:rPr>
                <w:noProof/>
                <w:webHidden/>
              </w:rPr>
            </w:r>
            <w:r w:rsidR="00AC5B52">
              <w:rPr>
                <w:noProof/>
                <w:webHidden/>
              </w:rPr>
              <w:fldChar w:fldCharType="separate"/>
            </w:r>
            <w:r w:rsidR="00BE6F65">
              <w:rPr>
                <w:noProof/>
                <w:webHidden/>
              </w:rPr>
              <w:t>5</w:t>
            </w:r>
            <w:r w:rsidR="00AC5B52">
              <w:rPr>
                <w:noProof/>
                <w:webHidden/>
              </w:rPr>
              <w:fldChar w:fldCharType="end"/>
            </w:r>
          </w:hyperlink>
        </w:p>
        <w:p w14:paraId="1B6A2F8C" w14:textId="3DAC8038" w:rsidR="008560D1" w:rsidRPr="001E591D" w:rsidRDefault="0065694E" w:rsidP="001E591D">
          <w:pPr>
            <w:spacing w:line="276" w:lineRule="auto"/>
          </w:pPr>
          <w:r w:rsidRPr="00C53E63">
            <w:rPr>
              <w:rFonts w:ascii="Cambria" w:hAnsi="Cambria"/>
              <w:b/>
              <w:bCs/>
              <w:sz w:val="22"/>
              <w:szCs w:val="22"/>
            </w:rPr>
            <w:fldChar w:fldCharType="end"/>
          </w:r>
        </w:p>
      </w:sdtContent>
    </w:sdt>
    <w:bookmarkStart w:id="0" w:name="_Hlk61440491" w:displacedByCustomXml="prev"/>
    <w:bookmarkEnd w:id="0"/>
    <w:p w14:paraId="68280776" w14:textId="2EBE313D" w:rsidR="00854E57" w:rsidRPr="008D68E2" w:rsidRDefault="00936C76" w:rsidP="008D68E2">
      <w:pPr>
        <w:spacing w:after="160" w:line="259" w:lineRule="auto"/>
      </w:pPr>
      <w:r>
        <w:br w:type="page"/>
      </w:r>
    </w:p>
    <w:p w14:paraId="4084B57C" w14:textId="699E9569" w:rsidR="00F532C7" w:rsidRDefault="00F532C7" w:rsidP="00F532C7">
      <w:pPr>
        <w:pStyle w:val="Titre1"/>
      </w:pPr>
      <w:bookmarkStart w:id="1" w:name="_Toc88059112"/>
      <w:r w:rsidRPr="00F532C7">
        <w:lastRenderedPageBreak/>
        <w:t>- M</w:t>
      </w:r>
      <w:r w:rsidR="00073530">
        <w:t>EF</w:t>
      </w:r>
      <w:r>
        <w:t>-</w:t>
      </w:r>
      <w:bookmarkEnd w:id="1"/>
    </w:p>
    <w:p w14:paraId="19C49745" w14:textId="77777777" w:rsidR="00F532C7" w:rsidRPr="00F532C7" w:rsidRDefault="00F532C7" w:rsidP="00F532C7"/>
    <w:p w14:paraId="3E332F36" w14:textId="07D4B672" w:rsidR="00F532C7" w:rsidRDefault="00820476" w:rsidP="00F532C7">
      <w:pPr>
        <w:pStyle w:val="Titre2"/>
        <w:rPr>
          <w:rStyle w:val="lev"/>
          <w:b/>
          <w:bCs w:val="0"/>
        </w:rPr>
      </w:pPr>
      <w:bookmarkStart w:id="2" w:name="_Toc88059113"/>
      <w:bookmarkStart w:id="3" w:name="_Hlk88043263"/>
      <w:bookmarkStart w:id="4" w:name="_Hlk88043438"/>
      <w:r>
        <w:rPr>
          <w:rStyle w:val="lev"/>
          <w:b/>
          <w:bCs w:val="0"/>
        </w:rPr>
        <w:t>Soutien des actions en faveur des exportateurs</w:t>
      </w:r>
      <w:bookmarkEnd w:id="2"/>
    </w:p>
    <w:p w14:paraId="69B2CA8C" w14:textId="77777777" w:rsidR="004A3805" w:rsidRPr="004A3805" w:rsidRDefault="004A3805" w:rsidP="004A3805"/>
    <w:bookmarkEnd w:id="3"/>
    <w:p w14:paraId="388F9007" w14:textId="5C240678" w:rsidR="00820476" w:rsidRDefault="00820476" w:rsidP="00820476">
      <w:pPr>
        <w:jc w:val="both"/>
        <w:rPr>
          <w:rFonts w:ascii="Cambria" w:hAnsi="Cambria"/>
        </w:rPr>
      </w:pPr>
      <w:r w:rsidRPr="00820476">
        <w:rPr>
          <w:rFonts w:ascii="Cambria" w:hAnsi="Cambria"/>
        </w:rPr>
        <w:t xml:space="preserve">Le Conseil des </w:t>
      </w:r>
      <w:r>
        <w:rPr>
          <w:rFonts w:ascii="Cambria" w:hAnsi="Cambria"/>
        </w:rPr>
        <w:t>m</w:t>
      </w:r>
      <w:r w:rsidRPr="00820476">
        <w:rPr>
          <w:rFonts w:ascii="Cambria" w:hAnsi="Cambria"/>
        </w:rPr>
        <w:t xml:space="preserve">inistres a approuvé l’octroi d’une subvention de 3,45 millions </w:t>
      </w:r>
      <w:r>
        <w:rPr>
          <w:rFonts w:ascii="Cambria" w:hAnsi="Cambria"/>
        </w:rPr>
        <w:t xml:space="preserve">Fcfp </w:t>
      </w:r>
      <w:r w:rsidRPr="00820476">
        <w:rPr>
          <w:rFonts w:ascii="Cambria" w:hAnsi="Cambria"/>
        </w:rPr>
        <w:t>en faveur de la Chambre de Commerce, de l’Industrie, des Services et des Métiers (CCISM) pour financer les initiatives de la Chambre destinées à soutenir les actions à l’exportation.</w:t>
      </w:r>
    </w:p>
    <w:p w14:paraId="6D190AEC" w14:textId="77777777" w:rsidR="00820476" w:rsidRPr="00820476" w:rsidRDefault="00820476" w:rsidP="00820476">
      <w:pPr>
        <w:jc w:val="both"/>
        <w:rPr>
          <w:rFonts w:ascii="Cambria" w:hAnsi="Cambria"/>
          <w:sz w:val="22"/>
          <w:szCs w:val="22"/>
          <w:lang w:eastAsia="en-US"/>
        </w:rPr>
      </w:pPr>
    </w:p>
    <w:p w14:paraId="44538F3E" w14:textId="499A575D" w:rsidR="00820476" w:rsidRPr="00820476" w:rsidRDefault="00820476" w:rsidP="00820476">
      <w:pPr>
        <w:jc w:val="both"/>
        <w:rPr>
          <w:rFonts w:ascii="Cambria" w:hAnsi="Cambria"/>
        </w:rPr>
      </w:pPr>
      <w:r w:rsidRPr="00820476">
        <w:rPr>
          <w:rFonts w:ascii="Cambria" w:hAnsi="Cambria"/>
        </w:rPr>
        <w:t>Cette subvention permettra de financer :</w:t>
      </w:r>
    </w:p>
    <w:p w14:paraId="55E3D8CE" w14:textId="4116575D" w:rsidR="00820476" w:rsidRPr="00820476" w:rsidRDefault="00820476" w:rsidP="00820476">
      <w:pPr>
        <w:pStyle w:val="Paragraphedeliste"/>
        <w:numPr>
          <w:ilvl w:val="0"/>
          <w:numId w:val="39"/>
        </w:numPr>
        <w:spacing w:after="160" w:line="256" w:lineRule="auto"/>
        <w:jc w:val="both"/>
        <w:rPr>
          <w:rFonts w:ascii="Cambria" w:hAnsi="Cambria"/>
        </w:rPr>
      </w:pPr>
      <w:r w:rsidRPr="00820476">
        <w:rPr>
          <w:rFonts w:ascii="Cambria" w:hAnsi="Cambria"/>
        </w:rPr>
        <w:t>L’expédition de trois conteneurs de groupage à destination de la métropole ;</w:t>
      </w:r>
    </w:p>
    <w:p w14:paraId="2101485B" w14:textId="77777777" w:rsidR="00820476" w:rsidRPr="00820476" w:rsidRDefault="00820476" w:rsidP="00820476">
      <w:pPr>
        <w:pStyle w:val="Paragraphedeliste"/>
        <w:numPr>
          <w:ilvl w:val="0"/>
          <w:numId w:val="39"/>
        </w:numPr>
        <w:spacing w:after="160" w:line="256" w:lineRule="auto"/>
        <w:jc w:val="both"/>
        <w:rPr>
          <w:rFonts w:ascii="Cambria" w:hAnsi="Cambria"/>
        </w:rPr>
      </w:pPr>
      <w:r w:rsidRPr="00820476">
        <w:rPr>
          <w:rFonts w:ascii="Cambria" w:hAnsi="Cambria"/>
        </w:rPr>
        <w:t xml:space="preserve">Un appui en faveur des entreprises exportatrices de la filière </w:t>
      </w:r>
      <w:proofErr w:type="spellStart"/>
      <w:r w:rsidRPr="00820476">
        <w:rPr>
          <w:rFonts w:ascii="Cambria" w:hAnsi="Cambria"/>
        </w:rPr>
        <w:t>Va’a</w:t>
      </w:r>
      <w:proofErr w:type="spellEnd"/>
      <w:r w:rsidRPr="00820476">
        <w:rPr>
          <w:rFonts w:ascii="Cambria" w:hAnsi="Cambria"/>
        </w:rPr>
        <w:t xml:space="preserve"> par l’expédition de deux conteneurs de groupage de 40 pieds exclusivement dédiés à leurs produits ;</w:t>
      </w:r>
    </w:p>
    <w:p w14:paraId="494185A7" w14:textId="77777777" w:rsidR="00820476" w:rsidRPr="00820476" w:rsidRDefault="00820476" w:rsidP="00820476">
      <w:pPr>
        <w:pStyle w:val="Paragraphedeliste"/>
        <w:numPr>
          <w:ilvl w:val="0"/>
          <w:numId w:val="39"/>
        </w:numPr>
        <w:spacing w:after="160" w:line="256" w:lineRule="auto"/>
        <w:jc w:val="both"/>
        <w:rPr>
          <w:rFonts w:ascii="Cambria" w:hAnsi="Cambria"/>
        </w:rPr>
      </w:pPr>
      <w:r w:rsidRPr="00820476">
        <w:rPr>
          <w:rFonts w:ascii="Cambria" w:hAnsi="Cambria"/>
        </w:rPr>
        <w:t>La conception d’un outil d’accompagnement personnalisé pour les entreprises exportatrices ou s’inscrivant dans une démarche d’export ;</w:t>
      </w:r>
    </w:p>
    <w:p w14:paraId="71B13327" w14:textId="77777777" w:rsidR="00820476" w:rsidRPr="00820476" w:rsidRDefault="00820476" w:rsidP="00820476">
      <w:pPr>
        <w:pStyle w:val="Paragraphedeliste"/>
        <w:numPr>
          <w:ilvl w:val="0"/>
          <w:numId w:val="39"/>
        </w:numPr>
        <w:spacing w:after="160" w:line="256" w:lineRule="auto"/>
        <w:jc w:val="both"/>
        <w:rPr>
          <w:rFonts w:ascii="Cambria" w:hAnsi="Cambria"/>
        </w:rPr>
      </w:pPr>
      <w:r w:rsidRPr="00820476">
        <w:rPr>
          <w:rFonts w:ascii="Cambria" w:hAnsi="Cambria"/>
        </w:rPr>
        <w:t>Des initiatives de formation ;</w:t>
      </w:r>
    </w:p>
    <w:p w14:paraId="3604570E" w14:textId="5004A69B" w:rsidR="00820476" w:rsidRDefault="00820476" w:rsidP="00820476">
      <w:pPr>
        <w:pStyle w:val="Paragraphedeliste"/>
        <w:numPr>
          <w:ilvl w:val="0"/>
          <w:numId w:val="39"/>
        </w:numPr>
        <w:spacing w:after="160" w:line="256" w:lineRule="auto"/>
        <w:jc w:val="both"/>
        <w:rPr>
          <w:rFonts w:ascii="Cambria" w:hAnsi="Cambria"/>
        </w:rPr>
      </w:pPr>
      <w:r w:rsidRPr="00820476">
        <w:rPr>
          <w:rFonts w:ascii="Cambria" w:hAnsi="Cambria"/>
        </w:rPr>
        <w:t>Et l’actualisation du guide des exportateurs.</w:t>
      </w:r>
    </w:p>
    <w:bookmarkEnd w:id="4"/>
    <w:p w14:paraId="5D7861EC" w14:textId="77777777" w:rsidR="00820476" w:rsidRDefault="00820476" w:rsidP="00820476">
      <w:pPr>
        <w:pStyle w:val="Paragraphedeliste"/>
        <w:spacing w:after="160" w:line="256" w:lineRule="auto"/>
        <w:jc w:val="both"/>
        <w:rPr>
          <w:rFonts w:ascii="Cambria" w:hAnsi="Cambria"/>
        </w:rPr>
      </w:pPr>
    </w:p>
    <w:p w14:paraId="308DEE88" w14:textId="67144EAF" w:rsidR="00820476" w:rsidRDefault="00820476" w:rsidP="00820476">
      <w:pPr>
        <w:pStyle w:val="Titre2"/>
        <w:rPr>
          <w:rStyle w:val="lev"/>
          <w:b/>
          <w:bCs w:val="0"/>
        </w:rPr>
      </w:pPr>
      <w:bookmarkStart w:id="5" w:name="_Toc88059114"/>
      <w:bookmarkStart w:id="6" w:name="_Hlk88044129"/>
      <w:r>
        <w:rPr>
          <w:rStyle w:val="lev"/>
          <w:b/>
          <w:bCs w:val="0"/>
        </w:rPr>
        <w:t>Indices BTP et hybrides</w:t>
      </w:r>
      <w:bookmarkEnd w:id="5"/>
    </w:p>
    <w:p w14:paraId="6143AF2A" w14:textId="7CA3BBEA" w:rsidR="00820476" w:rsidRDefault="00820476" w:rsidP="00820476"/>
    <w:p w14:paraId="0A5F1698" w14:textId="51AE3EC4" w:rsidR="005E514F" w:rsidRDefault="005E514F" w:rsidP="005E514F">
      <w:pPr>
        <w:jc w:val="both"/>
        <w:rPr>
          <w:rFonts w:ascii="Cambria" w:hAnsi="Cambria"/>
          <w:bCs/>
        </w:rPr>
      </w:pPr>
      <w:r w:rsidRPr="005E514F">
        <w:rPr>
          <w:rFonts w:ascii="Cambria" w:hAnsi="Cambria"/>
          <w:bCs/>
        </w:rPr>
        <w:t>En octobre 2021, l'index du Bâtiment et des Travaux Publics (BTP) augmente de 0,8 % et s'établit à 115,30. Cette évolution est liée à la hausse des prix des matériaux de construction de 1,9 %, tirés par les matériaux chimiques (+ 2,1 %), les matériaux métalliques (+ 2,5 %), les matériaux électriques (+ 1,8 %) et les matériaux végétaux (+ 4,0 %). Sur douze mois, l'index général du Bâtiment et Travaux publics augmente de 4,9 %.</w:t>
      </w:r>
    </w:p>
    <w:p w14:paraId="24AAC20B" w14:textId="77777777" w:rsidR="005E514F" w:rsidRPr="005E514F" w:rsidRDefault="005E514F" w:rsidP="005E514F">
      <w:pPr>
        <w:jc w:val="both"/>
        <w:rPr>
          <w:rFonts w:ascii="Cambria" w:hAnsi="Cambria"/>
          <w:bCs/>
        </w:rPr>
      </w:pPr>
    </w:p>
    <w:p w14:paraId="7CF26D60" w14:textId="45E2D57F" w:rsidR="005E514F" w:rsidRDefault="005E514F" w:rsidP="005E514F">
      <w:pPr>
        <w:jc w:val="both"/>
        <w:rPr>
          <w:rFonts w:ascii="Cambria" w:hAnsi="Cambria"/>
          <w:bCs/>
        </w:rPr>
      </w:pPr>
      <w:r w:rsidRPr="005E514F">
        <w:rPr>
          <w:rFonts w:ascii="Cambria" w:hAnsi="Cambria"/>
          <w:bCs/>
        </w:rPr>
        <w:t>Dans le Bâtiment, l'index du Gros Œuvre augmente de 0,9 % et celui du Second Œuvre de 1,0 %. Sur douze mois, l'index général du Bâtiment est en hausse de 4,5 %.</w:t>
      </w:r>
    </w:p>
    <w:p w14:paraId="2A253724" w14:textId="77777777" w:rsidR="005E514F" w:rsidRPr="005E514F" w:rsidRDefault="005E514F" w:rsidP="005E514F">
      <w:pPr>
        <w:jc w:val="both"/>
        <w:rPr>
          <w:rFonts w:ascii="Cambria" w:hAnsi="Cambria"/>
          <w:bCs/>
        </w:rPr>
      </w:pPr>
    </w:p>
    <w:p w14:paraId="7B5B09DC" w14:textId="70C116EC" w:rsidR="005E514F" w:rsidRDefault="005E514F" w:rsidP="005E514F">
      <w:pPr>
        <w:jc w:val="both"/>
        <w:rPr>
          <w:rFonts w:ascii="Cambria" w:hAnsi="Cambria"/>
          <w:bCs/>
        </w:rPr>
      </w:pPr>
      <w:r w:rsidRPr="005E514F">
        <w:rPr>
          <w:rFonts w:ascii="Cambria" w:hAnsi="Cambria"/>
          <w:bCs/>
        </w:rPr>
        <w:t>Dans les Travaux Publics, l'index du Génie Civil augmente de 0,8 % et celui des Travaux spécialisés de 0,1 %. Sur douze mois, l'index général des Travaux Publics est en hausse de 5,4 %.</w:t>
      </w:r>
    </w:p>
    <w:p w14:paraId="3A995A70" w14:textId="282F5A86" w:rsidR="005E514F" w:rsidRDefault="005E514F" w:rsidP="005E514F">
      <w:pPr>
        <w:jc w:val="both"/>
        <w:rPr>
          <w:rFonts w:ascii="Cambria" w:hAnsi="Cambria"/>
          <w:bCs/>
        </w:rPr>
      </w:pPr>
    </w:p>
    <w:p w14:paraId="3741103A" w14:textId="3A41903B" w:rsidR="005E514F" w:rsidRDefault="005E514F" w:rsidP="005E514F">
      <w:pPr>
        <w:pStyle w:val="-LettreSuiteORefPJGEDA"/>
        <w:ind w:left="0"/>
        <w:rPr>
          <w:rFonts w:ascii="Cambria" w:hAnsi="Cambria"/>
        </w:rPr>
      </w:pPr>
      <w:r w:rsidRPr="005E514F">
        <w:rPr>
          <w:rFonts w:ascii="Cambria" w:hAnsi="Cambria"/>
        </w:rPr>
        <w:t>Toujours en octobre, les index hybrides prennent les valeurs suivantes (base 100 en décembre 2010) :</w:t>
      </w:r>
    </w:p>
    <w:p w14:paraId="0046F92F" w14:textId="77777777" w:rsidR="005E514F" w:rsidRPr="005E514F" w:rsidRDefault="005E514F" w:rsidP="005E514F">
      <w:pPr>
        <w:pStyle w:val="-LettreSuiteORefPJGEDA"/>
        <w:ind w:left="0"/>
        <w:rPr>
          <w:rFonts w:ascii="Cambria" w:hAnsi="Cambria"/>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5E514F" w:rsidRPr="005E514F" w14:paraId="7B629317" w14:textId="77777777" w:rsidTr="005E514F">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14:paraId="56186420" w14:textId="77777777" w:rsidR="005E514F" w:rsidRPr="005E514F" w:rsidRDefault="005E514F">
            <w:pPr>
              <w:rPr>
                <w:rFonts w:ascii="Cambria" w:hAnsi="Cambria"/>
                <w:b/>
                <w:color w:val="000000"/>
              </w:rPr>
            </w:pPr>
            <w:r w:rsidRPr="005E514F">
              <w:rPr>
                <w:rFonts w:ascii="Cambria" w:hAnsi="Cambria"/>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14:paraId="00C5FE6A" w14:textId="77777777" w:rsidR="005E514F" w:rsidRPr="005E514F" w:rsidRDefault="005E514F">
            <w:pPr>
              <w:jc w:val="center"/>
              <w:rPr>
                <w:rFonts w:ascii="Cambria" w:hAnsi="Cambria"/>
                <w:b/>
                <w:color w:val="000000"/>
              </w:rPr>
            </w:pPr>
            <w:r w:rsidRPr="005E514F">
              <w:rPr>
                <w:rFonts w:ascii="Cambria" w:hAnsi="Cambria"/>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14:paraId="46BDD35E" w14:textId="77777777" w:rsidR="005E514F" w:rsidRPr="005E514F" w:rsidRDefault="005E514F">
            <w:pPr>
              <w:jc w:val="center"/>
              <w:rPr>
                <w:rFonts w:ascii="Cambria" w:hAnsi="Cambria"/>
                <w:b/>
                <w:color w:val="000000"/>
              </w:rPr>
            </w:pPr>
            <w:r w:rsidRPr="005E514F">
              <w:rPr>
                <w:rFonts w:ascii="Cambria" w:hAnsi="Cambria"/>
                <w:b/>
                <w:color w:val="000000"/>
              </w:rPr>
              <w:t>Variations en %</w:t>
            </w:r>
          </w:p>
        </w:tc>
      </w:tr>
      <w:tr w:rsidR="005E514F" w:rsidRPr="005E514F" w14:paraId="2020F9C1" w14:textId="77777777" w:rsidTr="005E514F">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14:paraId="0FB1CBC6" w14:textId="77777777" w:rsidR="005E514F" w:rsidRPr="005E514F" w:rsidRDefault="005E514F">
            <w:pPr>
              <w:rPr>
                <w:rFonts w:ascii="Cambria" w:hAnsi="Cambria"/>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32E32C7E" w14:textId="77777777" w:rsidR="005E514F" w:rsidRPr="005E514F" w:rsidRDefault="005E514F">
            <w:pPr>
              <w:rPr>
                <w:rFonts w:ascii="Cambria" w:hAnsi="Cambria"/>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502EB524" w14:textId="77777777" w:rsidR="005E514F" w:rsidRPr="005E514F" w:rsidRDefault="005E514F">
            <w:pPr>
              <w:jc w:val="center"/>
              <w:rPr>
                <w:rFonts w:ascii="Cambria" w:hAnsi="Cambria"/>
                <w:b/>
                <w:color w:val="000000"/>
              </w:rPr>
            </w:pPr>
            <w:r w:rsidRPr="005E514F">
              <w:rPr>
                <w:rFonts w:ascii="Cambria" w:hAnsi="Cambria"/>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14:paraId="2AE7F7FA" w14:textId="77777777" w:rsidR="005E514F" w:rsidRPr="005E514F" w:rsidRDefault="005E514F">
            <w:pPr>
              <w:jc w:val="center"/>
              <w:rPr>
                <w:rFonts w:ascii="Cambria" w:hAnsi="Cambria"/>
                <w:b/>
                <w:color w:val="000000"/>
              </w:rPr>
            </w:pPr>
            <w:r w:rsidRPr="005E514F">
              <w:rPr>
                <w:rFonts w:ascii="Cambria" w:hAnsi="Cambria"/>
                <w:b/>
                <w:color w:val="000000"/>
              </w:rPr>
              <w:t>Sur 12 mois</w:t>
            </w:r>
          </w:p>
        </w:tc>
      </w:tr>
      <w:tr w:rsidR="005E514F" w:rsidRPr="005E514F" w14:paraId="1EE97CD4"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2C1A22FA" w14:textId="77777777" w:rsidR="005E514F" w:rsidRPr="005E514F" w:rsidRDefault="005E514F">
            <w:pPr>
              <w:rPr>
                <w:rFonts w:ascii="Cambria" w:hAnsi="Cambria"/>
                <w:color w:val="000000"/>
              </w:rPr>
            </w:pPr>
            <w:r w:rsidRPr="005E514F">
              <w:rPr>
                <w:rFonts w:ascii="Cambria" w:hAnsi="Cambria"/>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1BC9DB3" w14:textId="77777777" w:rsidR="005E514F" w:rsidRPr="005E514F" w:rsidRDefault="005E514F">
            <w:pPr>
              <w:jc w:val="center"/>
              <w:rPr>
                <w:rFonts w:ascii="Cambria" w:hAnsi="Cambria"/>
                <w:color w:val="000000"/>
              </w:rPr>
            </w:pPr>
            <w:r w:rsidRPr="005E514F">
              <w:rPr>
                <w:rFonts w:ascii="Cambria" w:hAnsi="Cambria"/>
                <w:color w:val="000000"/>
              </w:rPr>
              <w:t>115,70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BFA9D71" w14:textId="77777777" w:rsidR="005E514F" w:rsidRPr="005E514F" w:rsidRDefault="005E514F">
            <w:pPr>
              <w:jc w:val="center"/>
              <w:rPr>
                <w:rFonts w:ascii="Cambria" w:hAnsi="Cambria"/>
                <w:color w:val="000000"/>
              </w:rPr>
            </w:pPr>
            <w:r w:rsidRPr="005E514F">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1876C17C" w14:textId="77777777" w:rsidR="005E514F" w:rsidRPr="005E514F" w:rsidRDefault="005E514F">
            <w:pPr>
              <w:jc w:val="center"/>
              <w:rPr>
                <w:rFonts w:ascii="Cambria" w:hAnsi="Cambria"/>
                <w:color w:val="000000"/>
              </w:rPr>
            </w:pPr>
            <w:r w:rsidRPr="005E514F">
              <w:rPr>
                <w:rFonts w:ascii="Cambria" w:hAnsi="Cambria"/>
                <w:color w:val="000000"/>
              </w:rPr>
              <w:t>-</w:t>
            </w:r>
          </w:p>
        </w:tc>
      </w:tr>
      <w:tr w:rsidR="005E514F" w:rsidRPr="005E514F" w14:paraId="5D4CA1F6"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E668F21" w14:textId="77777777" w:rsidR="005E514F" w:rsidRPr="005E514F" w:rsidRDefault="005E514F">
            <w:pPr>
              <w:rPr>
                <w:rFonts w:ascii="Cambria" w:hAnsi="Cambria"/>
                <w:color w:val="000000"/>
              </w:rPr>
            </w:pPr>
            <w:r w:rsidRPr="005E514F">
              <w:rPr>
                <w:rFonts w:ascii="Cambria" w:hAnsi="Cambria"/>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F8DD515" w14:textId="77777777" w:rsidR="005E514F" w:rsidRPr="005E514F" w:rsidRDefault="005E514F">
            <w:pPr>
              <w:jc w:val="center"/>
              <w:rPr>
                <w:rFonts w:ascii="Cambria" w:hAnsi="Cambria"/>
                <w:color w:val="000000"/>
              </w:rPr>
            </w:pPr>
            <w:r w:rsidRPr="005E514F">
              <w:rPr>
                <w:rFonts w:ascii="Cambria" w:hAnsi="Cambria"/>
                <w:color w:val="000000"/>
              </w:rPr>
              <w:t>110,85</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F345647" w14:textId="77777777" w:rsidR="005E514F" w:rsidRPr="005E514F" w:rsidRDefault="005E514F">
            <w:pPr>
              <w:jc w:val="center"/>
              <w:rPr>
                <w:rFonts w:ascii="Cambria" w:hAnsi="Cambria"/>
                <w:color w:val="000000"/>
              </w:rPr>
            </w:pPr>
            <w:r w:rsidRPr="005E514F">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55DEBEDA" w14:textId="77777777" w:rsidR="005E514F" w:rsidRPr="005E514F" w:rsidRDefault="005E514F">
            <w:pPr>
              <w:jc w:val="center"/>
              <w:rPr>
                <w:rFonts w:ascii="Cambria" w:hAnsi="Cambria"/>
                <w:color w:val="000000"/>
              </w:rPr>
            </w:pPr>
            <w:r w:rsidRPr="005E514F">
              <w:rPr>
                <w:rFonts w:ascii="Cambria" w:hAnsi="Cambria"/>
                <w:color w:val="000000"/>
              </w:rPr>
              <w:t>-</w:t>
            </w:r>
          </w:p>
        </w:tc>
      </w:tr>
      <w:tr w:rsidR="005E514F" w:rsidRPr="005E514F" w14:paraId="46AD41C8"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5FEE425E" w14:textId="77777777" w:rsidR="005E514F" w:rsidRPr="005E514F" w:rsidRDefault="005E514F">
            <w:pPr>
              <w:rPr>
                <w:rFonts w:ascii="Cambria" w:hAnsi="Cambria"/>
                <w:color w:val="000000"/>
              </w:rPr>
            </w:pPr>
            <w:r w:rsidRPr="005E514F">
              <w:rPr>
                <w:rFonts w:ascii="Cambria" w:hAnsi="Cambria"/>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5274EE7B" w14:textId="77777777" w:rsidR="005E514F" w:rsidRPr="005E514F" w:rsidRDefault="005E514F">
            <w:pPr>
              <w:jc w:val="center"/>
              <w:rPr>
                <w:rFonts w:ascii="Cambria" w:hAnsi="Cambria"/>
                <w:color w:val="000000"/>
              </w:rPr>
            </w:pPr>
            <w:r w:rsidRPr="005E514F">
              <w:rPr>
                <w:rFonts w:ascii="Cambria" w:hAnsi="Cambria"/>
                <w:color w:val="000000"/>
              </w:rPr>
              <w:t>113,02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AEDD8D2" w14:textId="77777777" w:rsidR="005E514F" w:rsidRPr="005E514F" w:rsidRDefault="005E514F">
            <w:pPr>
              <w:jc w:val="center"/>
              <w:rPr>
                <w:rFonts w:ascii="Cambria" w:hAnsi="Cambria"/>
                <w:color w:val="000000"/>
              </w:rPr>
            </w:pPr>
            <w:r w:rsidRPr="005E514F">
              <w:rPr>
                <w:rFonts w:ascii="Cambria" w:hAnsi="Cambria"/>
                <w:color w:val="000000"/>
              </w:rPr>
              <w:t>0,2</w:t>
            </w:r>
          </w:p>
        </w:tc>
        <w:tc>
          <w:tcPr>
            <w:tcW w:w="1384" w:type="dxa"/>
            <w:tcBorders>
              <w:top w:val="dotted" w:sz="4" w:space="0" w:color="auto"/>
              <w:left w:val="dotted" w:sz="4" w:space="0" w:color="auto"/>
              <w:bottom w:val="dotted" w:sz="4" w:space="0" w:color="auto"/>
              <w:right w:val="dotted" w:sz="4" w:space="0" w:color="auto"/>
            </w:tcBorders>
            <w:vAlign w:val="center"/>
            <w:hideMark/>
          </w:tcPr>
          <w:p w14:paraId="41A3DEF5" w14:textId="77777777" w:rsidR="005E514F" w:rsidRPr="005E514F" w:rsidRDefault="005E514F">
            <w:pPr>
              <w:jc w:val="center"/>
              <w:rPr>
                <w:rFonts w:ascii="Cambria" w:hAnsi="Cambria"/>
                <w:color w:val="000000"/>
              </w:rPr>
            </w:pPr>
            <w:r w:rsidRPr="005E514F">
              <w:rPr>
                <w:rFonts w:ascii="Cambria" w:hAnsi="Cambria"/>
                <w:color w:val="000000"/>
              </w:rPr>
              <w:t>1,3</w:t>
            </w:r>
          </w:p>
        </w:tc>
      </w:tr>
      <w:tr w:rsidR="005E514F" w:rsidRPr="005E514F" w14:paraId="5766ED34"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FC17B41" w14:textId="77777777" w:rsidR="005E514F" w:rsidRPr="005E514F" w:rsidRDefault="005E514F">
            <w:pPr>
              <w:rPr>
                <w:rFonts w:ascii="Cambria" w:hAnsi="Cambria"/>
                <w:color w:val="000000"/>
              </w:rPr>
            </w:pPr>
            <w:r w:rsidRPr="005E514F">
              <w:rPr>
                <w:rFonts w:ascii="Cambria" w:hAnsi="Cambria"/>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CA27881" w14:textId="77777777" w:rsidR="005E514F" w:rsidRPr="005E514F" w:rsidRDefault="005E514F">
            <w:pPr>
              <w:jc w:val="center"/>
              <w:rPr>
                <w:rFonts w:ascii="Cambria" w:hAnsi="Cambria"/>
                <w:color w:val="000000"/>
              </w:rPr>
            </w:pPr>
            <w:r w:rsidRPr="005E514F">
              <w:rPr>
                <w:rFonts w:ascii="Cambria" w:hAnsi="Cambria"/>
                <w:color w:val="000000"/>
              </w:rPr>
              <w:t>106,32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FF5CB7F" w14:textId="77777777" w:rsidR="005E514F" w:rsidRPr="005E514F" w:rsidRDefault="005E514F">
            <w:pPr>
              <w:jc w:val="center"/>
              <w:rPr>
                <w:rFonts w:ascii="Cambria" w:hAnsi="Cambria"/>
                <w:color w:val="000000"/>
              </w:rPr>
            </w:pPr>
            <w:r w:rsidRPr="005E514F">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538CB0C9" w14:textId="77777777" w:rsidR="005E514F" w:rsidRPr="005E514F" w:rsidRDefault="005E514F">
            <w:pPr>
              <w:jc w:val="center"/>
              <w:rPr>
                <w:rFonts w:ascii="Cambria" w:hAnsi="Cambria"/>
                <w:color w:val="000000"/>
              </w:rPr>
            </w:pPr>
            <w:r w:rsidRPr="005E514F">
              <w:rPr>
                <w:rFonts w:ascii="Cambria" w:hAnsi="Cambria"/>
                <w:color w:val="000000"/>
              </w:rPr>
              <w:t>1,0</w:t>
            </w:r>
          </w:p>
        </w:tc>
      </w:tr>
      <w:tr w:rsidR="005E514F" w:rsidRPr="005E514F" w14:paraId="635C0111"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22A6CA18" w14:textId="77777777" w:rsidR="005E514F" w:rsidRPr="005E514F" w:rsidRDefault="005E514F">
            <w:pPr>
              <w:rPr>
                <w:rFonts w:ascii="Cambria" w:hAnsi="Cambria"/>
                <w:color w:val="000000"/>
              </w:rPr>
            </w:pPr>
            <w:r w:rsidRPr="005E514F">
              <w:rPr>
                <w:rFonts w:ascii="Cambria" w:hAnsi="Cambria"/>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73A3CB44" w14:textId="77777777" w:rsidR="005E514F" w:rsidRPr="005E514F" w:rsidRDefault="005E514F">
            <w:pPr>
              <w:jc w:val="center"/>
              <w:rPr>
                <w:rFonts w:ascii="Cambria" w:hAnsi="Cambria"/>
                <w:color w:val="000000"/>
              </w:rPr>
            </w:pPr>
            <w:r w:rsidRPr="005E514F">
              <w:rPr>
                <w:rFonts w:ascii="Cambria" w:hAnsi="Cambria"/>
                <w:color w:val="000000"/>
              </w:rPr>
              <w:t>132,11</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DB9D3A8" w14:textId="77777777" w:rsidR="005E514F" w:rsidRPr="005E514F" w:rsidRDefault="005E514F">
            <w:pPr>
              <w:jc w:val="center"/>
              <w:rPr>
                <w:rFonts w:ascii="Cambria" w:hAnsi="Cambria"/>
                <w:color w:val="000000"/>
              </w:rPr>
            </w:pPr>
            <w:r w:rsidRPr="005E514F">
              <w:rPr>
                <w:rFonts w:ascii="Cambria" w:hAnsi="Cambria"/>
                <w:color w:val="000000"/>
              </w:rPr>
              <w:t>0,7</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0CF9B9DD" w14:textId="77777777" w:rsidR="005E514F" w:rsidRPr="005E514F" w:rsidRDefault="005E514F">
            <w:pPr>
              <w:jc w:val="center"/>
              <w:rPr>
                <w:rFonts w:ascii="Cambria" w:hAnsi="Cambria"/>
                <w:color w:val="000000"/>
              </w:rPr>
            </w:pPr>
            <w:r w:rsidRPr="005E514F">
              <w:rPr>
                <w:rFonts w:ascii="Cambria" w:hAnsi="Cambria"/>
                <w:color w:val="000000"/>
              </w:rPr>
              <w:t>8,5</w:t>
            </w:r>
          </w:p>
        </w:tc>
      </w:tr>
      <w:tr w:rsidR="005E514F" w:rsidRPr="005E514F" w14:paraId="0BB38EA5"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5BA1C257" w14:textId="77777777" w:rsidR="005E514F" w:rsidRPr="005E514F" w:rsidRDefault="005E514F">
            <w:pPr>
              <w:rPr>
                <w:rFonts w:ascii="Cambria" w:hAnsi="Cambria"/>
                <w:color w:val="000000"/>
              </w:rPr>
            </w:pPr>
            <w:r w:rsidRPr="005E514F">
              <w:rPr>
                <w:rFonts w:ascii="Cambria" w:hAnsi="Cambria"/>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67A96349" w14:textId="77777777" w:rsidR="005E514F" w:rsidRPr="005E514F" w:rsidRDefault="005E514F">
            <w:pPr>
              <w:jc w:val="center"/>
              <w:rPr>
                <w:rFonts w:ascii="Cambria" w:hAnsi="Cambria"/>
                <w:color w:val="000000"/>
              </w:rPr>
            </w:pPr>
            <w:r w:rsidRPr="005E514F">
              <w:rPr>
                <w:rFonts w:ascii="Cambria" w:hAnsi="Cambria"/>
                <w:color w:val="000000"/>
              </w:rPr>
              <w:t>111,23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852E5FF" w14:textId="77777777" w:rsidR="005E514F" w:rsidRPr="005E514F" w:rsidRDefault="005E514F">
            <w:pPr>
              <w:jc w:val="center"/>
              <w:rPr>
                <w:rFonts w:ascii="Cambria" w:hAnsi="Cambria"/>
                <w:color w:val="000000"/>
              </w:rPr>
            </w:pPr>
            <w:r w:rsidRPr="005E514F">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4F4E58DA" w14:textId="77777777" w:rsidR="005E514F" w:rsidRPr="005E514F" w:rsidRDefault="005E514F">
            <w:pPr>
              <w:jc w:val="center"/>
              <w:rPr>
                <w:rFonts w:ascii="Cambria" w:hAnsi="Cambria"/>
                <w:color w:val="000000"/>
              </w:rPr>
            </w:pPr>
            <w:r w:rsidRPr="005E514F">
              <w:rPr>
                <w:rFonts w:ascii="Cambria" w:hAnsi="Cambria"/>
                <w:color w:val="000000"/>
              </w:rPr>
              <w:t>1,1</w:t>
            </w:r>
          </w:p>
        </w:tc>
      </w:tr>
      <w:tr w:rsidR="005E514F" w:rsidRPr="005E514F" w14:paraId="40C935A6"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0274158E" w14:textId="77777777" w:rsidR="005E514F" w:rsidRPr="005E514F" w:rsidRDefault="005E514F">
            <w:pPr>
              <w:rPr>
                <w:rFonts w:ascii="Cambria" w:hAnsi="Cambria"/>
                <w:color w:val="000000"/>
              </w:rPr>
            </w:pPr>
            <w:r w:rsidRPr="005E514F">
              <w:rPr>
                <w:rFonts w:ascii="Cambria" w:hAnsi="Cambria"/>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A6B923F" w14:textId="77777777" w:rsidR="005E514F" w:rsidRPr="005E514F" w:rsidRDefault="005E514F">
            <w:pPr>
              <w:jc w:val="center"/>
              <w:rPr>
                <w:rFonts w:ascii="Cambria" w:hAnsi="Cambria"/>
                <w:color w:val="000000"/>
              </w:rPr>
            </w:pPr>
            <w:r w:rsidRPr="005E514F">
              <w:rPr>
                <w:rFonts w:ascii="Cambria" w:hAnsi="Cambria"/>
                <w:color w:val="000000"/>
              </w:rPr>
              <w:t>106,96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BD6546E" w14:textId="77777777" w:rsidR="005E514F" w:rsidRPr="005E514F" w:rsidRDefault="005E514F">
            <w:pPr>
              <w:jc w:val="center"/>
              <w:rPr>
                <w:rFonts w:ascii="Cambria" w:hAnsi="Cambria"/>
                <w:color w:val="000000"/>
              </w:rPr>
            </w:pPr>
            <w:r w:rsidRPr="005E514F">
              <w:rPr>
                <w:rFonts w:ascii="Cambria" w:hAnsi="Cambria"/>
                <w:color w:val="000000"/>
              </w:rPr>
              <w:t>0,2</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7871CCC2" w14:textId="77777777" w:rsidR="005E514F" w:rsidRPr="005E514F" w:rsidRDefault="005E514F">
            <w:pPr>
              <w:jc w:val="center"/>
              <w:rPr>
                <w:rFonts w:ascii="Cambria" w:hAnsi="Cambria"/>
                <w:color w:val="000000"/>
              </w:rPr>
            </w:pPr>
            <w:r w:rsidRPr="005E514F">
              <w:rPr>
                <w:rFonts w:ascii="Cambria" w:hAnsi="Cambria"/>
                <w:color w:val="000000"/>
              </w:rPr>
              <w:t>1,4</w:t>
            </w:r>
          </w:p>
        </w:tc>
      </w:tr>
      <w:tr w:rsidR="005E514F" w:rsidRPr="005E514F" w14:paraId="4EC05EB6"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021BEEDC" w14:textId="77777777" w:rsidR="005E514F" w:rsidRPr="005E514F" w:rsidRDefault="005E514F">
            <w:pPr>
              <w:rPr>
                <w:rFonts w:ascii="Cambria" w:hAnsi="Cambria"/>
                <w:color w:val="000000"/>
              </w:rPr>
            </w:pPr>
            <w:r w:rsidRPr="005E514F">
              <w:rPr>
                <w:rFonts w:ascii="Cambria" w:hAnsi="Cambria"/>
                <w:color w:val="000000"/>
              </w:rPr>
              <w:lastRenderedPageBreak/>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4A72154" w14:textId="77777777" w:rsidR="005E514F" w:rsidRPr="005E514F" w:rsidRDefault="005E514F">
            <w:pPr>
              <w:jc w:val="center"/>
              <w:rPr>
                <w:rFonts w:ascii="Cambria" w:hAnsi="Cambria"/>
                <w:color w:val="000000"/>
              </w:rPr>
            </w:pPr>
            <w:r w:rsidRPr="005E514F">
              <w:rPr>
                <w:rFonts w:ascii="Cambria" w:hAnsi="Cambria"/>
                <w:color w:val="000000"/>
              </w:rPr>
              <w:t>101,78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1AB637DC" w14:textId="77777777" w:rsidR="005E514F" w:rsidRPr="005E514F" w:rsidRDefault="005E514F">
            <w:pPr>
              <w:jc w:val="center"/>
              <w:rPr>
                <w:rFonts w:ascii="Cambria" w:hAnsi="Cambria"/>
                <w:color w:val="000000"/>
              </w:rPr>
            </w:pPr>
            <w:r w:rsidRPr="005E514F">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5B89C110" w14:textId="77777777" w:rsidR="005E514F" w:rsidRPr="005E514F" w:rsidRDefault="005E514F">
            <w:pPr>
              <w:jc w:val="center"/>
              <w:rPr>
                <w:rFonts w:ascii="Cambria" w:hAnsi="Cambria"/>
                <w:color w:val="000000"/>
              </w:rPr>
            </w:pPr>
            <w:r w:rsidRPr="005E514F">
              <w:rPr>
                <w:rFonts w:ascii="Cambria" w:hAnsi="Cambria"/>
                <w:color w:val="000000"/>
              </w:rPr>
              <w:t>-1,1</w:t>
            </w:r>
          </w:p>
        </w:tc>
      </w:tr>
      <w:tr w:rsidR="005E514F" w:rsidRPr="005E514F" w14:paraId="3450BAF7" w14:textId="77777777" w:rsidTr="005E514F">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44FE50D2" w14:textId="77777777" w:rsidR="005E514F" w:rsidRPr="005E514F" w:rsidRDefault="005E514F">
            <w:pPr>
              <w:rPr>
                <w:rFonts w:ascii="Cambria" w:hAnsi="Cambria"/>
                <w:color w:val="000000"/>
              </w:rPr>
            </w:pPr>
            <w:r w:rsidRPr="005E514F">
              <w:rPr>
                <w:rFonts w:ascii="Cambria" w:hAnsi="Cambria"/>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6B6F66EC" w14:textId="77777777" w:rsidR="005E514F" w:rsidRPr="005E514F" w:rsidRDefault="005E514F">
            <w:pPr>
              <w:jc w:val="center"/>
              <w:rPr>
                <w:rFonts w:ascii="Cambria" w:hAnsi="Cambria"/>
                <w:color w:val="000000"/>
              </w:rPr>
            </w:pPr>
            <w:r w:rsidRPr="005E514F">
              <w:rPr>
                <w:rFonts w:ascii="Cambria" w:hAnsi="Cambria"/>
                <w:color w:val="000000"/>
              </w:rPr>
              <w:t>111,00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2BCC5563" w14:textId="77777777" w:rsidR="005E514F" w:rsidRPr="005E514F" w:rsidRDefault="005E514F">
            <w:pPr>
              <w:jc w:val="center"/>
              <w:rPr>
                <w:rFonts w:ascii="Cambria" w:hAnsi="Cambria"/>
                <w:color w:val="000000"/>
              </w:rPr>
            </w:pPr>
            <w:r w:rsidRPr="005E514F">
              <w:rPr>
                <w:rFonts w:ascii="Cambria" w:hAnsi="Cambria"/>
                <w:color w:val="000000"/>
              </w:rPr>
              <w:t>2,0</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58F46EEF" w14:textId="77777777" w:rsidR="005E514F" w:rsidRPr="005E514F" w:rsidRDefault="005E514F">
            <w:pPr>
              <w:jc w:val="center"/>
              <w:rPr>
                <w:rFonts w:ascii="Cambria" w:hAnsi="Cambria"/>
                <w:color w:val="000000"/>
              </w:rPr>
            </w:pPr>
            <w:r w:rsidRPr="005E514F">
              <w:rPr>
                <w:rFonts w:ascii="Cambria" w:hAnsi="Cambria"/>
                <w:color w:val="000000"/>
              </w:rPr>
              <w:t>15,4</w:t>
            </w:r>
          </w:p>
        </w:tc>
      </w:tr>
      <w:bookmarkEnd w:id="6"/>
    </w:tbl>
    <w:p w14:paraId="7A1A0366" w14:textId="5C9EE1DB" w:rsidR="00073530" w:rsidRDefault="00073530" w:rsidP="00073530">
      <w:pPr>
        <w:pStyle w:val="NormalWeb"/>
        <w:jc w:val="both"/>
        <w:rPr>
          <w:rFonts w:ascii="Cambria" w:hAnsi="Cambria"/>
        </w:rPr>
      </w:pPr>
    </w:p>
    <w:p w14:paraId="564B7117" w14:textId="77777777" w:rsidR="00AC5B52" w:rsidRPr="00F532C7" w:rsidRDefault="00AC5B52" w:rsidP="00073530">
      <w:pPr>
        <w:pStyle w:val="NormalWeb"/>
        <w:jc w:val="both"/>
        <w:rPr>
          <w:rFonts w:ascii="Cambria" w:hAnsi="Cambria"/>
        </w:rPr>
      </w:pPr>
    </w:p>
    <w:p w14:paraId="00910B5D" w14:textId="7A99540E" w:rsidR="00F532C7" w:rsidRDefault="00F532C7" w:rsidP="00F532C7">
      <w:pPr>
        <w:pStyle w:val="Titre1"/>
      </w:pPr>
      <w:bookmarkStart w:id="7" w:name="_Toc88059115"/>
      <w:r w:rsidRPr="00F532C7">
        <w:t xml:space="preserve">- </w:t>
      </w:r>
      <w:r w:rsidR="00073530">
        <w:t>MCE</w:t>
      </w:r>
      <w:r w:rsidRPr="00F532C7">
        <w:t xml:space="preserve"> </w:t>
      </w:r>
      <w:r>
        <w:t>-</w:t>
      </w:r>
      <w:bookmarkEnd w:id="7"/>
    </w:p>
    <w:p w14:paraId="0FC41452" w14:textId="77777777" w:rsidR="00147531" w:rsidRDefault="00147531" w:rsidP="00147531">
      <w:pPr>
        <w:rPr>
          <w:rFonts w:ascii="Cambria" w:hAnsi="Cambria" w:cstheme="majorBidi"/>
          <w:b/>
          <w:bCs/>
          <w:szCs w:val="26"/>
          <w:lang w:eastAsia="fr-FR"/>
        </w:rPr>
      </w:pPr>
    </w:p>
    <w:p w14:paraId="59F1772E" w14:textId="1F76126E" w:rsidR="00147531" w:rsidRPr="00BB580C" w:rsidRDefault="00147531" w:rsidP="00147531">
      <w:pPr>
        <w:pStyle w:val="Titre2"/>
        <w:rPr>
          <w:i/>
          <w:lang w:eastAsia="fr-FR"/>
        </w:rPr>
      </w:pPr>
      <w:bookmarkStart w:id="8" w:name="_Toc88059116"/>
      <w:r w:rsidRPr="00BB580C">
        <w:rPr>
          <w:lang w:eastAsia="fr-FR"/>
        </w:rPr>
        <w:t>Exposition « Escales en Polynésie » de Titouan Lamazou au Musée de Tahiti et des Îles du 26 novembre 2021 au 04 juin 2022</w:t>
      </w:r>
      <w:bookmarkEnd w:id="8"/>
    </w:p>
    <w:p w14:paraId="2145033B" w14:textId="77777777" w:rsidR="00BB580C" w:rsidRPr="00BB580C" w:rsidRDefault="00BB580C" w:rsidP="00BB580C">
      <w:pPr>
        <w:spacing w:before="100" w:beforeAutospacing="1" w:after="100" w:afterAutospacing="1"/>
        <w:jc w:val="both"/>
        <w:rPr>
          <w:rFonts w:ascii="Cambria" w:hAnsi="Cambria"/>
          <w:lang w:eastAsia="fr-FR"/>
        </w:rPr>
      </w:pPr>
      <w:r w:rsidRPr="00BB580C">
        <w:rPr>
          <w:rFonts w:ascii="Cambria" w:hAnsi="Cambria"/>
          <w:lang w:eastAsia="fr-FR"/>
        </w:rPr>
        <w:t xml:space="preserve">Le Musée de Tahiti accueillera l’exposition « Escales en Polynésie » de Titouan Lamazou présentée du 26 novembre 2021 au 4 juin 2022. </w:t>
      </w:r>
    </w:p>
    <w:p w14:paraId="6F99A4E7" w14:textId="789D81C5" w:rsidR="00BB580C" w:rsidRPr="00BB580C" w:rsidRDefault="00BB580C" w:rsidP="00BB580C">
      <w:pPr>
        <w:spacing w:before="100" w:beforeAutospacing="1" w:after="100" w:afterAutospacing="1"/>
        <w:jc w:val="both"/>
        <w:rPr>
          <w:rFonts w:ascii="Cambria" w:hAnsi="Cambria"/>
          <w:lang w:eastAsia="fr-FR"/>
        </w:rPr>
      </w:pPr>
      <w:r w:rsidRPr="00BB580C">
        <w:rPr>
          <w:rFonts w:ascii="Cambria" w:hAnsi="Cambria"/>
          <w:lang w:eastAsia="fr-FR"/>
        </w:rPr>
        <w:t xml:space="preserve">Artiste voyageur, Titouan Lamazou présentera les œuvres qu’il a réalisées ces dernières années au travers des 5 archipels de la Polynésie française. Près de 200 œuvres, peintures et esquisses, prolongées par les textes de sa fille, Zoé Lamazou, retraceront </w:t>
      </w:r>
      <w:r>
        <w:rPr>
          <w:rFonts w:ascii="Cambria" w:hAnsi="Cambria"/>
          <w:lang w:eastAsia="fr-FR"/>
        </w:rPr>
        <w:t>c</w:t>
      </w:r>
      <w:r w:rsidRPr="00BB580C">
        <w:rPr>
          <w:rFonts w:ascii="Cambria" w:hAnsi="Cambria"/>
          <w:lang w:eastAsia="fr-FR"/>
        </w:rPr>
        <w:t xml:space="preserve">es derniers séjours dans nos eaux. Paysages, faunes et flores, mais également portraits d’anonymes ou d’écrivains, se déploieront ainsi par archipel, donnant aux visiteurs l’opportunité de découvrir l’univers de l’artiste mais également la diversité des paysages de nos îles. </w:t>
      </w:r>
    </w:p>
    <w:p w14:paraId="74583424" w14:textId="77777777" w:rsidR="00BB580C" w:rsidRPr="00BB580C" w:rsidRDefault="00BB580C" w:rsidP="00BB580C">
      <w:pPr>
        <w:spacing w:before="100" w:beforeAutospacing="1" w:after="100" w:afterAutospacing="1"/>
        <w:jc w:val="both"/>
        <w:rPr>
          <w:rFonts w:ascii="Cambria" w:hAnsi="Cambria"/>
          <w:lang w:eastAsia="fr-FR"/>
        </w:rPr>
      </w:pPr>
      <w:r w:rsidRPr="00BB580C">
        <w:rPr>
          <w:rFonts w:ascii="Cambria" w:hAnsi="Cambria"/>
          <w:lang w:eastAsia="fr-FR"/>
        </w:rPr>
        <w:t xml:space="preserve">L’exposition est conçue comme un hymne à la beauté de nos îles, mais elle est aussi l’occasion de rappeler leur fragilité et leurs spécificités. Au-delà de l’approche plastique du peintre, l’enjeu est également de proposer une exposition grand public à vocation pédagogique. Aussi, en marge de l’exposition, plusieurs visites guidées seront proposées, ainsi qu’un programme dédié aux scolaires, avec notamment l’organisation d’un concours de dessins ouvert aux cycles 3 et la réalisation d’un livret pédagogique. </w:t>
      </w:r>
    </w:p>
    <w:p w14:paraId="76D53D97" w14:textId="4A203F07" w:rsidR="00BB580C" w:rsidRPr="00BB580C" w:rsidRDefault="00BB580C" w:rsidP="00BB580C">
      <w:pPr>
        <w:spacing w:before="100" w:beforeAutospacing="1" w:after="100" w:afterAutospacing="1"/>
        <w:jc w:val="both"/>
        <w:rPr>
          <w:rFonts w:ascii="Cambria" w:hAnsi="Cambria"/>
          <w:lang w:eastAsia="fr-FR"/>
        </w:rPr>
      </w:pPr>
      <w:r w:rsidRPr="00BB580C">
        <w:rPr>
          <w:rFonts w:ascii="Cambria" w:hAnsi="Cambria"/>
          <w:lang w:eastAsia="fr-FR"/>
        </w:rPr>
        <w:t xml:space="preserve">L’artiste a réalisé une série de produits dérivés de son travail, et proposera notamment des lithographies en série limitée en exclusivité à la boutique du Musée, ainsi que son ouvrage </w:t>
      </w:r>
      <w:r>
        <w:rPr>
          <w:rFonts w:ascii="Cambria" w:hAnsi="Cambria"/>
          <w:lang w:eastAsia="fr-FR"/>
        </w:rPr>
        <w:t>« </w:t>
      </w:r>
      <w:r w:rsidRPr="00BB580C">
        <w:rPr>
          <w:rFonts w:ascii="Cambria" w:hAnsi="Cambria"/>
          <w:lang w:eastAsia="fr-FR"/>
        </w:rPr>
        <w:t>Escales en Polynésie</w:t>
      </w:r>
      <w:r>
        <w:rPr>
          <w:rFonts w:ascii="Cambria" w:hAnsi="Cambria"/>
          <w:lang w:eastAsia="fr-FR"/>
        </w:rPr>
        <w:t> »</w:t>
      </w:r>
      <w:r w:rsidRPr="00BB580C">
        <w:rPr>
          <w:rFonts w:ascii="Cambria" w:hAnsi="Cambria"/>
          <w:lang w:eastAsia="fr-FR"/>
        </w:rPr>
        <w:t xml:space="preserve"> nouvellement édité. </w:t>
      </w:r>
    </w:p>
    <w:p w14:paraId="0A1A7838" w14:textId="3B872AC6" w:rsidR="00147531" w:rsidRDefault="00BB580C" w:rsidP="00335BEC">
      <w:pPr>
        <w:spacing w:before="100" w:beforeAutospacing="1" w:after="100" w:afterAutospacing="1"/>
        <w:jc w:val="both"/>
        <w:rPr>
          <w:rFonts w:ascii="Cambria" w:hAnsi="Cambria"/>
          <w:lang w:eastAsia="fr-FR"/>
        </w:rPr>
      </w:pPr>
      <w:r w:rsidRPr="00BB580C">
        <w:rPr>
          <w:rFonts w:ascii="Cambria" w:hAnsi="Cambria"/>
          <w:lang w:eastAsia="fr-FR"/>
        </w:rPr>
        <w:t xml:space="preserve">L’ouverture au public de l’exposition est prévue le vendredi 26 novembre à 9h. Le programme détaillé du programme des visites guidées et rencontres avec l’artiste sera disponible sur le site du musée </w:t>
      </w:r>
      <w:hyperlink r:id="rId9" w:history="1">
        <w:r w:rsidRPr="00BB580C">
          <w:rPr>
            <w:rStyle w:val="Lienhypertexte"/>
            <w:rFonts w:ascii="Cambria" w:hAnsi="Cambria"/>
            <w:lang w:eastAsia="fr-FR"/>
          </w:rPr>
          <w:t>www.museetahiti.pf</w:t>
        </w:r>
      </w:hyperlink>
      <w:r w:rsidR="00C57132">
        <w:rPr>
          <w:rFonts w:ascii="Cambria" w:hAnsi="Cambria"/>
          <w:lang w:eastAsia="fr-FR"/>
        </w:rPr>
        <w:t>.</w:t>
      </w:r>
    </w:p>
    <w:p w14:paraId="4B80D495" w14:textId="77777777" w:rsidR="00AC5B52" w:rsidRDefault="00AC5B52" w:rsidP="00335BEC">
      <w:pPr>
        <w:spacing w:before="100" w:beforeAutospacing="1" w:after="100" w:afterAutospacing="1"/>
        <w:jc w:val="both"/>
        <w:rPr>
          <w:rFonts w:ascii="Cambria" w:hAnsi="Cambria"/>
          <w:lang w:eastAsia="fr-FR"/>
        </w:rPr>
      </w:pPr>
    </w:p>
    <w:p w14:paraId="55D0AA90" w14:textId="50BDDBDE" w:rsidR="00BB580C" w:rsidRDefault="00BB580C" w:rsidP="00147531">
      <w:pPr>
        <w:pStyle w:val="Titre2"/>
        <w:rPr>
          <w:lang w:eastAsia="fr-FR"/>
        </w:rPr>
      </w:pPr>
      <w:bookmarkStart w:id="9" w:name="_Toc88059117"/>
      <w:r w:rsidRPr="00BB580C">
        <w:rPr>
          <w:lang w:eastAsia="fr-FR"/>
        </w:rPr>
        <w:t>Subventions en faveur de 3 associations culturelles</w:t>
      </w:r>
      <w:bookmarkEnd w:id="9"/>
    </w:p>
    <w:p w14:paraId="1EA8B5BB" w14:textId="77777777" w:rsidR="00147531" w:rsidRPr="00147531" w:rsidRDefault="00147531" w:rsidP="00147531">
      <w:pPr>
        <w:rPr>
          <w:lang w:eastAsia="fr-FR"/>
        </w:rPr>
      </w:pPr>
    </w:p>
    <w:p w14:paraId="6DD09991" w14:textId="31EB8DDA" w:rsidR="00331E05" w:rsidRDefault="00331E05" w:rsidP="004A3805">
      <w:pPr>
        <w:jc w:val="both"/>
        <w:rPr>
          <w:rFonts w:ascii="Cambria" w:hAnsi="Cambria"/>
          <w:lang w:eastAsia="fr-FR"/>
        </w:rPr>
      </w:pPr>
      <w:r w:rsidRPr="004A3805">
        <w:rPr>
          <w:rFonts w:ascii="Cambria" w:hAnsi="Cambria"/>
          <w:lang w:eastAsia="fr-FR"/>
        </w:rPr>
        <w:t xml:space="preserve">Sur proposition du ministre de la Culture, de l’environnement en charge de la jeunesse et des sports et de l’artisanat, le Conseil des ministres </w:t>
      </w:r>
      <w:r w:rsidR="003C260A" w:rsidRPr="003C260A">
        <w:rPr>
          <w:rFonts w:ascii="Cambria" w:hAnsi="Cambria"/>
          <w:lang w:eastAsia="fr-FR"/>
        </w:rPr>
        <w:t>a adopté l'octroi de subventions pour un montant total de</w:t>
      </w:r>
      <w:r w:rsidR="003C260A" w:rsidRPr="003C260A">
        <w:rPr>
          <w:rFonts w:ascii="Cambria" w:hAnsi="Cambria"/>
          <w:b/>
          <w:lang w:eastAsia="fr-FR"/>
        </w:rPr>
        <w:t xml:space="preserve"> </w:t>
      </w:r>
      <w:r w:rsidR="003C260A" w:rsidRPr="003C260A">
        <w:rPr>
          <w:rFonts w:ascii="Cambria" w:hAnsi="Cambria"/>
          <w:bCs/>
          <w:lang w:eastAsia="fr-FR"/>
        </w:rPr>
        <w:t>940 000 F</w:t>
      </w:r>
      <w:r w:rsidR="00DF268A">
        <w:rPr>
          <w:rFonts w:ascii="Cambria" w:hAnsi="Cambria"/>
          <w:bCs/>
          <w:lang w:eastAsia="fr-FR"/>
        </w:rPr>
        <w:t>cfp</w:t>
      </w:r>
      <w:r w:rsidR="003C260A" w:rsidRPr="003C260A">
        <w:rPr>
          <w:rFonts w:ascii="Cambria" w:hAnsi="Cambria"/>
          <w:b/>
          <w:lang w:eastAsia="fr-FR"/>
        </w:rPr>
        <w:t xml:space="preserve"> </w:t>
      </w:r>
      <w:r w:rsidR="003C260A" w:rsidRPr="003C260A">
        <w:rPr>
          <w:rFonts w:ascii="Cambria" w:hAnsi="Cambria"/>
          <w:lang w:eastAsia="fr-FR"/>
        </w:rPr>
        <w:t>en faveur de 3 associations culturelles</w:t>
      </w:r>
      <w:r w:rsidR="00C57132">
        <w:rPr>
          <w:rFonts w:ascii="Cambria" w:hAnsi="Cambria"/>
          <w:lang w:eastAsia="fr-FR"/>
        </w:rPr>
        <w:t>,</w:t>
      </w:r>
      <w:r w:rsidR="003C260A">
        <w:rPr>
          <w:rFonts w:ascii="Cambria" w:hAnsi="Cambria"/>
          <w:lang w:eastAsia="fr-FR"/>
        </w:rPr>
        <w:t> </w:t>
      </w:r>
      <w:r w:rsidR="003C260A" w:rsidRPr="003C260A">
        <w:rPr>
          <w:rFonts w:ascii="Cambria" w:hAnsi="Cambria"/>
          <w:lang w:eastAsia="fr-FR"/>
        </w:rPr>
        <w:t xml:space="preserve">après avis du comité d’attribution des aides financières en matière de culture et de patrimoine de la Polynésie française sur la base de critères relatifs notamment à la pertinence culturelle et patrimoniale du projet, sa qualité et sa valeur artistique et culturelle, voire son caractère innovant, l’impact et les retombées potentielles pour le Pays, la nature des publics touchés et les actions en faveur de l’éco labellisation de l’évènement ou de l’action </w:t>
      </w:r>
      <w:r w:rsidR="003C260A" w:rsidRPr="003C260A">
        <w:rPr>
          <w:rFonts w:ascii="Cambria" w:hAnsi="Cambria"/>
          <w:b/>
          <w:lang w:eastAsia="fr-FR"/>
        </w:rPr>
        <w:t xml:space="preserve">: </w:t>
      </w:r>
      <w:r w:rsidR="003C260A" w:rsidRPr="003C260A">
        <w:rPr>
          <w:rFonts w:ascii="Cambria" w:hAnsi="Cambria"/>
          <w:lang w:eastAsia="fr-FR"/>
        </w:rPr>
        <w:t xml:space="preserve">  </w:t>
      </w:r>
    </w:p>
    <w:p w14:paraId="1899BE0F" w14:textId="77777777" w:rsidR="003C260A" w:rsidRDefault="003C260A" w:rsidP="004A3805">
      <w:pPr>
        <w:jc w:val="both"/>
        <w:rPr>
          <w:rFonts w:ascii="Cambria" w:hAnsi="Cambria"/>
          <w:lang w:eastAsia="fr-FR"/>
        </w:rPr>
      </w:pPr>
    </w:p>
    <w:p w14:paraId="55CAAACD" w14:textId="5D1CF3C1" w:rsidR="003C260A" w:rsidRPr="003C260A" w:rsidRDefault="003C260A" w:rsidP="003C260A">
      <w:pPr>
        <w:pStyle w:val="Paragraphedeliste"/>
        <w:numPr>
          <w:ilvl w:val="0"/>
          <w:numId w:val="35"/>
        </w:numPr>
        <w:jc w:val="both"/>
        <w:rPr>
          <w:rFonts w:ascii="Cambria" w:hAnsi="Cambria"/>
          <w:lang w:eastAsia="fr-FR"/>
        </w:rPr>
      </w:pPr>
      <w:r w:rsidRPr="003C260A">
        <w:rPr>
          <w:rFonts w:ascii="Cambria" w:hAnsi="Cambria"/>
          <w:lang w:eastAsia="fr-FR"/>
        </w:rPr>
        <w:t>A</w:t>
      </w:r>
      <w:r>
        <w:rPr>
          <w:rFonts w:ascii="Cambria" w:hAnsi="Cambria"/>
          <w:lang w:eastAsia="fr-FR"/>
        </w:rPr>
        <w:t>ssociation</w:t>
      </w:r>
      <w:r w:rsidRPr="003C260A">
        <w:rPr>
          <w:rFonts w:ascii="Cambria" w:hAnsi="Cambria"/>
          <w:lang w:eastAsia="fr-FR"/>
        </w:rPr>
        <w:t xml:space="preserve"> « </w:t>
      </w:r>
      <w:proofErr w:type="spellStart"/>
      <w:r w:rsidRPr="003C260A">
        <w:rPr>
          <w:rFonts w:ascii="Cambria" w:hAnsi="Cambria"/>
          <w:lang w:eastAsia="fr-FR"/>
        </w:rPr>
        <w:t>Patutiki</w:t>
      </w:r>
      <w:proofErr w:type="spellEnd"/>
      <w:r w:rsidRPr="003C260A">
        <w:rPr>
          <w:rFonts w:ascii="Cambria" w:hAnsi="Cambria"/>
          <w:lang w:eastAsia="fr-FR"/>
        </w:rPr>
        <w:t xml:space="preserve"> » pour financer les frais d'impression des supports de cours relatifs au projet axé sur la lecture efficiente, au titre de l'année 2021</w:t>
      </w:r>
    </w:p>
    <w:p w14:paraId="28D0F65A" w14:textId="253BD5C5" w:rsidR="003C260A" w:rsidRPr="003C260A" w:rsidRDefault="003C260A" w:rsidP="003C260A">
      <w:pPr>
        <w:pStyle w:val="Paragraphedeliste"/>
        <w:numPr>
          <w:ilvl w:val="0"/>
          <w:numId w:val="35"/>
        </w:numPr>
        <w:jc w:val="both"/>
        <w:rPr>
          <w:rFonts w:ascii="Cambria" w:hAnsi="Cambria"/>
          <w:lang w:eastAsia="fr-FR"/>
        </w:rPr>
      </w:pPr>
      <w:r w:rsidRPr="003C260A">
        <w:rPr>
          <w:rFonts w:ascii="Cambria" w:hAnsi="Cambria"/>
          <w:lang w:eastAsia="fr-FR"/>
        </w:rPr>
        <w:t>A</w:t>
      </w:r>
      <w:r>
        <w:rPr>
          <w:rFonts w:ascii="Cambria" w:hAnsi="Cambria"/>
          <w:lang w:eastAsia="fr-FR"/>
        </w:rPr>
        <w:t>ssociation</w:t>
      </w:r>
      <w:r w:rsidRPr="003C260A">
        <w:rPr>
          <w:rFonts w:ascii="Cambria" w:hAnsi="Cambria"/>
          <w:lang w:eastAsia="fr-FR"/>
        </w:rPr>
        <w:t xml:space="preserve"> « A nui Taputapuatea » pour financer les frais d'impression des supports de cours relatifs au projet axé sur la lecture efficiente, au titre de l'année 2021</w:t>
      </w:r>
    </w:p>
    <w:p w14:paraId="477601FA" w14:textId="2E197400" w:rsidR="003C260A" w:rsidRDefault="003C260A" w:rsidP="003C260A">
      <w:pPr>
        <w:pStyle w:val="Paragraphedeliste"/>
        <w:numPr>
          <w:ilvl w:val="0"/>
          <w:numId w:val="35"/>
        </w:numPr>
        <w:jc w:val="both"/>
        <w:rPr>
          <w:rFonts w:ascii="Cambria" w:hAnsi="Cambria"/>
          <w:lang w:eastAsia="fr-FR"/>
        </w:rPr>
      </w:pPr>
      <w:r w:rsidRPr="003C260A">
        <w:rPr>
          <w:rFonts w:ascii="Cambria" w:hAnsi="Cambria"/>
          <w:lang w:eastAsia="fr-FR"/>
        </w:rPr>
        <w:t>A</w:t>
      </w:r>
      <w:r>
        <w:rPr>
          <w:rFonts w:ascii="Cambria" w:hAnsi="Cambria"/>
          <w:lang w:eastAsia="fr-FR"/>
        </w:rPr>
        <w:t>ssociation</w:t>
      </w:r>
      <w:r w:rsidRPr="003C260A">
        <w:rPr>
          <w:rFonts w:ascii="Cambria" w:hAnsi="Cambria"/>
          <w:lang w:eastAsia="fr-FR"/>
        </w:rPr>
        <w:t xml:space="preserve"> « Te </w:t>
      </w:r>
      <w:proofErr w:type="spellStart"/>
      <w:r w:rsidRPr="003C260A">
        <w:rPr>
          <w:rFonts w:ascii="Cambria" w:hAnsi="Cambria"/>
          <w:lang w:eastAsia="fr-FR"/>
        </w:rPr>
        <w:t>ui</w:t>
      </w:r>
      <w:proofErr w:type="spellEnd"/>
      <w:r w:rsidRPr="003C260A">
        <w:rPr>
          <w:rFonts w:ascii="Cambria" w:hAnsi="Cambria"/>
          <w:lang w:eastAsia="fr-FR"/>
        </w:rPr>
        <w:t xml:space="preserve"> Api Te Ana </w:t>
      </w:r>
      <w:proofErr w:type="spellStart"/>
      <w:r w:rsidRPr="003C260A">
        <w:rPr>
          <w:rFonts w:ascii="Cambria" w:hAnsi="Cambria"/>
          <w:lang w:eastAsia="fr-FR"/>
        </w:rPr>
        <w:t>Parau</w:t>
      </w:r>
      <w:proofErr w:type="spellEnd"/>
      <w:r w:rsidRPr="003C260A">
        <w:rPr>
          <w:rFonts w:ascii="Cambria" w:hAnsi="Cambria"/>
          <w:lang w:eastAsia="fr-FR"/>
        </w:rPr>
        <w:t xml:space="preserve"> » pour financer l'acquisition d'</w:t>
      </w:r>
      <w:proofErr w:type="spellStart"/>
      <w:r w:rsidRPr="003C260A">
        <w:rPr>
          <w:rFonts w:ascii="Cambria" w:hAnsi="Cambria"/>
          <w:lang w:eastAsia="fr-FR"/>
        </w:rPr>
        <w:t>ukulele</w:t>
      </w:r>
      <w:proofErr w:type="spellEnd"/>
      <w:r w:rsidRPr="003C260A">
        <w:rPr>
          <w:rFonts w:ascii="Cambria" w:hAnsi="Cambria"/>
          <w:lang w:eastAsia="fr-FR"/>
        </w:rPr>
        <w:t>, dans le cadre du projet de cours de musique traditionnelle, au titre de l'année 2021.</w:t>
      </w:r>
    </w:p>
    <w:p w14:paraId="5F9155C9" w14:textId="6594FB0D" w:rsidR="00AC5B52" w:rsidRDefault="00AC5B52" w:rsidP="00A17C6A">
      <w:pPr>
        <w:jc w:val="both"/>
        <w:rPr>
          <w:rFonts w:ascii="Cambria" w:hAnsi="Cambria"/>
          <w:lang w:eastAsia="fr-FR"/>
        </w:rPr>
      </w:pPr>
    </w:p>
    <w:p w14:paraId="1F70054E" w14:textId="77777777" w:rsidR="00AC5B52" w:rsidRDefault="00AC5B52" w:rsidP="00A17C6A">
      <w:pPr>
        <w:jc w:val="both"/>
        <w:rPr>
          <w:rFonts w:ascii="Cambria" w:hAnsi="Cambria"/>
          <w:lang w:eastAsia="fr-FR"/>
        </w:rPr>
      </w:pPr>
    </w:p>
    <w:p w14:paraId="26FFA66B" w14:textId="089DF054" w:rsidR="00A17C6A" w:rsidRDefault="008F7988" w:rsidP="00A17C6A">
      <w:pPr>
        <w:pStyle w:val="Titre2"/>
        <w:rPr>
          <w:lang w:eastAsia="fr-FR"/>
        </w:rPr>
      </w:pPr>
      <w:bookmarkStart w:id="10" w:name="_Toc88059118"/>
      <w:bookmarkStart w:id="11" w:name="_Hlk88044199"/>
      <w:r>
        <w:rPr>
          <w:lang w:eastAsia="fr-FR"/>
        </w:rPr>
        <w:t>Modification de la nomenclature des Installations Classées pour la Protection de l’Environnement (ICPE) du code de l’environnement</w:t>
      </w:r>
      <w:bookmarkEnd w:id="10"/>
    </w:p>
    <w:p w14:paraId="4544CBC4" w14:textId="7B49F4F8" w:rsidR="00A17C6A" w:rsidRDefault="00A17C6A" w:rsidP="00A17C6A">
      <w:pPr>
        <w:rPr>
          <w:lang w:eastAsia="fr-FR"/>
        </w:rPr>
      </w:pPr>
    </w:p>
    <w:p w14:paraId="5509FC00" w14:textId="710DAA38" w:rsidR="008F7988" w:rsidRDefault="008F7988" w:rsidP="008F7988">
      <w:pPr>
        <w:jc w:val="both"/>
        <w:rPr>
          <w:rFonts w:ascii="Cambria" w:hAnsi="Cambria"/>
          <w:lang w:eastAsia="fr-FR"/>
        </w:rPr>
      </w:pPr>
      <w:r w:rsidRPr="008F7988">
        <w:rPr>
          <w:rFonts w:ascii="Cambria" w:hAnsi="Cambria"/>
          <w:lang w:eastAsia="fr-FR"/>
        </w:rPr>
        <w:t>Le conseil des ministres a validé la modification de certains seuils de la nomenclature des Installations Classées pour la Protection de l’Environnement (ICPE) du code de l’environnement.</w:t>
      </w:r>
    </w:p>
    <w:p w14:paraId="344811A4" w14:textId="77777777" w:rsidR="008F7988" w:rsidRPr="008F7988" w:rsidRDefault="008F7988" w:rsidP="008F7988">
      <w:pPr>
        <w:jc w:val="both"/>
        <w:rPr>
          <w:rFonts w:ascii="Cambria" w:hAnsi="Cambria"/>
          <w:lang w:eastAsia="fr-FR"/>
        </w:rPr>
      </w:pPr>
    </w:p>
    <w:p w14:paraId="7B157366" w14:textId="77777777" w:rsidR="008F7988" w:rsidRPr="008F7988" w:rsidRDefault="008F7988" w:rsidP="008F7988">
      <w:pPr>
        <w:jc w:val="both"/>
        <w:rPr>
          <w:rFonts w:ascii="Cambria" w:hAnsi="Cambria"/>
          <w:lang w:eastAsia="fr-FR"/>
        </w:rPr>
      </w:pPr>
      <w:r w:rsidRPr="008F7988">
        <w:rPr>
          <w:rFonts w:ascii="Cambria" w:hAnsi="Cambria"/>
          <w:lang w:eastAsia="fr-FR"/>
        </w:rPr>
        <w:t>Cela concerne les rubriques suivantes :</w:t>
      </w:r>
    </w:p>
    <w:p w14:paraId="00F90360" w14:textId="77777777" w:rsidR="008F7988" w:rsidRP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t>1520 - Dépôts d’asphalte, goudrons, brais et matières bitumineuses, houille, coke, charbon de bois ;</w:t>
      </w:r>
    </w:p>
    <w:p w14:paraId="6C031BF7" w14:textId="77777777" w:rsidR="008F7988" w:rsidRP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t>2275 - Fabrication de levure ;</w:t>
      </w:r>
    </w:p>
    <w:p w14:paraId="4E54C55F" w14:textId="77777777" w:rsidR="008F7988" w:rsidRP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t>2340 - Blanchisseries, laveries de linge à l’exclusion du nettoyage à sec visé par la rubrique 2345 ;</w:t>
      </w:r>
    </w:p>
    <w:p w14:paraId="2524AF72" w14:textId="77777777" w:rsidR="008F7988" w:rsidRP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t>2710 - Déchetteries aménagées pour la collecte des encombrants, matériaux ou produits triés et apportés par le public ;</w:t>
      </w:r>
    </w:p>
    <w:p w14:paraId="0B6B6B67" w14:textId="77777777" w:rsidR="008F7988" w:rsidRP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t>2712 - Installation de stockage, dépollution, démontage, découpage ou broyage de véhicules hors d’usage ou de différents moyens de transport hors d’usage ;</w:t>
      </w:r>
    </w:p>
    <w:p w14:paraId="330410BB" w14:textId="77777777" w:rsidR="008F7988" w:rsidRP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t>2740 – Incinération de cadavres d’animaux ;</w:t>
      </w:r>
    </w:p>
    <w:p w14:paraId="3E02A642" w14:textId="4BD99E9D" w:rsidR="008F7988" w:rsidRDefault="008F7988" w:rsidP="008F7988">
      <w:pPr>
        <w:pStyle w:val="Paragraphedeliste"/>
        <w:numPr>
          <w:ilvl w:val="0"/>
          <w:numId w:val="44"/>
        </w:numPr>
        <w:jc w:val="both"/>
        <w:rPr>
          <w:rFonts w:ascii="Cambria" w:hAnsi="Cambria"/>
          <w:lang w:eastAsia="fr-FR"/>
        </w:rPr>
      </w:pPr>
      <w:r w:rsidRPr="008F7988">
        <w:rPr>
          <w:rFonts w:ascii="Cambria" w:hAnsi="Cambria"/>
          <w:lang w:eastAsia="fr-FR"/>
        </w:rPr>
        <w:lastRenderedPageBreak/>
        <w:t>2930 - Ateliers de réparation et d’entretien de véhicules et engins à moteur, y compris les activités de carrosserie et de tôlerie.</w:t>
      </w:r>
    </w:p>
    <w:p w14:paraId="76A6C54C" w14:textId="77777777" w:rsidR="008F7988" w:rsidRPr="008F7988" w:rsidRDefault="008F7988" w:rsidP="008F7988">
      <w:pPr>
        <w:jc w:val="both"/>
        <w:rPr>
          <w:rFonts w:ascii="Cambria" w:hAnsi="Cambria"/>
          <w:lang w:eastAsia="fr-FR"/>
        </w:rPr>
      </w:pPr>
    </w:p>
    <w:p w14:paraId="06B10108" w14:textId="77777777" w:rsidR="008F7988" w:rsidRPr="008F7988" w:rsidRDefault="008F7988" w:rsidP="008F7988">
      <w:pPr>
        <w:jc w:val="both"/>
        <w:rPr>
          <w:rFonts w:ascii="Cambria" w:hAnsi="Cambria"/>
          <w:lang w:eastAsia="fr-FR"/>
        </w:rPr>
      </w:pPr>
      <w:r w:rsidRPr="008F7988">
        <w:rPr>
          <w:rFonts w:ascii="Cambria" w:hAnsi="Cambria"/>
          <w:lang w:eastAsia="fr-FR"/>
        </w:rPr>
        <w:t>Les modifications ainsi validées permettent notamment de distinguer les petites structures des établissements plus importants, afin d’adapter le cadre juridique qui leur est applicable, sans toutefois diminuer l’évaluation des risques et la protection nécessaire de l’environnement.</w:t>
      </w:r>
    </w:p>
    <w:bookmarkEnd w:id="11"/>
    <w:p w14:paraId="594B1DBC" w14:textId="5692A9F5" w:rsidR="003C260A" w:rsidRDefault="003C260A" w:rsidP="00BE6F65">
      <w:pPr>
        <w:jc w:val="both"/>
        <w:rPr>
          <w:lang w:eastAsia="fr-FR"/>
        </w:rPr>
      </w:pPr>
    </w:p>
    <w:p w14:paraId="538F00A2" w14:textId="77777777" w:rsidR="00BE6F65" w:rsidRPr="003C260A" w:rsidRDefault="00BE6F65" w:rsidP="00BE6F65">
      <w:pPr>
        <w:jc w:val="both"/>
        <w:rPr>
          <w:rFonts w:ascii="Cambria" w:hAnsi="Cambria"/>
          <w:b/>
          <w:bCs/>
          <w:lang w:eastAsia="fr-FR"/>
        </w:rPr>
      </w:pPr>
    </w:p>
    <w:p w14:paraId="10704E5A" w14:textId="4B510F0F" w:rsidR="00DF6629" w:rsidRDefault="00DF6629" w:rsidP="00DF6629">
      <w:pPr>
        <w:pStyle w:val="Titre1"/>
      </w:pPr>
      <w:bookmarkStart w:id="12" w:name="_Toc88059119"/>
      <w:r w:rsidRPr="00F532C7">
        <w:t>- M</w:t>
      </w:r>
      <w:r>
        <w:t>SP-</w:t>
      </w:r>
      <w:bookmarkEnd w:id="12"/>
    </w:p>
    <w:p w14:paraId="7FBB8EE8" w14:textId="77777777" w:rsidR="00DF6629" w:rsidRPr="00DF6629" w:rsidRDefault="00DF6629" w:rsidP="00DF6629"/>
    <w:p w14:paraId="4907CD05" w14:textId="2D98B384" w:rsidR="00DF6629" w:rsidRDefault="003F7DFC" w:rsidP="00DF6629">
      <w:pPr>
        <w:pStyle w:val="Titre2"/>
        <w:rPr>
          <w:rFonts w:eastAsia="Times New Roman"/>
          <w:lang w:eastAsia="fr-FR"/>
        </w:rPr>
      </w:pPr>
      <w:bookmarkStart w:id="13" w:name="_Toc88059120"/>
      <w:r>
        <w:rPr>
          <w:rFonts w:eastAsia="Times New Roman"/>
          <w:lang w:eastAsia="fr-FR"/>
        </w:rPr>
        <w:t>Utilisation des tests antigéniques de dépistage rapide du Sars-CoV-2</w:t>
      </w:r>
      <w:bookmarkEnd w:id="13"/>
    </w:p>
    <w:p w14:paraId="6296641D" w14:textId="77777777" w:rsidR="00C9090D" w:rsidRPr="00C9090D" w:rsidRDefault="00C9090D" w:rsidP="00C9090D">
      <w:pPr>
        <w:spacing w:before="100" w:beforeAutospacing="1" w:after="100" w:afterAutospacing="1"/>
        <w:jc w:val="both"/>
        <w:rPr>
          <w:rFonts w:ascii="Cambria" w:hAnsi="Cambria"/>
          <w:lang w:eastAsia="fr-FR"/>
        </w:rPr>
      </w:pPr>
      <w:r w:rsidRPr="00C9090D">
        <w:rPr>
          <w:rFonts w:ascii="Cambria" w:hAnsi="Cambria"/>
          <w:lang w:eastAsia="fr-FR"/>
        </w:rPr>
        <w:t>La réalisation des tests antigéniques de dépistage rapide du Sars-CoV-2 par des professionnels de santé, hors laboratoire d’analyses de biologie médicale permettant un rendu de résultat en 15 minutes après le prélèvement nasopharyngé était réservé au dépistage de la maladie et accessoirement pour les déplacements à l’international ou vers les îles sur présentation d’un billet d’avion.</w:t>
      </w:r>
    </w:p>
    <w:p w14:paraId="165E221F" w14:textId="77777777" w:rsidR="00C9090D" w:rsidRDefault="00C9090D" w:rsidP="00C9090D">
      <w:pPr>
        <w:spacing w:before="100" w:beforeAutospacing="1" w:after="100" w:afterAutospacing="1"/>
        <w:jc w:val="both"/>
        <w:rPr>
          <w:rFonts w:ascii="Cambria" w:hAnsi="Cambria"/>
          <w:lang w:eastAsia="fr-FR"/>
        </w:rPr>
      </w:pPr>
      <w:r w:rsidRPr="00C9090D">
        <w:rPr>
          <w:rFonts w:ascii="Cambria" w:hAnsi="Cambria"/>
          <w:lang w:eastAsia="fr-FR"/>
        </w:rPr>
        <w:t xml:space="preserve">La mise en place du passe-sanitaire, destiné à favoriser la réouverture progressive de certaines activités économiques, sociales et culturelles, nécessite l’instauration de mesures facilitant l’obtention de ce document. </w:t>
      </w:r>
    </w:p>
    <w:p w14:paraId="7223DBD6" w14:textId="77777777" w:rsidR="00C9090D" w:rsidRDefault="00C9090D" w:rsidP="00C9090D">
      <w:pPr>
        <w:spacing w:before="100" w:beforeAutospacing="1" w:after="100" w:afterAutospacing="1"/>
        <w:jc w:val="both"/>
        <w:rPr>
          <w:rFonts w:ascii="Cambria" w:hAnsi="Cambria"/>
          <w:lang w:eastAsia="fr-FR"/>
        </w:rPr>
      </w:pPr>
      <w:r w:rsidRPr="00C9090D">
        <w:rPr>
          <w:rFonts w:ascii="Cambria" w:hAnsi="Cambria"/>
          <w:lang w:eastAsia="fr-FR"/>
        </w:rPr>
        <w:t xml:space="preserve">Le gouvernement a acté ce jour la possibilité pour certains acteurs de santé, en particulier, les laboratoires de biologie médicales, les pharmacies et les structures de santé publique, la possibilité de pratiquer des tests de dépistage, en vue d’obtenir un passe sanitaire pour les personnes n’étant pas vaccinées ou ne disposant pas d’un certificat de rétablissement à la suite d’une contamination par la covid-19. </w:t>
      </w:r>
    </w:p>
    <w:p w14:paraId="3E8B8D45" w14:textId="344FBD74" w:rsidR="00C9090D" w:rsidRPr="00C9090D" w:rsidRDefault="00C9090D" w:rsidP="00C9090D">
      <w:pPr>
        <w:spacing w:before="100" w:beforeAutospacing="1" w:after="100" w:afterAutospacing="1"/>
        <w:jc w:val="both"/>
        <w:rPr>
          <w:rFonts w:ascii="Cambria" w:hAnsi="Cambria"/>
          <w:lang w:eastAsia="fr-FR"/>
        </w:rPr>
      </w:pPr>
      <w:r w:rsidRPr="00C9090D">
        <w:rPr>
          <w:rFonts w:ascii="Cambria" w:hAnsi="Cambria"/>
          <w:lang w:eastAsia="fr-FR"/>
        </w:rPr>
        <w:t>Ces tests seront pratiqués à la demande des personnes, en fonction de leurs besoins et payants. Ils donneront lieu à l’édition du document exigible pour accéder dans certains lieux, établissements, évènements ou pour les déplacements, en application de la règlementation.</w:t>
      </w:r>
    </w:p>
    <w:p w14:paraId="0F9C6DF3" w14:textId="7F32BD0B" w:rsidR="00E32EBC" w:rsidRDefault="00E32EBC" w:rsidP="00E32EBC">
      <w:pPr>
        <w:spacing w:before="100" w:beforeAutospacing="1" w:after="100" w:afterAutospacing="1"/>
        <w:jc w:val="both"/>
        <w:rPr>
          <w:rFonts w:ascii="Cambria" w:hAnsi="Cambria"/>
          <w:lang w:eastAsia="fr-FR"/>
        </w:rPr>
      </w:pPr>
    </w:p>
    <w:p w14:paraId="73AC465F" w14:textId="357A2095" w:rsidR="00E32EBC" w:rsidRDefault="00E32EBC" w:rsidP="00E32EBC">
      <w:pPr>
        <w:pStyle w:val="Titre1"/>
      </w:pPr>
      <w:bookmarkStart w:id="14" w:name="_Toc88059121"/>
      <w:r w:rsidRPr="00F532C7">
        <w:t xml:space="preserve">- </w:t>
      </w:r>
      <w:r>
        <w:t>MFA</w:t>
      </w:r>
      <w:r w:rsidRPr="00F532C7">
        <w:t xml:space="preserve"> </w:t>
      </w:r>
      <w:r>
        <w:t>–</w:t>
      </w:r>
      <w:bookmarkEnd w:id="14"/>
    </w:p>
    <w:p w14:paraId="2940D34A" w14:textId="77777777" w:rsidR="00E32EBC" w:rsidRPr="00E32EBC" w:rsidRDefault="00E32EBC" w:rsidP="00E32EBC"/>
    <w:p w14:paraId="212221DF" w14:textId="3B15507A" w:rsidR="00E32EBC" w:rsidRDefault="00E32EBC" w:rsidP="00E32EBC">
      <w:pPr>
        <w:pStyle w:val="Titre2"/>
        <w:rPr>
          <w:rFonts w:eastAsia="Times New Roman"/>
          <w:lang w:eastAsia="fr-FR"/>
        </w:rPr>
      </w:pPr>
      <w:bookmarkStart w:id="15" w:name="_Toc88059122"/>
      <w:r>
        <w:rPr>
          <w:rFonts w:eastAsia="Times New Roman"/>
          <w:lang w:eastAsia="fr-FR"/>
        </w:rPr>
        <w:t>Formations des professionnels de l’action sociale</w:t>
      </w:r>
      <w:bookmarkEnd w:id="15"/>
    </w:p>
    <w:p w14:paraId="2A1B1CD7" w14:textId="77777777" w:rsidR="00E32EBC" w:rsidRDefault="00E32EBC" w:rsidP="00E32EBC">
      <w:pPr>
        <w:spacing w:before="100" w:beforeAutospacing="1" w:after="100" w:afterAutospacing="1"/>
        <w:jc w:val="both"/>
        <w:rPr>
          <w:rFonts w:ascii="Cambria" w:hAnsi="Cambria"/>
          <w:lang w:eastAsia="fr-FR"/>
        </w:rPr>
      </w:pPr>
      <w:r w:rsidRPr="00E32EBC">
        <w:rPr>
          <w:rFonts w:ascii="Cambria" w:hAnsi="Cambria"/>
          <w:lang w:eastAsia="fr-FR"/>
        </w:rPr>
        <w:t xml:space="preserve">En Polynésie française, la planification, l’organisation et le financement des formations diplômantes en travail social relèvent d’une compétence du Pays. De son côté, l’Etat veille à la régularité de délivrance des diplômes d’Etat relevant du secteur social. </w:t>
      </w:r>
    </w:p>
    <w:p w14:paraId="446F955E" w14:textId="77777777" w:rsidR="00E32EBC" w:rsidRDefault="00E32EBC" w:rsidP="00E32EBC">
      <w:pPr>
        <w:spacing w:before="100" w:beforeAutospacing="1" w:after="100" w:afterAutospacing="1"/>
        <w:jc w:val="both"/>
        <w:rPr>
          <w:rFonts w:ascii="Cambria" w:hAnsi="Cambria"/>
          <w:lang w:eastAsia="fr-FR"/>
        </w:rPr>
      </w:pPr>
      <w:r w:rsidRPr="00E32EBC">
        <w:rPr>
          <w:rFonts w:ascii="Cambria" w:hAnsi="Cambria"/>
          <w:lang w:eastAsia="fr-FR"/>
        </w:rPr>
        <w:t xml:space="preserve">Depuis plusieurs décennies, la formation des intervenants de terrain (travailleurs sociaux, bénévoles, etc.) a permis à l’action sociale polynésienne de se professionnaliser et d’offrir un soutien de meilleure qualité aux personnes vulnérables ou en difficulté. </w:t>
      </w:r>
    </w:p>
    <w:p w14:paraId="3D73B30B" w14:textId="37C67EDA" w:rsidR="00E32EBC" w:rsidRPr="00E32EBC" w:rsidRDefault="00E32EBC" w:rsidP="00E32EBC">
      <w:pPr>
        <w:spacing w:before="100" w:beforeAutospacing="1" w:after="100" w:afterAutospacing="1"/>
        <w:jc w:val="both"/>
        <w:rPr>
          <w:rFonts w:ascii="Cambria" w:hAnsi="Cambria"/>
          <w:lang w:eastAsia="fr-FR"/>
        </w:rPr>
      </w:pPr>
      <w:r w:rsidRPr="00E32EBC">
        <w:rPr>
          <w:rFonts w:ascii="Cambria" w:hAnsi="Cambria"/>
          <w:lang w:eastAsia="fr-FR"/>
        </w:rPr>
        <w:lastRenderedPageBreak/>
        <w:t>Mais le chemin à parcourir est encore long et la crise que traverse aujourd’hui notre pays vient nous rappeler l’importance de continuer à investir dans la montée en compétence des acteurs de l’action sociale qui sont au premier plan pour répondre aux problèmes sociaux.</w:t>
      </w:r>
      <w:r>
        <w:rPr>
          <w:rFonts w:ascii="Cambria" w:hAnsi="Cambria"/>
          <w:lang w:eastAsia="fr-FR"/>
        </w:rPr>
        <w:t xml:space="preserve"> </w:t>
      </w:r>
      <w:r w:rsidRPr="00E32EBC">
        <w:rPr>
          <w:rFonts w:ascii="Cambria" w:hAnsi="Cambria"/>
          <w:lang w:eastAsia="fr-FR"/>
        </w:rPr>
        <w:t xml:space="preserve">Dans les 10 ans à venir un professionnel sur cinq partira à la retraite dans ce secteur spécialisé. </w:t>
      </w:r>
    </w:p>
    <w:p w14:paraId="1B672C91" w14:textId="107A14E1" w:rsidR="00E32EBC" w:rsidRPr="00E32EBC" w:rsidRDefault="00E32EBC" w:rsidP="00E32EBC">
      <w:pPr>
        <w:spacing w:before="100" w:beforeAutospacing="1" w:after="100" w:afterAutospacing="1"/>
        <w:jc w:val="both"/>
        <w:rPr>
          <w:rFonts w:ascii="Cambria" w:hAnsi="Cambria"/>
          <w:lang w:eastAsia="fr-FR"/>
        </w:rPr>
      </w:pPr>
      <w:r w:rsidRPr="00E32EBC">
        <w:rPr>
          <w:rFonts w:ascii="Cambria" w:hAnsi="Cambria"/>
          <w:lang w:eastAsia="fr-FR"/>
        </w:rPr>
        <w:t>A cela, il faut également ajouter les besoins de formation des salariés qui occupent aujourd’hui des fonctions au sein des établissements socio-éducatifs et médico-sociaux financés par le Pays.</w:t>
      </w:r>
      <w:r>
        <w:rPr>
          <w:rFonts w:ascii="Cambria" w:hAnsi="Cambria"/>
          <w:lang w:eastAsia="fr-FR"/>
        </w:rPr>
        <w:t xml:space="preserve"> </w:t>
      </w:r>
      <w:r w:rsidRPr="00E32EBC">
        <w:rPr>
          <w:rFonts w:ascii="Cambria" w:hAnsi="Cambria"/>
          <w:lang w:eastAsia="fr-FR"/>
        </w:rPr>
        <w:t>Ces besoins s’expriment notamment au niveau des cadres de l’action sociale et des bas niveaux de qualification dans le secteur.</w:t>
      </w:r>
    </w:p>
    <w:p w14:paraId="17745FB0" w14:textId="73744365" w:rsidR="00E32EBC" w:rsidRPr="00E32EBC" w:rsidRDefault="00E32EBC" w:rsidP="00E32EBC">
      <w:pPr>
        <w:spacing w:before="100" w:beforeAutospacing="1" w:after="100" w:afterAutospacing="1"/>
        <w:jc w:val="both"/>
        <w:rPr>
          <w:rFonts w:ascii="Cambria" w:hAnsi="Cambria"/>
          <w:lang w:eastAsia="fr-FR"/>
        </w:rPr>
      </w:pPr>
      <w:r w:rsidRPr="00E32EBC">
        <w:rPr>
          <w:rFonts w:ascii="Cambria" w:hAnsi="Cambria"/>
          <w:lang w:eastAsia="fr-FR"/>
        </w:rPr>
        <w:t xml:space="preserve">Dans un contexte socio-économique en perpétuel changement où les problématiques d’ordre social se complexifient, la formation des travailleurs sociaux constitue un enjeu essentiel. Pour y répondre, le </w:t>
      </w:r>
      <w:r>
        <w:rPr>
          <w:rFonts w:ascii="Cambria" w:hAnsi="Cambria"/>
          <w:lang w:eastAsia="fr-FR"/>
        </w:rPr>
        <w:t>m</w:t>
      </w:r>
      <w:r w:rsidRPr="00E32EBC">
        <w:rPr>
          <w:rFonts w:ascii="Cambria" w:hAnsi="Cambria"/>
          <w:lang w:eastAsia="fr-FR"/>
        </w:rPr>
        <w:t xml:space="preserve">inistère de la </w:t>
      </w:r>
      <w:r>
        <w:rPr>
          <w:rFonts w:ascii="Cambria" w:hAnsi="Cambria"/>
          <w:lang w:eastAsia="fr-FR"/>
        </w:rPr>
        <w:t>F</w:t>
      </w:r>
      <w:r w:rsidRPr="00E32EBC">
        <w:rPr>
          <w:rFonts w:ascii="Cambria" w:hAnsi="Cambria"/>
          <w:lang w:eastAsia="fr-FR"/>
        </w:rPr>
        <w:t xml:space="preserve">amille, des affaires sociales, de la condition féminine, en charge de la lutte contre l’exclusion organisera au cours du premier semestre 2022 un grand séminaire sur les métiers du social où tous les partenaires concernés seront conviés. </w:t>
      </w:r>
    </w:p>
    <w:p w14:paraId="588B50EC" w14:textId="66BEBB43" w:rsidR="00E32EBC" w:rsidRDefault="00E32EBC" w:rsidP="00E32EBC">
      <w:pPr>
        <w:spacing w:before="100" w:beforeAutospacing="1" w:after="100" w:afterAutospacing="1"/>
        <w:jc w:val="both"/>
        <w:rPr>
          <w:rFonts w:ascii="Cambria" w:hAnsi="Cambria"/>
          <w:lang w:eastAsia="fr-FR"/>
        </w:rPr>
      </w:pPr>
      <w:r w:rsidRPr="00E32EBC">
        <w:rPr>
          <w:rFonts w:ascii="Cambria" w:hAnsi="Cambria"/>
          <w:lang w:eastAsia="fr-FR"/>
        </w:rPr>
        <w:t>Ce séminaire aura pour principal objectif d’évaluer les besoins du territoire dans ce domaine et de promouvoir les métiers du social auprès du grand public, notamment auprès de la jeunesse polynésienne.</w:t>
      </w:r>
    </w:p>
    <w:p w14:paraId="3E22F4D2" w14:textId="77777777" w:rsidR="00B678EB" w:rsidRPr="0033485E" w:rsidRDefault="00B678EB" w:rsidP="00E32EBC">
      <w:pPr>
        <w:spacing w:before="100" w:beforeAutospacing="1" w:after="100" w:afterAutospacing="1"/>
        <w:jc w:val="both"/>
        <w:rPr>
          <w:rFonts w:ascii="Cambria" w:hAnsi="Cambria"/>
          <w:lang w:eastAsia="fr-FR"/>
        </w:rPr>
      </w:pPr>
    </w:p>
    <w:p w14:paraId="6BAA1A6E" w14:textId="0FE807FF" w:rsidR="004E0E1A" w:rsidRPr="00CF60AA" w:rsidRDefault="004E0E1A" w:rsidP="003229A6">
      <w:pPr>
        <w:pStyle w:val="-LettreTexteGEDA"/>
        <w:ind w:firstLine="0"/>
        <w:jc w:val="center"/>
        <w:rPr>
          <w:rFonts w:ascii="Cambria" w:hAnsi="Cambria"/>
        </w:rPr>
      </w:pPr>
      <w:r w:rsidRPr="00DF3674">
        <w:rPr>
          <w:rFonts w:ascii="Cambria" w:hAnsi="Cambria"/>
          <w:noProof w:val="0"/>
          <w:szCs w:val="24"/>
        </w:rPr>
        <w:t>-o-o-o-o-o-</w:t>
      </w:r>
    </w:p>
    <w:sectPr w:rsidR="004E0E1A" w:rsidRPr="00CF60AA" w:rsidSect="008204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2713" w14:textId="77777777" w:rsidR="0095116C" w:rsidRDefault="0095116C" w:rsidP="000946F2">
      <w:r>
        <w:separator/>
      </w:r>
    </w:p>
  </w:endnote>
  <w:endnote w:type="continuationSeparator" w:id="0">
    <w:p w14:paraId="3C372CEE" w14:textId="77777777" w:rsidR="0095116C" w:rsidRDefault="0095116C"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4CC" w14:textId="77777777" w:rsidR="0095116C" w:rsidRDefault="0095116C" w:rsidP="000946F2">
      <w:r>
        <w:separator/>
      </w:r>
    </w:p>
  </w:footnote>
  <w:footnote w:type="continuationSeparator" w:id="0">
    <w:p w14:paraId="19684403" w14:textId="77777777" w:rsidR="0095116C" w:rsidRDefault="0095116C"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E5D"/>
    <w:multiLevelType w:val="hybridMultilevel"/>
    <w:tmpl w:val="5DC81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DD5491"/>
    <w:multiLevelType w:val="multilevel"/>
    <w:tmpl w:val="FF504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B3470"/>
    <w:multiLevelType w:val="multilevel"/>
    <w:tmpl w:val="ED2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2714F"/>
    <w:multiLevelType w:val="hybridMultilevel"/>
    <w:tmpl w:val="436612F4"/>
    <w:lvl w:ilvl="0" w:tplc="04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95F01E8"/>
    <w:multiLevelType w:val="multilevel"/>
    <w:tmpl w:val="895AB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53024E"/>
    <w:multiLevelType w:val="hybridMultilevel"/>
    <w:tmpl w:val="8CAC351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589"/>
        </w:tabs>
        <w:ind w:left="589" w:hanging="360"/>
      </w:p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15:restartNumberingAfterBreak="0">
    <w:nsid w:val="1C2740A7"/>
    <w:multiLevelType w:val="multilevel"/>
    <w:tmpl w:val="028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44CAA"/>
    <w:multiLevelType w:val="multilevel"/>
    <w:tmpl w:val="C11826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204E9C"/>
    <w:multiLevelType w:val="multilevel"/>
    <w:tmpl w:val="0F2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B7472"/>
    <w:multiLevelType w:val="multilevel"/>
    <w:tmpl w:val="21F4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6235D"/>
    <w:multiLevelType w:val="multilevel"/>
    <w:tmpl w:val="B81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3432C"/>
    <w:multiLevelType w:val="hybridMultilevel"/>
    <w:tmpl w:val="F7169994"/>
    <w:lvl w:ilvl="0" w:tplc="713A4380">
      <w:start w:val="1"/>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3" w15:restartNumberingAfterBreak="0">
    <w:nsid w:val="306E23F2"/>
    <w:multiLevelType w:val="multilevel"/>
    <w:tmpl w:val="6A8853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1C04755"/>
    <w:multiLevelType w:val="hybridMultilevel"/>
    <w:tmpl w:val="ABD8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E612EA"/>
    <w:multiLevelType w:val="hybridMultilevel"/>
    <w:tmpl w:val="7FAC4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252F0"/>
    <w:multiLevelType w:val="hybridMultilevel"/>
    <w:tmpl w:val="EBF01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8" w15:restartNumberingAfterBreak="0">
    <w:nsid w:val="35F12D8E"/>
    <w:multiLevelType w:val="hybridMultilevel"/>
    <w:tmpl w:val="FBC8D6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83203C3"/>
    <w:multiLevelType w:val="multilevel"/>
    <w:tmpl w:val="0A8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056D4"/>
    <w:multiLevelType w:val="multilevel"/>
    <w:tmpl w:val="73F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F77F4"/>
    <w:multiLevelType w:val="multilevel"/>
    <w:tmpl w:val="4FF869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6A43DCA"/>
    <w:multiLevelType w:val="multilevel"/>
    <w:tmpl w:val="4B6A9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07672ED"/>
    <w:multiLevelType w:val="multilevel"/>
    <w:tmpl w:val="90CC4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2A840F4"/>
    <w:multiLevelType w:val="multilevel"/>
    <w:tmpl w:val="0EE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930FD"/>
    <w:multiLevelType w:val="multilevel"/>
    <w:tmpl w:val="2A08D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AEC66B9"/>
    <w:multiLevelType w:val="hybridMultilevel"/>
    <w:tmpl w:val="B7167D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BA04E1F"/>
    <w:multiLevelType w:val="multilevel"/>
    <w:tmpl w:val="72C6A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835F1F"/>
    <w:multiLevelType w:val="hybridMultilevel"/>
    <w:tmpl w:val="0232818C"/>
    <w:lvl w:ilvl="0" w:tplc="20000005">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9" w15:restartNumberingAfterBreak="0">
    <w:nsid w:val="5E662865"/>
    <w:multiLevelType w:val="multilevel"/>
    <w:tmpl w:val="D0F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A6185"/>
    <w:multiLevelType w:val="hybridMultilevel"/>
    <w:tmpl w:val="A0E02028"/>
    <w:lvl w:ilvl="0" w:tplc="B03C8160">
      <w:numFmt w:val="bullet"/>
      <w:lvlText w:val="-"/>
      <w:lvlJc w:val="left"/>
      <w:pPr>
        <w:ind w:left="1080" w:hanging="360"/>
      </w:pPr>
      <w:rPr>
        <w:rFonts w:ascii="Cambria" w:eastAsia="Times New Roman" w:hAnsi="Cambria"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1" w15:restartNumberingAfterBreak="0">
    <w:nsid w:val="5EA82483"/>
    <w:multiLevelType w:val="hybridMultilevel"/>
    <w:tmpl w:val="A648A85C"/>
    <w:lvl w:ilvl="0" w:tplc="040C000B">
      <w:start w:val="1"/>
      <w:numFmt w:val="bullet"/>
      <w:lvlText w:val=""/>
      <w:lvlJc w:val="left"/>
      <w:pPr>
        <w:ind w:left="1635" w:hanging="360"/>
      </w:pPr>
      <w:rPr>
        <w:rFonts w:ascii="Wingdings" w:hAnsi="Wingdings" w:hint="default"/>
      </w:rPr>
    </w:lvl>
    <w:lvl w:ilvl="1" w:tplc="040C0003">
      <w:start w:val="1"/>
      <w:numFmt w:val="bullet"/>
      <w:lvlText w:val="o"/>
      <w:lvlJc w:val="left"/>
      <w:pPr>
        <w:ind w:left="2355" w:hanging="360"/>
      </w:pPr>
      <w:rPr>
        <w:rFonts w:ascii="Courier New" w:hAnsi="Courier New" w:cs="Courier New"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cs="Courier New"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cs="Courier New" w:hint="default"/>
      </w:rPr>
    </w:lvl>
    <w:lvl w:ilvl="8" w:tplc="040C0005">
      <w:start w:val="1"/>
      <w:numFmt w:val="bullet"/>
      <w:lvlText w:val=""/>
      <w:lvlJc w:val="left"/>
      <w:pPr>
        <w:ind w:left="7395" w:hanging="360"/>
      </w:pPr>
      <w:rPr>
        <w:rFonts w:ascii="Wingdings" w:hAnsi="Wingdings" w:hint="default"/>
      </w:rPr>
    </w:lvl>
  </w:abstractNum>
  <w:abstractNum w:abstractNumId="32" w15:restartNumberingAfterBreak="0">
    <w:nsid w:val="622A2588"/>
    <w:multiLevelType w:val="multilevel"/>
    <w:tmpl w:val="161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E09DA"/>
    <w:multiLevelType w:val="hybridMultilevel"/>
    <w:tmpl w:val="34B44582"/>
    <w:lvl w:ilvl="0" w:tplc="5E124F6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690B2657"/>
    <w:multiLevelType w:val="hybridMultilevel"/>
    <w:tmpl w:val="4180222E"/>
    <w:lvl w:ilvl="0" w:tplc="F9F8385A">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5" w15:restartNumberingAfterBreak="0">
    <w:nsid w:val="6D813084"/>
    <w:multiLevelType w:val="hybridMultilevel"/>
    <w:tmpl w:val="98F6BEBC"/>
    <w:lvl w:ilvl="0" w:tplc="5E124F6A">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70F10DA3"/>
    <w:multiLevelType w:val="multilevel"/>
    <w:tmpl w:val="BC46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058B2"/>
    <w:multiLevelType w:val="multilevel"/>
    <w:tmpl w:val="C5862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770675C"/>
    <w:multiLevelType w:val="multilevel"/>
    <w:tmpl w:val="1C544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9"/>
  </w:num>
  <w:num w:numId="8">
    <w:abstractNumId w:val="24"/>
  </w:num>
  <w:num w:numId="9">
    <w:abstractNumId w:val="29"/>
  </w:num>
  <w:num w:numId="10">
    <w:abstractNumId w:val="32"/>
  </w:num>
  <w:num w:numId="11">
    <w:abstractNumId w:val="3"/>
  </w:num>
  <w:num w:numId="12">
    <w:abstractNumId w:val="36"/>
  </w:num>
  <w:num w:numId="13">
    <w:abstractNumId w:val="7"/>
  </w:num>
  <w:num w:numId="14">
    <w:abstractNumId w:val="20"/>
  </w:num>
  <w:num w:numId="15">
    <w:abstractNumId w:val="11"/>
  </w:num>
  <w:num w:numId="16">
    <w:abstractNumId w:val="33"/>
  </w:num>
  <w:num w:numId="17">
    <w:abstractNumId w:val="28"/>
  </w:num>
  <w:num w:numId="18">
    <w:abstractNumId w:val="35"/>
  </w:num>
  <w:num w:numId="19">
    <w:abstractNumId w:val="31"/>
  </w:num>
  <w:num w:numId="20">
    <w:abstractNumId w:val="27"/>
  </w:num>
  <w:num w:numId="21">
    <w:abstractNumId w:val="22"/>
  </w:num>
  <w:num w:numId="22">
    <w:abstractNumId w:val="13"/>
  </w:num>
  <w:num w:numId="23">
    <w:abstractNumId w:val="23"/>
  </w:num>
  <w:num w:numId="24">
    <w:abstractNumId w:val="38"/>
  </w:num>
  <w:num w:numId="25">
    <w:abstractNumId w:val="21"/>
  </w:num>
  <w:num w:numId="26">
    <w:abstractNumId w:val="25"/>
  </w:num>
  <w:num w:numId="27">
    <w:abstractNumId w:val="6"/>
  </w:num>
  <w:num w:numId="28">
    <w:abstractNumId w:val="12"/>
  </w:num>
  <w:num w:numId="29">
    <w:abstractNumId w:val="2"/>
  </w:num>
  <w:num w:numId="30">
    <w:abstractNumId w:val="37"/>
  </w:num>
  <w:num w:numId="31">
    <w:abstractNumId w:val="5"/>
  </w:num>
  <w:num w:numId="32">
    <w:abstractNumId w:val="1"/>
  </w:num>
  <w:num w:numId="33">
    <w:abstractNumId w:val="8"/>
  </w:num>
  <w:num w:numId="34">
    <w:abstractNumId w:val="8"/>
  </w:num>
  <w:num w:numId="35">
    <w:abstractNumId w:val="14"/>
  </w:num>
  <w:num w:numId="36">
    <w:abstractNumId w:val="18"/>
  </w:num>
  <w:num w:numId="37">
    <w:abstractNumId w:val="30"/>
  </w:num>
  <w:num w:numId="38">
    <w:abstractNumId w:val="26"/>
  </w:num>
  <w:num w:numId="39">
    <w:abstractNumId w:val="0"/>
  </w:num>
  <w:num w:numId="40">
    <w:abstractNumId w:val="0"/>
  </w:num>
  <w:num w:numId="41">
    <w:abstractNumId w:val="34"/>
  </w:num>
  <w:num w:numId="42">
    <w:abstractNumId w:val="34"/>
  </w:num>
  <w:num w:numId="43">
    <w:abstractNumId w:val="4"/>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6C9"/>
    <w:rsid w:val="00033BA7"/>
    <w:rsid w:val="000360F8"/>
    <w:rsid w:val="00041F07"/>
    <w:rsid w:val="00057D09"/>
    <w:rsid w:val="00062B2E"/>
    <w:rsid w:val="00067B39"/>
    <w:rsid w:val="00073530"/>
    <w:rsid w:val="000946F2"/>
    <w:rsid w:val="00094C9A"/>
    <w:rsid w:val="00097EB2"/>
    <w:rsid w:val="000A1085"/>
    <w:rsid w:val="000B0CD2"/>
    <w:rsid w:val="000C153E"/>
    <w:rsid w:val="000C6F38"/>
    <w:rsid w:val="000C796A"/>
    <w:rsid w:val="001019EF"/>
    <w:rsid w:val="0010365C"/>
    <w:rsid w:val="001148FC"/>
    <w:rsid w:val="00147531"/>
    <w:rsid w:val="001514F8"/>
    <w:rsid w:val="001560E0"/>
    <w:rsid w:val="001657A7"/>
    <w:rsid w:val="00193BE7"/>
    <w:rsid w:val="00197F24"/>
    <w:rsid w:val="001B0339"/>
    <w:rsid w:val="001B4ED0"/>
    <w:rsid w:val="001B6B39"/>
    <w:rsid w:val="001C4C61"/>
    <w:rsid w:val="001E591D"/>
    <w:rsid w:val="00201254"/>
    <w:rsid w:val="00203E06"/>
    <w:rsid w:val="00222F7A"/>
    <w:rsid w:val="00226F02"/>
    <w:rsid w:val="00230129"/>
    <w:rsid w:val="00241E36"/>
    <w:rsid w:val="002558FB"/>
    <w:rsid w:val="00261AEC"/>
    <w:rsid w:val="002943B2"/>
    <w:rsid w:val="002B1EDC"/>
    <w:rsid w:val="002B714B"/>
    <w:rsid w:val="002C02AC"/>
    <w:rsid w:val="002D6D5D"/>
    <w:rsid w:val="002E696E"/>
    <w:rsid w:val="003019E6"/>
    <w:rsid w:val="00303F47"/>
    <w:rsid w:val="00314196"/>
    <w:rsid w:val="0031620D"/>
    <w:rsid w:val="00317C66"/>
    <w:rsid w:val="003229A6"/>
    <w:rsid w:val="00324018"/>
    <w:rsid w:val="00331E05"/>
    <w:rsid w:val="00333CE8"/>
    <w:rsid w:val="0033485E"/>
    <w:rsid w:val="003358A4"/>
    <w:rsid w:val="00335BEC"/>
    <w:rsid w:val="00336845"/>
    <w:rsid w:val="00343E2F"/>
    <w:rsid w:val="0034488A"/>
    <w:rsid w:val="00344F22"/>
    <w:rsid w:val="00372D2A"/>
    <w:rsid w:val="003750FA"/>
    <w:rsid w:val="00376980"/>
    <w:rsid w:val="003921C7"/>
    <w:rsid w:val="003A5001"/>
    <w:rsid w:val="003B316A"/>
    <w:rsid w:val="003C260A"/>
    <w:rsid w:val="003E7569"/>
    <w:rsid w:val="003F3E18"/>
    <w:rsid w:val="003F4314"/>
    <w:rsid w:val="003F7DFC"/>
    <w:rsid w:val="00416564"/>
    <w:rsid w:val="004178CE"/>
    <w:rsid w:val="00426E43"/>
    <w:rsid w:val="00447A3B"/>
    <w:rsid w:val="00453068"/>
    <w:rsid w:val="00456DD6"/>
    <w:rsid w:val="00464602"/>
    <w:rsid w:val="00467546"/>
    <w:rsid w:val="00470251"/>
    <w:rsid w:val="004A28D6"/>
    <w:rsid w:val="004A3805"/>
    <w:rsid w:val="004A5ED4"/>
    <w:rsid w:val="004B00A1"/>
    <w:rsid w:val="004C2F05"/>
    <w:rsid w:val="004C71F3"/>
    <w:rsid w:val="004D2D55"/>
    <w:rsid w:val="004E0E1A"/>
    <w:rsid w:val="004E4719"/>
    <w:rsid w:val="004F1350"/>
    <w:rsid w:val="004F33BA"/>
    <w:rsid w:val="004F4E5C"/>
    <w:rsid w:val="004F6EBC"/>
    <w:rsid w:val="00511CE9"/>
    <w:rsid w:val="0051569C"/>
    <w:rsid w:val="00522BC6"/>
    <w:rsid w:val="00522EA0"/>
    <w:rsid w:val="00524E73"/>
    <w:rsid w:val="005268C6"/>
    <w:rsid w:val="005314A8"/>
    <w:rsid w:val="005412C9"/>
    <w:rsid w:val="00550369"/>
    <w:rsid w:val="005524F8"/>
    <w:rsid w:val="00561D2B"/>
    <w:rsid w:val="00561F43"/>
    <w:rsid w:val="00566602"/>
    <w:rsid w:val="00574994"/>
    <w:rsid w:val="005A0732"/>
    <w:rsid w:val="005A5A4F"/>
    <w:rsid w:val="005B0EDB"/>
    <w:rsid w:val="005B1B14"/>
    <w:rsid w:val="005C1C62"/>
    <w:rsid w:val="005D631A"/>
    <w:rsid w:val="005D76E3"/>
    <w:rsid w:val="005E514F"/>
    <w:rsid w:val="005F535E"/>
    <w:rsid w:val="0061449D"/>
    <w:rsid w:val="0061731C"/>
    <w:rsid w:val="00617820"/>
    <w:rsid w:val="00625270"/>
    <w:rsid w:val="00647EC4"/>
    <w:rsid w:val="00655352"/>
    <w:rsid w:val="0065694E"/>
    <w:rsid w:val="006676A1"/>
    <w:rsid w:val="00670C3E"/>
    <w:rsid w:val="00674CD0"/>
    <w:rsid w:val="006846F8"/>
    <w:rsid w:val="00690ED4"/>
    <w:rsid w:val="00692133"/>
    <w:rsid w:val="006B1A88"/>
    <w:rsid w:val="006B3CFE"/>
    <w:rsid w:val="006B66F6"/>
    <w:rsid w:val="006C3CC1"/>
    <w:rsid w:val="006E0132"/>
    <w:rsid w:val="006E08F8"/>
    <w:rsid w:val="006F299C"/>
    <w:rsid w:val="006F7FD4"/>
    <w:rsid w:val="00720225"/>
    <w:rsid w:val="007207E2"/>
    <w:rsid w:val="00725E9F"/>
    <w:rsid w:val="007279F8"/>
    <w:rsid w:val="00744496"/>
    <w:rsid w:val="00754E86"/>
    <w:rsid w:val="0078291E"/>
    <w:rsid w:val="00793B69"/>
    <w:rsid w:val="00793E0E"/>
    <w:rsid w:val="00795572"/>
    <w:rsid w:val="007A28D6"/>
    <w:rsid w:val="007A5E09"/>
    <w:rsid w:val="007A6A5E"/>
    <w:rsid w:val="007B6A6C"/>
    <w:rsid w:val="007C1BC9"/>
    <w:rsid w:val="007C1C93"/>
    <w:rsid w:val="007C605D"/>
    <w:rsid w:val="007E133D"/>
    <w:rsid w:val="007E5D66"/>
    <w:rsid w:val="007F3848"/>
    <w:rsid w:val="007F664D"/>
    <w:rsid w:val="00805658"/>
    <w:rsid w:val="00807CE3"/>
    <w:rsid w:val="00814C48"/>
    <w:rsid w:val="00816A9C"/>
    <w:rsid w:val="00820476"/>
    <w:rsid w:val="00820BBC"/>
    <w:rsid w:val="00822589"/>
    <w:rsid w:val="00825D17"/>
    <w:rsid w:val="008445F1"/>
    <w:rsid w:val="00851748"/>
    <w:rsid w:val="00854E57"/>
    <w:rsid w:val="008560D1"/>
    <w:rsid w:val="00862A63"/>
    <w:rsid w:val="0087417F"/>
    <w:rsid w:val="00890177"/>
    <w:rsid w:val="008B7411"/>
    <w:rsid w:val="008C6B51"/>
    <w:rsid w:val="008D469A"/>
    <w:rsid w:val="008D4C19"/>
    <w:rsid w:val="008D68E2"/>
    <w:rsid w:val="008E0300"/>
    <w:rsid w:val="008E2E81"/>
    <w:rsid w:val="008F4EDA"/>
    <w:rsid w:val="008F7988"/>
    <w:rsid w:val="00902AD0"/>
    <w:rsid w:val="00904570"/>
    <w:rsid w:val="0090638F"/>
    <w:rsid w:val="00906A1A"/>
    <w:rsid w:val="00916876"/>
    <w:rsid w:val="00916F0F"/>
    <w:rsid w:val="00920D6D"/>
    <w:rsid w:val="009263A2"/>
    <w:rsid w:val="00936C76"/>
    <w:rsid w:val="00937DB4"/>
    <w:rsid w:val="009435C9"/>
    <w:rsid w:val="0095116C"/>
    <w:rsid w:val="009723F8"/>
    <w:rsid w:val="009744ED"/>
    <w:rsid w:val="0098256C"/>
    <w:rsid w:val="009C4DE3"/>
    <w:rsid w:val="009E34ED"/>
    <w:rsid w:val="009F797D"/>
    <w:rsid w:val="00A00B63"/>
    <w:rsid w:val="00A0201D"/>
    <w:rsid w:val="00A06040"/>
    <w:rsid w:val="00A12C80"/>
    <w:rsid w:val="00A1301D"/>
    <w:rsid w:val="00A17C6A"/>
    <w:rsid w:val="00A3661B"/>
    <w:rsid w:val="00A44598"/>
    <w:rsid w:val="00A5773F"/>
    <w:rsid w:val="00A60491"/>
    <w:rsid w:val="00A66B6A"/>
    <w:rsid w:val="00A83348"/>
    <w:rsid w:val="00A93EAD"/>
    <w:rsid w:val="00A94201"/>
    <w:rsid w:val="00A9585C"/>
    <w:rsid w:val="00AA1452"/>
    <w:rsid w:val="00AA1585"/>
    <w:rsid w:val="00AC5919"/>
    <w:rsid w:val="00AC5B52"/>
    <w:rsid w:val="00AD364D"/>
    <w:rsid w:val="00AD4D7B"/>
    <w:rsid w:val="00AE615B"/>
    <w:rsid w:val="00AE6479"/>
    <w:rsid w:val="00B05F97"/>
    <w:rsid w:val="00B16100"/>
    <w:rsid w:val="00B2325C"/>
    <w:rsid w:val="00B31286"/>
    <w:rsid w:val="00B34C72"/>
    <w:rsid w:val="00B35075"/>
    <w:rsid w:val="00B678EB"/>
    <w:rsid w:val="00B7240B"/>
    <w:rsid w:val="00B81E7B"/>
    <w:rsid w:val="00B9574C"/>
    <w:rsid w:val="00BB580C"/>
    <w:rsid w:val="00BB77F0"/>
    <w:rsid w:val="00BC1879"/>
    <w:rsid w:val="00BD7E3B"/>
    <w:rsid w:val="00BE6F65"/>
    <w:rsid w:val="00BF04DB"/>
    <w:rsid w:val="00BF0A26"/>
    <w:rsid w:val="00BF71E2"/>
    <w:rsid w:val="00C100A7"/>
    <w:rsid w:val="00C246B5"/>
    <w:rsid w:val="00C257B4"/>
    <w:rsid w:val="00C32F66"/>
    <w:rsid w:val="00C514AE"/>
    <w:rsid w:val="00C53E63"/>
    <w:rsid w:val="00C56BBF"/>
    <w:rsid w:val="00C57132"/>
    <w:rsid w:val="00C57D05"/>
    <w:rsid w:val="00C6114E"/>
    <w:rsid w:val="00C72F7B"/>
    <w:rsid w:val="00C750C4"/>
    <w:rsid w:val="00C83214"/>
    <w:rsid w:val="00C9090D"/>
    <w:rsid w:val="00C9475F"/>
    <w:rsid w:val="00CA729E"/>
    <w:rsid w:val="00CB73CF"/>
    <w:rsid w:val="00CD3117"/>
    <w:rsid w:val="00CE6642"/>
    <w:rsid w:val="00CF60AA"/>
    <w:rsid w:val="00CF6CEA"/>
    <w:rsid w:val="00D035B6"/>
    <w:rsid w:val="00D13D49"/>
    <w:rsid w:val="00D22A2D"/>
    <w:rsid w:val="00D231FD"/>
    <w:rsid w:val="00D410EC"/>
    <w:rsid w:val="00D415F8"/>
    <w:rsid w:val="00D5697C"/>
    <w:rsid w:val="00D603D6"/>
    <w:rsid w:val="00D65DFB"/>
    <w:rsid w:val="00D74DED"/>
    <w:rsid w:val="00D76297"/>
    <w:rsid w:val="00D91BC5"/>
    <w:rsid w:val="00DA7916"/>
    <w:rsid w:val="00DB32DD"/>
    <w:rsid w:val="00DC76A1"/>
    <w:rsid w:val="00DE08C4"/>
    <w:rsid w:val="00DE5190"/>
    <w:rsid w:val="00DF078C"/>
    <w:rsid w:val="00DF268A"/>
    <w:rsid w:val="00DF6629"/>
    <w:rsid w:val="00DF6B95"/>
    <w:rsid w:val="00DF73B9"/>
    <w:rsid w:val="00E03ED5"/>
    <w:rsid w:val="00E07421"/>
    <w:rsid w:val="00E14F1C"/>
    <w:rsid w:val="00E32EBC"/>
    <w:rsid w:val="00E625FF"/>
    <w:rsid w:val="00E64ADC"/>
    <w:rsid w:val="00EB661E"/>
    <w:rsid w:val="00EC1170"/>
    <w:rsid w:val="00EC4BC9"/>
    <w:rsid w:val="00EE0BAB"/>
    <w:rsid w:val="00EF0155"/>
    <w:rsid w:val="00EF2616"/>
    <w:rsid w:val="00EF4A34"/>
    <w:rsid w:val="00F02EF4"/>
    <w:rsid w:val="00F0504E"/>
    <w:rsid w:val="00F10B59"/>
    <w:rsid w:val="00F35395"/>
    <w:rsid w:val="00F532C7"/>
    <w:rsid w:val="00F72FCF"/>
    <w:rsid w:val="00F763BB"/>
    <w:rsid w:val="00F836CE"/>
    <w:rsid w:val="00F97177"/>
    <w:rsid w:val="00F97AB4"/>
    <w:rsid w:val="00FA5FD1"/>
    <w:rsid w:val="00FA6D2C"/>
    <w:rsid w:val="00FB6936"/>
    <w:rsid w:val="00FC0BA3"/>
    <w:rsid w:val="00FC1CC1"/>
    <w:rsid w:val="00FD4A5E"/>
    <w:rsid w:val="00FD7003"/>
    <w:rsid w:val="00FE0839"/>
    <w:rsid w:val="00FF04A3"/>
    <w:rsid w:val="00FF3F25"/>
    <w:rsid w:val="00FF4DA6"/>
    <w:rsid w:val="00FF6B89"/>
    <w:rsid w:val="00FF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9"/>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550369"/>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 w:type="character" w:styleId="Mentionnonrsolue">
    <w:name w:val="Unresolved Mention"/>
    <w:basedOn w:val="Policepardfaut"/>
    <w:uiPriority w:val="99"/>
    <w:semiHidden/>
    <w:unhideWhenUsed/>
    <w:rsid w:val="00BB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69">
      <w:bodyDiv w:val="1"/>
      <w:marLeft w:val="0"/>
      <w:marRight w:val="0"/>
      <w:marTop w:val="0"/>
      <w:marBottom w:val="0"/>
      <w:divBdr>
        <w:top w:val="none" w:sz="0" w:space="0" w:color="auto"/>
        <w:left w:val="none" w:sz="0" w:space="0" w:color="auto"/>
        <w:bottom w:val="none" w:sz="0" w:space="0" w:color="auto"/>
        <w:right w:val="none" w:sz="0" w:space="0" w:color="auto"/>
      </w:divBdr>
    </w:div>
    <w:div w:id="33122345">
      <w:bodyDiv w:val="1"/>
      <w:marLeft w:val="0"/>
      <w:marRight w:val="0"/>
      <w:marTop w:val="0"/>
      <w:marBottom w:val="0"/>
      <w:divBdr>
        <w:top w:val="none" w:sz="0" w:space="0" w:color="auto"/>
        <w:left w:val="none" w:sz="0" w:space="0" w:color="auto"/>
        <w:bottom w:val="none" w:sz="0" w:space="0" w:color="auto"/>
        <w:right w:val="none" w:sz="0" w:space="0" w:color="auto"/>
      </w:divBdr>
    </w:div>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95103606">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229124835">
      <w:bodyDiv w:val="1"/>
      <w:marLeft w:val="0"/>
      <w:marRight w:val="0"/>
      <w:marTop w:val="0"/>
      <w:marBottom w:val="0"/>
      <w:divBdr>
        <w:top w:val="none" w:sz="0" w:space="0" w:color="auto"/>
        <w:left w:val="none" w:sz="0" w:space="0" w:color="auto"/>
        <w:bottom w:val="none" w:sz="0" w:space="0" w:color="auto"/>
        <w:right w:val="none" w:sz="0" w:space="0" w:color="auto"/>
      </w:divBdr>
    </w:div>
    <w:div w:id="270475821">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4871937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43848716">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21661582">
      <w:bodyDiv w:val="1"/>
      <w:marLeft w:val="0"/>
      <w:marRight w:val="0"/>
      <w:marTop w:val="0"/>
      <w:marBottom w:val="0"/>
      <w:divBdr>
        <w:top w:val="none" w:sz="0" w:space="0" w:color="auto"/>
        <w:left w:val="none" w:sz="0" w:space="0" w:color="auto"/>
        <w:bottom w:val="none" w:sz="0" w:space="0" w:color="auto"/>
        <w:right w:val="none" w:sz="0" w:space="0" w:color="auto"/>
      </w:divBdr>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861">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5930852">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02702172">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530221834">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6626459">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eetahiti.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1780</Words>
  <Characters>9792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45</cp:revision>
  <cp:lastPrinted>2021-11-18T02:33:00Z</cp:lastPrinted>
  <dcterms:created xsi:type="dcterms:W3CDTF">2021-11-15T20:41:00Z</dcterms:created>
  <dcterms:modified xsi:type="dcterms:W3CDTF">2021-11-18T02:36:00Z</dcterms:modified>
</cp:coreProperties>
</file>