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CF60AA" w:rsidRDefault="00625270" w:rsidP="00CF60AA">
      <w:pPr>
        <w:jc w:val="both"/>
        <w:rPr>
          <w:rFonts w:ascii="Cambria" w:hAnsi="Cambria"/>
          <w:lang w:eastAsia="fr-FR"/>
        </w:rPr>
      </w:pPr>
      <w:r w:rsidRPr="00CF60AA">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CF60AA">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CF60AA">
        <w:rPr>
          <w:rFonts w:ascii="Cambria" w:hAnsi="Cambria"/>
          <w:lang w:eastAsia="fr-FR"/>
        </w:rPr>
        <w:t xml:space="preserve"> </w:t>
      </w:r>
    </w:p>
    <w:p w14:paraId="5B96777C" w14:textId="77777777" w:rsidR="00625270" w:rsidRPr="00CF60AA" w:rsidRDefault="00625270" w:rsidP="00CF60AA">
      <w:pPr>
        <w:jc w:val="both"/>
        <w:rPr>
          <w:rFonts w:ascii="Cambria" w:hAnsi="Cambria"/>
          <w:color w:val="993366"/>
        </w:rPr>
      </w:pPr>
    </w:p>
    <w:p w14:paraId="3672BD85" w14:textId="77777777" w:rsidR="00625270" w:rsidRPr="00CF60AA" w:rsidRDefault="00625270" w:rsidP="00CF60AA">
      <w:pPr>
        <w:jc w:val="both"/>
        <w:rPr>
          <w:rFonts w:ascii="Cambria" w:hAnsi="Cambria"/>
          <w:color w:val="993366"/>
        </w:rPr>
      </w:pPr>
    </w:p>
    <w:p w14:paraId="6ADD5940" w14:textId="77777777" w:rsidR="00625270" w:rsidRPr="00CF60AA" w:rsidRDefault="00625270" w:rsidP="00CF60AA">
      <w:pPr>
        <w:jc w:val="both"/>
        <w:rPr>
          <w:rFonts w:ascii="Cambria" w:hAnsi="Cambria"/>
          <w:color w:val="993366"/>
        </w:rPr>
      </w:pPr>
    </w:p>
    <w:p w14:paraId="48B5E675" w14:textId="77777777" w:rsidR="00625270" w:rsidRPr="00CF60AA" w:rsidRDefault="00625270" w:rsidP="00CF60AA">
      <w:pPr>
        <w:jc w:val="both"/>
        <w:rPr>
          <w:rFonts w:ascii="Cambria" w:hAnsi="Cambria"/>
          <w:color w:val="993366"/>
        </w:rPr>
      </w:pPr>
    </w:p>
    <w:p w14:paraId="0556FA3D" w14:textId="77777777" w:rsidR="00625270" w:rsidRPr="00CF60AA" w:rsidRDefault="00625270" w:rsidP="00CF60AA">
      <w:pPr>
        <w:tabs>
          <w:tab w:val="center" w:pos="4533"/>
          <w:tab w:val="left" w:pos="6544"/>
        </w:tabs>
        <w:jc w:val="both"/>
        <w:rPr>
          <w:rFonts w:ascii="Cambria" w:hAnsi="Cambria"/>
          <w:u w:val="single"/>
        </w:rPr>
      </w:pPr>
      <w:r w:rsidRPr="00CF60AA">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CF60AA" w:rsidRDefault="00625270" w:rsidP="00CF60AA">
      <w:pPr>
        <w:tabs>
          <w:tab w:val="left" w:pos="3240"/>
        </w:tabs>
        <w:jc w:val="center"/>
        <w:rPr>
          <w:rFonts w:ascii="Cambria" w:hAnsi="Cambria" w:cs="Arial"/>
          <w:b/>
        </w:rPr>
      </w:pPr>
      <w:r w:rsidRPr="00CF60AA">
        <w:rPr>
          <w:rFonts w:ascii="Cambria" w:hAnsi="Cambria" w:cs="Arial"/>
          <w:b/>
        </w:rPr>
        <w:t>BUREAU DE LA COMMUNICATION</w:t>
      </w:r>
    </w:p>
    <w:p w14:paraId="48860829" w14:textId="68114499" w:rsidR="00625270" w:rsidRPr="00CF60AA" w:rsidRDefault="004C71F3" w:rsidP="00CF60AA">
      <w:pPr>
        <w:tabs>
          <w:tab w:val="left" w:pos="3240"/>
        </w:tabs>
        <w:jc w:val="center"/>
        <w:rPr>
          <w:rFonts w:ascii="Cambria" w:hAnsi="Cambria" w:cs="Arial"/>
          <w:b/>
          <w:i/>
        </w:rPr>
      </w:pPr>
      <w:r w:rsidRPr="00CF60AA">
        <w:rPr>
          <w:rFonts w:ascii="Cambria" w:hAnsi="Cambria" w:cs="Arial"/>
          <w:b/>
          <w:i/>
        </w:rPr>
        <w:t>Mercredi</w:t>
      </w:r>
      <w:r w:rsidR="00625270" w:rsidRPr="00CF60AA">
        <w:rPr>
          <w:rFonts w:ascii="Cambria" w:hAnsi="Cambria" w:cs="Arial"/>
          <w:b/>
          <w:i/>
        </w:rPr>
        <w:t xml:space="preserve"> </w:t>
      </w:r>
      <w:r w:rsidR="00343E2F">
        <w:rPr>
          <w:rFonts w:ascii="Cambria" w:hAnsi="Cambria" w:cs="Arial"/>
          <w:b/>
          <w:i/>
        </w:rPr>
        <w:t>10</w:t>
      </w:r>
      <w:r w:rsidR="00625270" w:rsidRPr="00CF60AA">
        <w:rPr>
          <w:rFonts w:ascii="Cambria" w:hAnsi="Cambria" w:cs="Arial"/>
          <w:b/>
          <w:i/>
        </w:rPr>
        <w:t xml:space="preserve"> </w:t>
      </w:r>
      <w:r w:rsidR="00A44598">
        <w:rPr>
          <w:rFonts w:ascii="Cambria" w:hAnsi="Cambria" w:cs="Arial"/>
          <w:b/>
          <w:i/>
        </w:rPr>
        <w:t>novembre</w:t>
      </w:r>
      <w:r w:rsidR="00625270" w:rsidRPr="00CF60AA">
        <w:rPr>
          <w:rFonts w:ascii="Cambria" w:hAnsi="Cambria" w:cs="Arial"/>
          <w:b/>
          <w:i/>
        </w:rPr>
        <w:t xml:space="preserve"> 202</w:t>
      </w:r>
      <w:r w:rsidR="00456DD6" w:rsidRPr="00CF60AA">
        <w:rPr>
          <w:rFonts w:ascii="Cambria" w:hAnsi="Cambria" w:cs="Arial"/>
          <w:b/>
          <w:i/>
        </w:rPr>
        <w:t>1</w:t>
      </w:r>
    </w:p>
    <w:p w14:paraId="58F3DB1E" w14:textId="77777777" w:rsidR="00625270" w:rsidRPr="00CF60AA" w:rsidRDefault="00625270" w:rsidP="00CF60AA">
      <w:pPr>
        <w:tabs>
          <w:tab w:val="left" w:pos="3240"/>
        </w:tabs>
        <w:jc w:val="both"/>
        <w:rPr>
          <w:rFonts w:ascii="Cambria" w:hAnsi="Cambria"/>
        </w:rPr>
      </w:pPr>
      <w:r w:rsidRPr="00CF60AA">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CF60AA" w:rsidRDefault="00625270" w:rsidP="00CF60AA">
      <w:pPr>
        <w:overflowPunct w:val="0"/>
        <w:autoSpaceDE w:val="0"/>
        <w:autoSpaceDN w:val="0"/>
        <w:adjustRightInd w:val="0"/>
        <w:spacing w:before="120"/>
        <w:jc w:val="both"/>
        <w:rPr>
          <w:rFonts w:ascii="Cambria" w:hAnsi="Cambria"/>
          <w:b/>
          <w:lang w:eastAsia="fr-FR"/>
        </w:rPr>
      </w:pPr>
    </w:p>
    <w:p w14:paraId="4D703140" w14:textId="641E3027" w:rsidR="004C71F3" w:rsidRPr="00CF60AA" w:rsidRDefault="004C71F3" w:rsidP="00CF60AA">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CF60AA">
        <w:rPr>
          <w:rFonts w:ascii="Cambria" w:hAnsi="Cambria"/>
          <w:b/>
        </w:rPr>
        <w:t>Compte rendu du Conseil des ministres</w:t>
      </w:r>
    </w:p>
    <w:p w14:paraId="23E3B0A2" w14:textId="0847956C" w:rsidR="00690ED4" w:rsidRDefault="00690ED4" w:rsidP="00CF60AA">
      <w:pPr>
        <w:widowControl w:val="0"/>
        <w:autoSpaceDE w:val="0"/>
        <w:autoSpaceDN w:val="0"/>
        <w:adjustRightInd w:val="0"/>
        <w:spacing w:before="120"/>
        <w:jc w:val="both"/>
        <w:rPr>
          <w:rFonts w:ascii="Cambria" w:hAnsi="Cambria"/>
          <w:lang w:eastAsia="fr-FR"/>
        </w:rPr>
      </w:pPr>
    </w:p>
    <w:p w14:paraId="48258B1F" w14:textId="719FB3A4" w:rsidR="00FF7539" w:rsidRDefault="00261AEC" w:rsidP="00CF60AA">
      <w:pPr>
        <w:widowControl w:val="0"/>
        <w:autoSpaceDE w:val="0"/>
        <w:autoSpaceDN w:val="0"/>
        <w:adjustRightInd w:val="0"/>
        <w:spacing w:before="120"/>
        <w:jc w:val="both"/>
        <w:rPr>
          <w:rFonts w:ascii="Cambria" w:hAnsi="Cambria"/>
          <w:lang w:eastAsia="fr-FR"/>
        </w:rPr>
      </w:pPr>
      <w:r>
        <w:rPr>
          <w:rFonts w:ascii="Cambria" w:hAnsi="Cambria"/>
          <w:lang w:eastAsia="fr-FR"/>
        </w:rPr>
        <w:t xml:space="preserve">Le Conseil des ministres s’est réuni ce mercredi </w:t>
      </w:r>
      <w:r w:rsidR="00343E2F">
        <w:rPr>
          <w:rFonts w:ascii="Cambria" w:hAnsi="Cambria"/>
          <w:lang w:eastAsia="fr-FR"/>
        </w:rPr>
        <w:t>10</w:t>
      </w:r>
      <w:r>
        <w:rPr>
          <w:rFonts w:ascii="Cambria" w:hAnsi="Cambria"/>
          <w:lang w:eastAsia="fr-FR"/>
        </w:rPr>
        <w:t xml:space="preserve"> novembre 2021.</w:t>
      </w:r>
      <w:r w:rsidR="006E08F8">
        <w:rPr>
          <w:rFonts w:ascii="Cambria" w:hAnsi="Cambria"/>
          <w:lang w:eastAsia="fr-FR"/>
        </w:rPr>
        <w:t xml:space="preserve"> </w:t>
      </w:r>
      <w:r>
        <w:rPr>
          <w:rFonts w:ascii="Cambria" w:hAnsi="Cambria"/>
          <w:lang w:eastAsia="fr-FR"/>
        </w:rPr>
        <w:t>Parmi les dossiers examinés, il a adopté les dossiers suivants</w:t>
      </w:r>
      <w:r w:rsidR="004F6EBC">
        <w:rPr>
          <w:rFonts w:ascii="Cambria" w:hAnsi="Cambria"/>
          <w:lang w:eastAsia="fr-FR"/>
        </w:rPr>
        <w:t xml:space="preserve"> (lien du sommaire </w:t>
      </w:r>
      <w:r w:rsidR="00566602">
        <w:rPr>
          <w:rFonts w:ascii="Cambria" w:hAnsi="Cambria"/>
          <w:lang w:eastAsia="fr-FR"/>
        </w:rPr>
        <w:t>interactif</w:t>
      </w:r>
      <w:r w:rsidR="004F6EBC">
        <w:rPr>
          <w:rFonts w:ascii="Cambria" w:hAnsi="Cambria"/>
          <w:lang w:eastAsia="fr-FR"/>
        </w:rPr>
        <w:t>)</w:t>
      </w:r>
      <w:r>
        <w:rPr>
          <w:rFonts w:ascii="Cambria" w:hAnsi="Cambria"/>
          <w:lang w:eastAsia="fr-FR"/>
        </w:rPr>
        <w:t> :</w:t>
      </w:r>
    </w:p>
    <w:p w14:paraId="4AB6D9AE" w14:textId="77777777" w:rsidR="00226F02" w:rsidRDefault="00226F02"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sz w:val="24"/>
          <w:szCs w:val="24"/>
          <w:lang w:eastAsia="es-ES"/>
        </w:rPr>
        <w:id w:val="-1045363697"/>
        <w:docPartObj>
          <w:docPartGallery w:val="Table of Contents"/>
          <w:docPartUnique/>
        </w:docPartObj>
      </w:sdtPr>
      <w:sdtEndPr/>
      <w:sdtContent>
        <w:p w14:paraId="3D4D8735" w14:textId="53F67E4B" w:rsidR="00A60491" w:rsidRPr="00C53E63" w:rsidRDefault="0065694E">
          <w:pPr>
            <w:pStyle w:val="TM1"/>
            <w:rPr>
              <w:rFonts w:cstheme="minorBidi"/>
              <w:b w:val="0"/>
              <w:bCs w:val="0"/>
            </w:rPr>
          </w:pPr>
          <w:r w:rsidRPr="00C53E63">
            <w:fldChar w:fldCharType="begin"/>
          </w:r>
          <w:r w:rsidRPr="00C53E63">
            <w:instrText xml:space="preserve"> TOC \o "1-3" \h \z \u </w:instrText>
          </w:r>
          <w:r w:rsidRPr="00C53E63">
            <w:fldChar w:fldCharType="separate"/>
          </w:r>
          <w:hyperlink w:anchor="_Toc87449082" w:history="1">
            <w:r w:rsidR="00A60491" w:rsidRPr="00C53E63">
              <w:rPr>
                <w:rStyle w:val="Lienhypertexte"/>
              </w:rPr>
              <w:t>Recomposition du Gouvernement</w:t>
            </w:r>
            <w:r w:rsidR="00A60491" w:rsidRPr="00C53E63">
              <w:rPr>
                <w:webHidden/>
              </w:rPr>
              <w:tab/>
            </w:r>
            <w:r w:rsidR="00A60491" w:rsidRPr="00C53E63">
              <w:rPr>
                <w:webHidden/>
              </w:rPr>
              <w:fldChar w:fldCharType="begin"/>
            </w:r>
            <w:r w:rsidR="00A60491" w:rsidRPr="00C53E63">
              <w:rPr>
                <w:webHidden/>
              </w:rPr>
              <w:instrText xml:space="preserve"> PAGEREF _Toc87449082 \h </w:instrText>
            </w:r>
            <w:r w:rsidR="00A60491" w:rsidRPr="00C53E63">
              <w:rPr>
                <w:webHidden/>
              </w:rPr>
            </w:r>
            <w:r w:rsidR="00A60491" w:rsidRPr="00C53E63">
              <w:rPr>
                <w:webHidden/>
              </w:rPr>
              <w:fldChar w:fldCharType="separate"/>
            </w:r>
            <w:r w:rsidR="00A60491" w:rsidRPr="00C53E63">
              <w:rPr>
                <w:webHidden/>
              </w:rPr>
              <w:t>2</w:t>
            </w:r>
            <w:r w:rsidR="00A60491" w:rsidRPr="00C53E63">
              <w:rPr>
                <w:webHidden/>
              </w:rPr>
              <w:fldChar w:fldCharType="end"/>
            </w:r>
          </w:hyperlink>
        </w:p>
        <w:p w14:paraId="6248D09F" w14:textId="378C3EE6" w:rsidR="00A60491" w:rsidRPr="00C53E63" w:rsidRDefault="00AE615B">
          <w:pPr>
            <w:pStyle w:val="TM1"/>
            <w:rPr>
              <w:rFonts w:cstheme="minorBidi"/>
              <w:b w:val="0"/>
              <w:bCs w:val="0"/>
            </w:rPr>
          </w:pPr>
          <w:hyperlink w:anchor="_Toc87449083" w:history="1">
            <w:r w:rsidR="00A60491" w:rsidRPr="00C53E63">
              <w:rPr>
                <w:rStyle w:val="Lienhypertexte"/>
              </w:rPr>
              <w:t>PR - Président</w:t>
            </w:r>
            <w:r w:rsidR="00A60491" w:rsidRPr="00C53E63">
              <w:rPr>
                <w:webHidden/>
              </w:rPr>
              <w:tab/>
            </w:r>
            <w:r w:rsidR="00A60491" w:rsidRPr="00C53E63">
              <w:rPr>
                <w:webHidden/>
              </w:rPr>
              <w:fldChar w:fldCharType="begin"/>
            </w:r>
            <w:r w:rsidR="00A60491" w:rsidRPr="00C53E63">
              <w:rPr>
                <w:webHidden/>
              </w:rPr>
              <w:instrText xml:space="preserve"> PAGEREF _Toc87449083 \h </w:instrText>
            </w:r>
            <w:r w:rsidR="00A60491" w:rsidRPr="00C53E63">
              <w:rPr>
                <w:webHidden/>
              </w:rPr>
            </w:r>
            <w:r w:rsidR="00A60491" w:rsidRPr="00C53E63">
              <w:rPr>
                <w:webHidden/>
              </w:rPr>
              <w:fldChar w:fldCharType="separate"/>
            </w:r>
            <w:r w:rsidR="00A60491" w:rsidRPr="00C53E63">
              <w:rPr>
                <w:webHidden/>
              </w:rPr>
              <w:t>2</w:t>
            </w:r>
            <w:r w:rsidR="00A60491" w:rsidRPr="00C53E63">
              <w:rPr>
                <w:webHidden/>
              </w:rPr>
              <w:fldChar w:fldCharType="end"/>
            </w:r>
          </w:hyperlink>
        </w:p>
        <w:p w14:paraId="1E7851D5" w14:textId="16C3783A" w:rsidR="00A60491" w:rsidRPr="00C53E63" w:rsidRDefault="00AE615B">
          <w:pPr>
            <w:pStyle w:val="TM2"/>
            <w:rPr>
              <w:rFonts w:ascii="Cambria" w:hAnsi="Cambria" w:cstheme="minorBidi"/>
              <w:noProof/>
            </w:rPr>
          </w:pPr>
          <w:hyperlink w:anchor="_Toc87449084" w:history="1">
            <w:r w:rsidR="00A60491" w:rsidRPr="00C53E63">
              <w:rPr>
                <w:rStyle w:val="Lienhypertexte"/>
                <w:rFonts w:ascii="Cambria" w:hAnsi="Cambria"/>
                <w:noProof/>
              </w:rPr>
              <w:t>Consultation des annonces légales sur le site Lexpol</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_Toc87449084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2</w:t>
            </w:r>
            <w:r w:rsidR="00A60491" w:rsidRPr="00C53E63">
              <w:rPr>
                <w:rFonts w:ascii="Cambria" w:hAnsi="Cambria"/>
                <w:noProof/>
                <w:webHidden/>
              </w:rPr>
              <w:fldChar w:fldCharType="end"/>
            </w:r>
          </w:hyperlink>
        </w:p>
        <w:p w14:paraId="08E82BB4" w14:textId="1019FAB3" w:rsidR="00A60491" w:rsidRPr="00C53E63" w:rsidRDefault="00AE615B">
          <w:pPr>
            <w:pStyle w:val="TM1"/>
            <w:rPr>
              <w:rFonts w:cstheme="minorBidi"/>
              <w:b w:val="0"/>
              <w:bCs w:val="0"/>
            </w:rPr>
          </w:pPr>
          <w:hyperlink w:anchor="_Toc87449085" w:history="1">
            <w:r w:rsidR="00A60491" w:rsidRPr="00C53E63">
              <w:rPr>
                <w:rStyle w:val="Lienhypertexte"/>
              </w:rPr>
              <w:t>VP- Vice-président, ministre du Logement et de l’aménagement</w:t>
            </w:r>
            <w:r w:rsidR="00A60491" w:rsidRPr="00C53E63">
              <w:rPr>
                <w:webHidden/>
              </w:rPr>
              <w:tab/>
            </w:r>
            <w:r w:rsidR="00A60491" w:rsidRPr="00C53E63">
              <w:rPr>
                <w:webHidden/>
              </w:rPr>
              <w:fldChar w:fldCharType="begin"/>
            </w:r>
            <w:r w:rsidR="00A60491" w:rsidRPr="00C53E63">
              <w:rPr>
                <w:webHidden/>
              </w:rPr>
              <w:instrText xml:space="preserve"> PAGEREF _Toc87449085 \h </w:instrText>
            </w:r>
            <w:r w:rsidR="00A60491" w:rsidRPr="00C53E63">
              <w:rPr>
                <w:webHidden/>
              </w:rPr>
            </w:r>
            <w:r w:rsidR="00A60491" w:rsidRPr="00C53E63">
              <w:rPr>
                <w:webHidden/>
              </w:rPr>
              <w:fldChar w:fldCharType="separate"/>
            </w:r>
            <w:r w:rsidR="00A60491" w:rsidRPr="00C53E63">
              <w:rPr>
                <w:webHidden/>
              </w:rPr>
              <w:t>2</w:t>
            </w:r>
            <w:r w:rsidR="00A60491" w:rsidRPr="00C53E63">
              <w:rPr>
                <w:webHidden/>
              </w:rPr>
              <w:fldChar w:fldCharType="end"/>
            </w:r>
          </w:hyperlink>
        </w:p>
        <w:p w14:paraId="4DE14B44" w14:textId="7658CEFA" w:rsidR="00A60491" w:rsidRPr="00C53E63" w:rsidRDefault="00AE615B">
          <w:pPr>
            <w:pStyle w:val="TM2"/>
            <w:rPr>
              <w:rFonts w:ascii="Cambria" w:hAnsi="Cambria" w:cstheme="minorBidi"/>
              <w:noProof/>
            </w:rPr>
          </w:pPr>
          <w:hyperlink w:anchor="_Toc87449086" w:history="1">
            <w:r w:rsidR="00A60491" w:rsidRPr="00C53E63">
              <w:rPr>
                <w:rStyle w:val="Lienhypertexte"/>
                <w:rFonts w:ascii="Cambria" w:hAnsi="Cambria"/>
                <w:noProof/>
              </w:rPr>
              <w:t>Modification de l’arrêté portant organisation de la Délégation à l’habitat et à la ville</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_Toc87449086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2</w:t>
            </w:r>
            <w:r w:rsidR="00A60491" w:rsidRPr="00C53E63">
              <w:rPr>
                <w:rFonts w:ascii="Cambria" w:hAnsi="Cambria"/>
                <w:noProof/>
                <w:webHidden/>
              </w:rPr>
              <w:fldChar w:fldCharType="end"/>
            </w:r>
          </w:hyperlink>
        </w:p>
        <w:p w14:paraId="5711565B" w14:textId="6DBC0B03" w:rsidR="00A60491" w:rsidRPr="00C53E63" w:rsidRDefault="00AE615B">
          <w:pPr>
            <w:pStyle w:val="TM1"/>
            <w:rPr>
              <w:rFonts w:cstheme="minorBidi"/>
              <w:b w:val="0"/>
              <w:bCs w:val="0"/>
            </w:rPr>
          </w:pPr>
          <w:hyperlink w:anchor="_Toc87449087" w:history="1">
            <w:r w:rsidR="00A60491" w:rsidRPr="00C53E63">
              <w:rPr>
                <w:rStyle w:val="Lienhypertexte"/>
              </w:rPr>
              <w:t>MEF- des Finances, de l’Economie et du tourisme</w:t>
            </w:r>
            <w:r w:rsidR="00A60491" w:rsidRPr="00C53E63">
              <w:rPr>
                <w:webHidden/>
              </w:rPr>
              <w:tab/>
            </w:r>
            <w:r w:rsidR="00A60491" w:rsidRPr="00C53E63">
              <w:rPr>
                <w:webHidden/>
              </w:rPr>
              <w:fldChar w:fldCharType="begin"/>
            </w:r>
            <w:r w:rsidR="00A60491" w:rsidRPr="00C53E63">
              <w:rPr>
                <w:webHidden/>
              </w:rPr>
              <w:instrText xml:space="preserve"> PAGEREF _Toc87449087 \h </w:instrText>
            </w:r>
            <w:r w:rsidR="00A60491" w:rsidRPr="00C53E63">
              <w:rPr>
                <w:webHidden/>
              </w:rPr>
            </w:r>
            <w:r w:rsidR="00A60491" w:rsidRPr="00C53E63">
              <w:rPr>
                <w:webHidden/>
              </w:rPr>
              <w:fldChar w:fldCharType="separate"/>
            </w:r>
            <w:r w:rsidR="00A60491" w:rsidRPr="00C53E63">
              <w:rPr>
                <w:webHidden/>
              </w:rPr>
              <w:t>3</w:t>
            </w:r>
            <w:r w:rsidR="00A60491" w:rsidRPr="00C53E63">
              <w:rPr>
                <w:webHidden/>
              </w:rPr>
              <w:fldChar w:fldCharType="end"/>
            </w:r>
          </w:hyperlink>
        </w:p>
        <w:p w14:paraId="4F2AB50D" w14:textId="415B213E" w:rsidR="00A60491" w:rsidRPr="00C53E63" w:rsidRDefault="00AE615B">
          <w:pPr>
            <w:pStyle w:val="TM2"/>
            <w:rPr>
              <w:rFonts w:ascii="Cambria" w:hAnsi="Cambria" w:cstheme="minorBidi"/>
              <w:noProof/>
            </w:rPr>
          </w:pPr>
          <w:hyperlink w:anchor="_Toc87449088" w:history="1">
            <w:r w:rsidR="00A60491" w:rsidRPr="00C53E63">
              <w:rPr>
                <w:rStyle w:val="Lienhypertexte"/>
                <w:rFonts w:ascii="Cambria" w:hAnsi="Cambria"/>
                <w:noProof/>
              </w:rPr>
              <w:t>Projet d’arrêté relatif à la protection sociale des étudiants de Polynésie française</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_Toc87449088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3</w:t>
            </w:r>
            <w:r w:rsidR="00A60491" w:rsidRPr="00C53E63">
              <w:rPr>
                <w:rFonts w:ascii="Cambria" w:hAnsi="Cambria"/>
                <w:noProof/>
                <w:webHidden/>
              </w:rPr>
              <w:fldChar w:fldCharType="end"/>
            </w:r>
          </w:hyperlink>
        </w:p>
        <w:p w14:paraId="3470A551" w14:textId="41292F6A" w:rsidR="00A60491" w:rsidRPr="00C53E63" w:rsidRDefault="00AE615B">
          <w:pPr>
            <w:pStyle w:val="TM1"/>
            <w:rPr>
              <w:rFonts w:cstheme="minorBidi"/>
              <w:b w:val="0"/>
              <w:bCs w:val="0"/>
            </w:rPr>
          </w:pPr>
          <w:hyperlink w:anchor="_Toc87449089" w:history="1">
            <w:r w:rsidR="00A60491" w:rsidRPr="00C53E63">
              <w:rPr>
                <w:rStyle w:val="Lienhypertexte"/>
              </w:rPr>
              <w:t>MED – Ministre de l’Agriculture, de l’économie bleu et du domaine</w:t>
            </w:r>
            <w:r w:rsidR="00A60491" w:rsidRPr="00C53E63">
              <w:rPr>
                <w:webHidden/>
              </w:rPr>
              <w:tab/>
            </w:r>
            <w:r w:rsidR="00A60491" w:rsidRPr="00C53E63">
              <w:rPr>
                <w:webHidden/>
              </w:rPr>
              <w:fldChar w:fldCharType="begin"/>
            </w:r>
            <w:r w:rsidR="00A60491" w:rsidRPr="00C53E63">
              <w:rPr>
                <w:webHidden/>
              </w:rPr>
              <w:instrText xml:space="preserve"> PAGEREF _Toc87449089 \h </w:instrText>
            </w:r>
            <w:r w:rsidR="00A60491" w:rsidRPr="00C53E63">
              <w:rPr>
                <w:webHidden/>
              </w:rPr>
            </w:r>
            <w:r w:rsidR="00A60491" w:rsidRPr="00C53E63">
              <w:rPr>
                <w:webHidden/>
              </w:rPr>
              <w:fldChar w:fldCharType="separate"/>
            </w:r>
            <w:r w:rsidR="00A60491" w:rsidRPr="00C53E63">
              <w:rPr>
                <w:webHidden/>
              </w:rPr>
              <w:t>3</w:t>
            </w:r>
            <w:r w:rsidR="00A60491" w:rsidRPr="00C53E63">
              <w:rPr>
                <w:webHidden/>
              </w:rPr>
              <w:fldChar w:fldCharType="end"/>
            </w:r>
          </w:hyperlink>
        </w:p>
        <w:p w14:paraId="6082D5FD" w14:textId="3DC0405F" w:rsidR="00A60491" w:rsidRPr="00C53E63" w:rsidRDefault="00AE615B">
          <w:pPr>
            <w:pStyle w:val="TM2"/>
            <w:rPr>
              <w:rFonts w:ascii="Cambria" w:hAnsi="Cambria" w:cstheme="minorBidi"/>
              <w:noProof/>
            </w:rPr>
          </w:pPr>
          <w:hyperlink w:anchor="_Toc87449090" w:history="1">
            <w:r w:rsidR="00A60491" w:rsidRPr="00C53E63">
              <w:rPr>
                <w:rStyle w:val="Lienhypertexte"/>
                <w:rFonts w:ascii="Cambria" w:hAnsi="Cambria"/>
                <w:noProof/>
              </w:rPr>
              <w:t>Modification de l’arrêté relatif aux tarifs de cession des documents cadastraux</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_Toc87449090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3</w:t>
            </w:r>
            <w:r w:rsidR="00A60491" w:rsidRPr="00C53E63">
              <w:rPr>
                <w:rFonts w:ascii="Cambria" w:hAnsi="Cambria"/>
                <w:noProof/>
                <w:webHidden/>
              </w:rPr>
              <w:fldChar w:fldCharType="end"/>
            </w:r>
          </w:hyperlink>
        </w:p>
        <w:p w14:paraId="16582248" w14:textId="323B5044" w:rsidR="00A60491" w:rsidRPr="00C53E63" w:rsidRDefault="00AE615B">
          <w:pPr>
            <w:pStyle w:val="TM1"/>
            <w:rPr>
              <w:rFonts w:cstheme="minorBidi"/>
              <w:b w:val="0"/>
              <w:bCs w:val="0"/>
            </w:rPr>
          </w:pPr>
          <w:hyperlink w:anchor="_Toc87449091" w:history="1">
            <w:r w:rsidR="00A60491" w:rsidRPr="00C53E63">
              <w:rPr>
                <w:rStyle w:val="Lienhypertexte"/>
              </w:rPr>
              <w:t>MCE –</w:t>
            </w:r>
            <w:r w:rsidR="00A60491" w:rsidRPr="00C53E63">
              <w:t xml:space="preserve"> </w:t>
            </w:r>
            <w:r w:rsidR="00A60491" w:rsidRPr="00C53E63">
              <w:rPr>
                <w:rStyle w:val="Lienhypertexte"/>
              </w:rPr>
              <w:t>Ministre de la Culture et de l’environnement</w:t>
            </w:r>
            <w:r w:rsidR="00A60491" w:rsidRPr="00C53E63">
              <w:rPr>
                <w:webHidden/>
              </w:rPr>
              <w:tab/>
            </w:r>
            <w:r w:rsidR="00A60491" w:rsidRPr="00C53E63">
              <w:rPr>
                <w:webHidden/>
              </w:rPr>
              <w:fldChar w:fldCharType="begin"/>
            </w:r>
            <w:r w:rsidR="00A60491" w:rsidRPr="00C53E63">
              <w:rPr>
                <w:webHidden/>
              </w:rPr>
              <w:instrText xml:space="preserve"> PAGEREF _Toc87449091 \h </w:instrText>
            </w:r>
            <w:r w:rsidR="00A60491" w:rsidRPr="00C53E63">
              <w:rPr>
                <w:webHidden/>
              </w:rPr>
            </w:r>
            <w:r w:rsidR="00A60491" w:rsidRPr="00C53E63">
              <w:rPr>
                <w:webHidden/>
              </w:rPr>
              <w:fldChar w:fldCharType="separate"/>
            </w:r>
            <w:r w:rsidR="00A60491" w:rsidRPr="00C53E63">
              <w:rPr>
                <w:webHidden/>
              </w:rPr>
              <w:t>4</w:t>
            </w:r>
            <w:r w:rsidR="00A60491" w:rsidRPr="00C53E63">
              <w:rPr>
                <w:webHidden/>
              </w:rPr>
              <w:fldChar w:fldCharType="end"/>
            </w:r>
          </w:hyperlink>
        </w:p>
        <w:p w14:paraId="4E27CFB0" w14:textId="02C1D511" w:rsidR="00A60491" w:rsidRPr="00C53E63" w:rsidRDefault="00AE615B">
          <w:pPr>
            <w:pStyle w:val="TM2"/>
            <w:rPr>
              <w:rFonts w:ascii="Cambria" w:hAnsi="Cambria" w:cstheme="minorBidi"/>
              <w:noProof/>
            </w:rPr>
          </w:pPr>
          <w:hyperlink w:anchor="_Toc87449092" w:history="1">
            <w:r w:rsidR="00A60491" w:rsidRPr="00C53E63">
              <w:rPr>
                <w:rStyle w:val="Lienhypertexte"/>
                <w:rFonts w:ascii="Cambria" w:eastAsia="Times New Roman" w:hAnsi="Cambria"/>
                <w:noProof/>
              </w:rPr>
              <w:t>Avoir l’ambition de bâtir le « Grand Mur Bleu du Pacifique »</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_Toc87449092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4</w:t>
            </w:r>
            <w:r w:rsidR="00A60491" w:rsidRPr="00C53E63">
              <w:rPr>
                <w:rFonts w:ascii="Cambria" w:hAnsi="Cambria"/>
                <w:noProof/>
                <w:webHidden/>
              </w:rPr>
              <w:fldChar w:fldCharType="end"/>
            </w:r>
          </w:hyperlink>
        </w:p>
        <w:p w14:paraId="6857813B" w14:textId="38750AAB" w:rsidR="00A60491" w:rsidRPr="00C53E63" w:rsidRDefault="00AE615B">
          <w:pPr>
            <w:pStyle w:val="TM2"/>
            <w:rPr>
              <w:rFonts w:ascii="Cambria" w:hAnsi="Cambria" w:cstheme="minorBidi"/>
              <w:noProof/>
            </w:rPr>
          </w:pPr>
          <w:hyperlink w:anchor="_Toc87449093" w:history="1">
            <w:r w:rsidR="00A60491" w:rsidRPr="00C53E63">
              <w:rPr>
                <w:rStyle w:val="Lienhypertexte"/>
                <w:rFonts w:ascii="Cambria" w:eastAsia="Times New Roman" w:hAnsi="Cambria"/>
                <w:noProof/>
              </w:rPr>
              <w:t>Séminaire des associations de protection de l'environnement</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_Toc87449093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4</w:t>
            </w:r>
            <w:r w:rsidR="00A60491" w:rsidRPr="00C53E63">
              <w:rPr>
                <w:rFonts w:ascii="Cambria" w:hAnsi="Cambria"/>
                <w:noProof/>
                <w:webHidden/>
              </w:rPr>
              <w:fldChar w:fldCharType="end"/>
            </w:r>
          </w:hyperlink>
        </w:p>
        <w:p w14:paraId="00059CAA" w14:textId="71F9F2AB" w:rsidR="00A60491" w:rsidRPr="00C53E63" w:rsidRDefault="00AE615B">
          <w:pPr>
            <w:pStyle w:val="TM2"/>
            <w:rPr>
              <w:rFonts w:ascii="Cambria" w:hAnsi="Cambria" w:cstheme="minorBidi"/>
              <w:noProof/>
            </w:rPr>
          </w:pPr>
          <w:hyperlink w:anchor="_Toc87449094" w:history="1">
            <w:r w:rsidR="00A60491" w:rsidRPr="00C53E63">
              <w:rPr>
                <w:rStyle w:val="Lienhypertexte"/>
                <w:rFonts w:ascii="Cambria" w:eastAsia="Times New Roman" w:hAnsi="Cambria"/>
                <w:noProof/>
              </w:rPr>
              <w:t>Subventions en faveur 4 associations environnement, le COPF et 2 fédérations sportives</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_Toc87449094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5</w:t>
            </w:r>
            <w:r w:rsidR="00A60491" w:rsidRPr="00C53E63">
              <w:rPr>
                <w:rFonts w:ascii="Cambria" w:hAnsi="Cambria"/>
                <w:noProof/>
                <w:webHidden/>
              </w:rPr>
              <w:fldChar w:fldCharType="end"/>
            </w:r>
          </w:hyperlink>
        </w:p>
        <w:p w14:paraId="7257CC45" w14:textId="08ABE508" w:rsidR="00A60491" w:rsidRPr="00C53E63" w:rsidRDefault="00AE615B">
          <w:pPr>
            <w:pStyle w:val="TM1"/>
            <w:rPr>
              <w:rFonts w:cstheme="minorBidi"/>
              <w:b w:val="0"/>
              <w:bCs w:val="0"/>
            </w:rPr>
          </w:pPr>
          <w:hyperlink w:anchor="_Toc87449095" w:history="1">
            <w:r w:rsidR="00A60491" w:rsidRPr="00C53E63">
              <w:rPr>
                <w:rStyle w:val="Lienhypertexte"/>
              </w:rPr>
              <w:t>MEA – Ministre de l’Education, du travail et de la modernisation de l’administration</w:t>
            </w:r>
            <w:r w:rsidR="00A60491" w:rsidRPr="00C53E63">
              <w:rPr>
                <w:webHidden/>
              </w:rPr>
              <w:tab/>
            </w:r>
            <w:r w:rsidR="00A60491" w:rsidRPr="00C53E63">
              <w:rPr>
                <w:webHidden/>
              </w:rPr>
              <w:fldChar w:fldCharType="begin"/>
            </w:r>
            <w:r w:rsidR="00A60491" w:rsidRPr="00C53E63">
              <w:rPr>
                <w:webHidden/>
              </w:rPr>
              <w:instrText xml:space="preserve"> PAGEREF _Toc87449095 \h </w:instrText>
            </w:r>
            <w:r w:rsidR="00A60491" w:rsidRPr="00C53E63">
              <w:rPr>
                <w:webHidden/>
              </w:rPr>
            </w:r>
            <w:r w:rsidR="00A60491" w:rsidRPr="00C53E63">
              <w:rPr>
                <w:webHidden/>
              </w:rPr>
              <w:fldChar w:fldCharType="separate"/>
            </w:r>
            <w:r w:rsidR="00A60491" w:rsidRPr="00C53E63">
              <w:rPr>
                <w:webHidden/>
              </w:rPr>
              <w:t>5</w:t>
            </w:r>
            <w:r w:rsidR="00A60491" w:rsidRPr="00C53E63">
              <w:rPr>
                <w:webHidden/>
              </w:rPr>
              <w:fldChar w:fldCharType="end"/>
            </w:r>
          </w:hyperlink>
        </w:p>
        <w:p w14:paraId="2D445AD8" w14:textId="1BF2798A" w:rsidR="00A60491" w:rsidRPr="00C53E63" w:rsidRDefault="00AE615B">
          <w:pPr>
            <w:pStyle w:val="TM2"/>
            <w:rPr>
              <w:rFonts w:ascii="Cambria" w:hAnsi="Cambria" w:cstheme="minorBidi"/>
              <w:noProof/>
            </w:rPr>
          </w:pPr>
          <w:hyperlink w:anchor="_Toc87449096" w:history="1">
            <w:r w:rsidR="00A60491" w:rsidRPr="00C53E63">
              <w:rPr>
                <w:rStyle w:val="Lienhypertexte"/>
                <w:rFonts w:ascii="Cambria" w:hAnsi="Cambria"/>
                <w:noProof/>
              </w:rPr>
              <w:t>Subvention de fonctionnement en faveur du lycée professionnel de Taravao</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_Toc87449096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5</w:t>
            </w:r>
            <w:r w:rsidR="00A60491" w:rsidRPr="00C53E63">
              <w:rPr>
                <w:rFonts w:ascii="Cambria" w:hAnsi="Cambria"/>
                <w:noProof/>
                <w:webHidden/>
              </w:rPr>
              <w:fldChar w:fldCharType="end"/>
            </w:r>
          </w:hyperlink>
        </w:p>
        <w:p w14:paraId="325DE7C3" w14:textId="48B31067" w:rsidR="00A60491" w:rsidRPr="00C53E63" w:rsidRDefault="00AE615B">
          <w:pPr>
            <w:pStyle w:val="TM1"/>
            <w:rPr>
              <w:rFonts w:cstheme="minorBidi"/>
              <w:b w:val="0"/>
              <w:bCs w:val="0"/>
            </w:rPr>
          </w:pPr>
          <w:hyperlink w:anchor="_Toc87449097" w:history="1">
            <w:r w:rsidR="00A60491" w:rsidRPr="00C53E63">
              <w:rPr>
                <w:rStyle w:val="Lienhypertexte"/>
              </w:rPr>
              <w:t>MFA – Ministre de la Famille et des affaires sociales</w:t>
            </w:r>
            <w:r w:rsidR="00A60491" w:rsidRPr="00C53E63">
              <w:rPr>
                <w:webHidden/>
              </w:rPr>
              <w:tab/>
            </w:r>
            <w:r w:rsidR="00A60491" w:rsidRPr="00C53E63">
              <w:rPr>
                <w:webHidden/>
              </w:rPr>
              <w:fldChar w:fldCharType="begin"/>
            </w:r>
            <w:r w:rsidR="00A60491" w:rsidRPr="00C53E63">
              <w:rPr>
                <w:webHidden/>
              </w:rPr>
              <w:instrText xml:space="preserve"> PAGEREF _Toc87449097 \h </w:instrText>
            </w:r>
            <w:r w:rsidR="00A60491" w:rsidRPr="00C53E63">
              <w:rPr>
                <w:webHidden/>
              </w:rPr>
            </w:r>
            <w:r w:rsidR="00A60491" w:rsidRPr="00C53E63">
              <w:rPr>
                <w:webHidden/>
              </w:rPr>
              <w:fldChar w:fldCharType="separate"/>
            </w:r>
            <w:r w:rsidR="00A60491" w:rsidRPr="00C53E63">
              <w:rPr>
                <w:webHidden/>
              </w:rPr>
              <w:t>6</w:t>
            </w:r>
            <w:r w:rsidR="00A60491" w:rsidRPr="00C53E63">
              <w:rPr>
                <w:webHidden/>
              </w:rPr>
              <w:fldChar w:fldCharType="end"/>
            </w:r>
          </w:hyperlink>
        </w:p>
        <w:p w14:paraId="5790EEC4" w14:textId="3B64380C" w:rsidR="00A60491" w:rsidRPr="00C53E63" w:rsidRDefault="00AE615B">
          <w:pPr>
            <w:pStyle w:val="TM2"/>
            <w:rPr>
              <w:rFonts w:ascii="Cambria" w:hAnsi="Cambria" w:cstheme="minorBidi"/>
              <w:noProof/>
            </w:rPr>
          </w:pPr>
          <w:hyperlink w:anchor="_Toc87449098" w:history="1">
            <w:r w:rsidR="00A60491" w:rsidRPr="00C53E63">
              <w:rPr>
                <w:rStyle w:val="Lienhypertexte"/>
                <w:rFonts w:ascii="Cambria" w:eastAsia="Times New Roman" w:hAnsi="Cambria"/>
                <w:noProof/>
              </w:rPr>
              <w:t>Programme de la Journée des droits de l’enfant</w:t>
            </w:r>
            <w:r w:rsidR="00A60491" w:rsidRPr="00C53E63">
              <w:rPr>
                <w:rFonts w:ascii="Cambria" w:hAnsi="Cambria"/>
                <w:noProof/>
                <w:webHidden/>
              </w:rPr>
              <w:tab/>
            </w:r>
            <w:r w:rsidR="00A60491" w:rsidRPr="00C53E63">
              <w:rPr>
                <w:rFonts w:ascii="Cambria" w:hAnsi="Cambria"/>
                <w:noProof/>
                <w:webHidden/>
              </w:rPr>
              <w:fldChar w:fldCharType="begin"/>
            </w:r>
            <w:r w:rsidR="00A60491" w:rsidRPr="00C53E63">
              <w:rPr>
                <w:rFonts w:ascii="Cambria" w:hAnsi="Cambria"/>
                <w:noProof/>
                <w:webHidden/>
              </w:rPr>
              <w:instrText xml:space="preserve"> PAGEREF _Toc87449098 \h </w:instrText>
            </w:r>
            <w:r w:rsidR="00A60491" w:rsidRPr="00C53E63">
              <w:rPr>
                <w:rFonts w:ascii="Cambria" w:hAnsi="Cambria"/>
                <w:noProof/>
                <w:webHidden/>
              </w:rPr>
            </w:r>
            <w:r w:rsidR="00A60491" w:rsidRPr="00C53E63">
              <w:rPr>
                <w:rFonts w:ascii="Cambria" w:hAnsi="Cambria"/>
                <w:noProof/>
                <w:webHidden/>
              </w:rPr>
              <w:fldChar w:fldCharType="separate"/>
            </w:r>
            <w:r w:rsidR="00A60491" w:rsidRPr="00C53E63">
              <w:rPr>
                <w:rFonts w:ascii="Cambria" w:hAnsi="Cambria"/>
                <w:noProof/>
                <w:webHidden/>
              </w:rPr>
              <w:t>6</w:t>
            </w:r>
            <w:r w:rsidR="00A60491" w:rsidRPr="00C53E63">
              <w:rPr>
                <w:rFonts w:ascii="Cambria" w:hAnsi="Cambria"/>
                <w:noProof/>
                <w:webHidden/>
              </w:rPr>
              <w:fldChar w:fldCharType="end"/>
            </w:r>
          </w:hyperlink>
        </w:p>
        <w:p w14:paraId="1B6A2F8C" w14:textId="6E24C79E" w:rsidR="008560D1" w:rsidRPr="001E591D" w:rsidRDefault="0065694E" w:rsidP="001E591D">
          <w:pPr>
            <w:spacing w:line="276" w:lineRule="auto"/>
          </w:pPr>
          <w:r w:rsidRPr="00C53E63">
            <w:rPr>
              <w:rFonts w:ascii="Cambria" w:hAnsi="Cambria"/>
              <w:b/>
              <w:bCs/>
              <w:sz w:val="22"/>
              <w:szCs w:val="22"/>
            </w:rPr>
            <w:fldChar w:fldCharType="end"/>
          </w:r>
        </w:p>
      </w:sdtContent>
    </w:sdt>
    <w:bookmarkStart w:id="0" w:name="_Hlk61440491" w:displacedByCustomXml="prev"/>
    <w:bookmarkEnd w:id="0"/>
    <w:p w14:paraId="726EF3E9" w14:textId="27E942C0" w:rsidR="00FF7539" w:rsidRDefault="00936C76" w:rsidP="00FF7539">
      <w:pPr>
        <w:spacing w:after="160" w:line="259" w:lineRule="auto"/>
      </w:pPr>
      <w:r>
        <w:br w:type="page"/>
      </w:r>
    </w:p>
    <w:p w14:paraId="5DD892D0" w14:textId="77777777" w:rsidR="00FF7539" w:rsidRDefault="00FF7539" w:rsidP="00FF7539">
      <w:pPr>
        <w:pStyle w:val="Titre1"/>
      </w:pPr>
      <w:bookmarkStart w:id="1" w:name="_Toc87449082"/>
      <w:r>
        <w:lastRenderedPageBreak/>
        <w:t>Recomposition du Gouvernement</w:t>
      </w:r>
      <w:bookmarkEnd w:id="1"/>
    </w:p>
    <w:p w14:paraId="58852DF9" w14:textId="77777777" w:rsidR="00FF7539" w:rsidRPr="00FF7539" w:rsidRDefault="00FF7539" w:rsidP="00FF7539">
      <w:pPr>
        <w:spacing w:after="160" w:line="259" w:lineRule="auto"/>
        <w:jc w:val="both"/>
        <w:rPr>
          <w:rFonts w:ascii="Cambria" w:hAnsi="Cambria"/>
        </w:rPr>
      </w:pPr>
    </w:p>
    <w:p w14:paraId="08417F54" w14:textId="2DD37288" w:rsidR="00FF7539" w:rsidRPr="00FF7539" w:rsidRDefault="00FF7539" w:rsidP="00FF7539">
      <w:pPr>
        <w:spacing w:after="160" w:line="259" w:lineRule="auto"/>
        <w:jc w:val="both"/>
        <w:rPr>
          <w:rFonts w:ascii="Cambria" w:hAnsi="Cambria"/>
        </w:rPr>
      </w:pPr>
      <w:r w:rsidRPr="00FF7539">
        <w:rPr>
          <w:rFonts w:ascii="Cambria" w:hAnsi="Cambria"/>
        </w:rPr>
        <w:t>Il a été acté en Conseil des ministres ce mercredi 10 novembre</w:t>
      </w:r>
      <w:r w:rsidR="00CF6CEA">
        <w:rPr>
          <w:rFonts w:ascii="Cambria" w:hAnsi="Cambria"/>
        </w:rPr>
        <w:t>,</w:t>
      </w:r>
      <w:r w:rsidRPr="00FF7539">
        <w:rPr>
          <w:rFonts w:ascii="Cambria" w:hAnsi="Cambria"/>
        </w:rPr>
        <w:t xml:space="preserve"> la recomposition ministérielle suivante :</w:t>
      </w:r>
    </w:p>
    <w:p w14:paraId="4C53D357" w14:textId="74725105" w:rsidR="00FF7539" w:rsidRPr="00FF7539" w:rsidRDefault="00FF7539" w:rsidP="00FF7539">
      <w:pPr>
        <w:spacing w:after="160" w:line="259" w:lineRule="auto"/>
        <w:jc w:val="both"/>
        <w:rPr>
          <w:rFonts w:ascii="Cambria" w:hAnsi="Cambria"/>
        </w:rPr>
      </w:pPr>
      <w:r w:rsidRPr="00FF7539">
        <w:rPr>
          <w:rFonts w:ascii="Cambria" w:hAnsi="Cambria"/>
        </w:rPr>
        <w:t>Le Président de la Polynésie française, Edouard Fritch, a nommé au titre de Vice-président, Jean-Christophe Bouissou, actuel ministre du Logement et de l’aménagement, en charge des transports interinsulaires.</w:t>
      </w:r>
    </w:p>
    <w:p w14:paraId="3F0A52FC" w14:textId="77777777" w:rsidR="00333CE8" w:rsidRDefault="00FF7539" w:rsidP="00FF7539">
      <w:pPr>
        <w:spacing w:after="160" w:line="259" w:lineRule="auto"/>
        <w:jc w:val="both"/>
        <w:rPr>
          <w:rFonts w:ascii="Cambria" w:hAnsi="Cambria"/>
        </w:rPr>
      </w:pPr>
      <w:r w:rsidRPr="00FF7539">
        <w:rPr>
          <w:rFonts w:ascii="Cambria" w:hAnsi="Cambria"/>
        </w:rPr>
        <w:t xml:space="preserve">Il a aussi redistribué les portefeuilles de Nicole Bouteau, dont il a acté la démission, sans nommer de nouveaux ministres.  </w:t>
      </w:r>
    </w:p>
    <w:p w14:paraId="4A37C0BC" w14:textId="77777777" w:rsidR="00333CE8" w:rsidRDefault="00FF7539" w:rsidP="00FF7539">
      <w:pPr>
        <w:spacing w:after="160" w:line="259" w:lineRule="auto"/>
        <w:jc w:val="both"/>
        <w:rPr>
          <w:rFonts w:ascii="Cambria" w:hAnsi="Cambria"/>
        </w:rPr>
      </w:pPr>
      <w:r w:rsidRPr="00FF7539">
        <w:rPr>
          <w:rFonts w:ascii="Cambria" w:hAnsi="Cambria"/>
        </w:rPr>
        <w:t xml:space="preserve">Ainsi, Yvonnick Raffin, devient ministre des Finances, de l'économie et du tourisme, en charge de l'énergie, de la protection sociale généralisée et de la coordination de l'action gouvernementale. </w:t>
      </w:r>
    </w:p>
    <w:p w14:paraId="3CA5726F" w14:textId="77777777" w:rsidR="00333CE8" w:rsidRDefault="00FF7539" w:rsidP="00FF7539">
      <w:pPr>
        <w:spacing w:after="160" w:line="259" w:lineRule="auto"/>
        <w:jc w:val="both"/>
        <w:rPr>
          <w:rFonts w:ascii="Cambria" w:hAnsi="Cambria"/>
        </w:rPr>
      </w:pPr>
      <w:r w:rsidRPr="00FF7539">
        <w:rPr>
          <w:rFonts w:ascii="Cambria" w:hAnsi="Cambria"/>
        </w:rPr>
        <w:t xml:space="preserve">Christelle Lehartel devient ministre de l’Education, du travail et de la modernisation de l'Administration, en charge du numérique. </w:t>
      </w:r>
    </w:p>
    <w:p w14:paraId="3AB28A3B" w14:textId="57E9BA85" w:rsidR="00FF7539" w:rsidRPr="00FF7539" w:rsidRDefault="00FF7539" w:rsidP="00FF7539">
      <w:pPr>
        <w:spacing w:after="160" w:line="259" w:lineRule="auto"/>
        <w:jc w:val="both"/>
        <w:rPr>
          <w:rFonts w:ascii="Cambria" w:hAnsi="Cambria"/>
        </w:rPr>
      </w:pPr>
      <w:r w:rsidRPr="00FF7539">
        <w:rPr>
          <w:rFonts w:ascii="Cambria" w:hAnsi="Cambria"/>
        </w:rPr>
        <w:t>René Temeharo devient ministre des Grands travaux, des transports terrestres, en charge des relations avec les Institutions.</w:t>
      </w:r>
    </w:p>
    <w:p w14:paraId="1F3D75FB" w14:textId="77777777" w:rsidR="00FF7539" w:rsidRPr="00FF7539" w:rsidRDefault="00FF7539" w:rsidP="00FF7539">
      <w:pPr>
        <w:spacing w:after="160" w:line="259" w:lineRule="auto"/>
        <w:rPr>
          <w:rFonts w:ascii="Cambria" w:eastAsiaTheme="majorEastAsia" w:hAnsi="Cambria" w:cstheme="majorBidi"/>
          <w:b/>
          <w:color w:val="000000" w:themeColor="text1"/>
          <w:sz w:val="28"/>
          <w:szCs w:val="32"/>
        </w:rPr>
      </w:pPr>
    </w:p>
    <w:p w14:paraId="01A29D40" w14:textId="54198778" w:rsidR="00F532C7" w:rsidRDefault="00F532C7" w:rsidP="00F532C7">
      <w:pPr>
        <w:pStyle w:val="Titre1"/>
      </w:pPr>
      <w:bookmarkStart w:id="2" w:name="_Toc87449083"/>
      <w:r w:rsidRPr="00F532C7">
        <w:t>- P</w:t>
      </w:r>
      <w:r w:rsidR="00073530">
        <w:t>R</w:t>
      </w:r>
      <w:r w:rsidRPr="00F532C7">
        <w:t xml:space="preserve"> </w:t>
      </w:r>
      <w:r>
        <w:t>-</w:t>
      </w:r>
      <w:bookmarkEnd w:id="2"/>
    </w:p>
    <w:p w14:paraId="5F2BA991" w14:textId="77777777" w:rsidR="00F532C7" w:rsidRPr="00F532C7" w:rsidRDefault="00F532C7" w:rsidP="00F532C7"/>
    <w:p w14:paraId="56774E2E" w14:textId="66C6634E" w:rsidR="00F532C7" w:rsidRDefault="00EF4A34" w:rsidP="00F532C7">
      <w:pPr>
        <w:pStyle w:val="Titre2"/>
      </w:pPr>
      <w:bookmarkStart w:id="3" w:name="_Toc87449084"/>
      <w:r w:rsidRPr="00EF4A34">
        <w:t xml:space="preserve">Consultation des annonces légales sur le site </w:t>
      </w:r>
      <w:proofErr w:type="spellStart"/>
      <w:r w:rsidRPr="00EF4A34">
        <w:t>Lexpol</w:t>
      </w:r>
      <w:bookmarkEnd w:id="3"/>
      <w:proofErr w:type="spellEnd"/>
    </w:p>
    <w:p w14:paraId="63DC9DB9" w14:textId="77777777" w:rsidR="004A3805" w:rsidRPr="004A3805" w:rsidRDefault="004A3805" w:rsidP="004A3805"/>
    <w:p w14:paraId="74506E5D" w14:textId="62964A31" w:rsidR="00EF4A34" w:rsidRPr="00EF4A34" w:rsidRDefault="00EF4A34" w:rsidP="00EF4A34">
      <w:pPr>
        <w:pStyle w:val="NormalWeb"/>
        <w:jc w:val="both"/>
        <w:rPr>
          <w:rFonts w:ascii="Cambria" w:hAnsi="Cambria" w:cs="Arial"/>
        </w:rPr>
      </w:pPr>
      <w:r w:rsidRPr="00EF4A34">
        <w:rPr>
          <w:rFonts w:ascii="Cambria" w:hAnsi="Cambria" w:cs="Arial"/>
        </w:rPr>
        <w:t>Le Conseil des ministres a pris connaissance d’une communication sur le nouvel espace de consultation des « Annonces judiciaires et légales » sur le site public d’accès au droit</w:t>
      </w:r>
      <w:r>
        <w:rPr>
          <w:rFonts w:ascii="Cambria" w:hAnsi="Cambria" w:cs="Arial"/>
        </w:rPr>
        <w:t xml:space="preserve"> </w:t>
      </w:r>
      <w:r w:rsidRPr="00EF4A34">
        <w:rPr>
          <w:rFonts w:ascii="Cambria" w:hAnsi="Cambria" w:cs="Arial"/>
        </w:rPr>
        <w:t xml:space="preserve">: </w:t>
      </w:r>
      <w:proofErr w:type="spellStart"/>
      <w:r w:rsidRPr="00EF4A34">
        <w:rPr>
          <w:rFonts w:ascii="Cambria" w:hAnsi="Cambria" w:cs="Arial"/>
        </w:rPr>
        <w:t>Lexpol</w:t>
      </w:r>
      <w:proofErr w:type="spellEnd"/>
      <w:r w:rsidRPr="00EF4A34">
        <w:rPr>
          <w:rFonts w:ascii="Cambria" w:hAnsi="Cambria" w:cs="Arial"/>
        </w:rPr>
        <w:t>.</w:t>
      </w:r>
    </w:p>
    <w:p w14:paraId="39AC8E6A" w14:textId="64BF22DD" w:rsidR="00EF4A34" w:rsidRPr="00EF4A34" w:rsidRDefault="00EF4A34" w:rsidP="00EF4A34">
      <w:pPr>
        <w:pStyle w:val="NormalWeb"/>
        <w:jc w:val="both"/>
        <w:rPr>
          <w:rFonts w:ascii="Cambria" w:hAnsi="Cambria" w:cs="Arial"/>
        </w:rPr>
      </w:pPr>
      <w:r w:rsidRPr="00EF4A34">
        <w:rPr>
          <w:rFonts w:ascii="Cambria" w:hAnsi="Cambria" w:cs="Arial"/>
        </w:rPr>
        <w:t xml:space="preserve">Il était déjà possible, depuis 2013, de retrouver sur </w:t>
      </w:r>
      <w:proofErr w:type="spellStart"/>
      <w:r w:rsidRPr="00EF4A34">
        <w:rPr>
          <w:rFonts w:ascii="Cambria" w:hAnsi="Cambria" w:cs="Arial"/>
        </w:rPr>
        <w:t>Lexpol</w:t>
      </w:r>
      <w:proofErr w:type="spellEnd"/>
      <w:r w:rsidRPr="00EF4A34">
        <w:rPr>
          <w:rFonts w:ascii="Cambria" w:hAnsi="Cambria" w:cs="Arial"/>
        </w:rPr>
        <w:t>,</w:t>
      </w:r>
      <w:r>
        <w:rPr>
          <w:rFonts w:ascii="Cambria" w:hAnsi="Cambria" w:cs="Arial"/>
        </w:rPr>
        <w:t xml:space="preserve"> </w:t>
      </w:r>
      <w:r w:rsidRPr="00EF4A34">
        <w:rPr>
          <w:rFonts w:ascii="Cambria" w:hAnsi="Cambria" w:cs="Arial"/>
        </w:rPr>
        <w:t>toutes les annonces publiées au Journal officiel de la Polynésie française, mais l’outil de recherche avait besoin d’être modernisé. L’interface a donc été entièrement redessinée. Il est désormais possible de retrouver, sans peine, une annonce légale, en entrant simplement le nom, ou bien le numéro RCS, ou Tahiti, d’une entreprise. On peut également cibler sa recherche par période et par formalité.</w:t>
      </w:r>
    </w:p>
    <w:p w14:paraId="565122B0" w14:textId="77777777" w:rsidR="00EF4A34" w:rsidRPr="00EF4A34" w:rsidRDefault="00EF4A34" w:rsidP="00EF4A34">
      <w:pPr>
        <w:pStyle w:val="NormalWeb"/>
        <w:jc w:val="both"/>
        <w:rPr>
          <w:rFonts w:ascii="Cambria" w:hAnsi="Cambria" w:cs="Arial"/>
        </w:rPr>
      </w:pPr>
      <w:r w:rsidRPr="00EF4A34">
        <w:rPr>
          <w:rFonts w:ascii="Cambria" w:hAnsi="Cambria" w:cs="Arial"/>
        </w:rPr>
        <w:t>Parallèlement, la protection des données personnelles a été améliorée, avec la création d’un espace protégé. Cet espace protégé empêche l’indexation par les moteurs de recherche de toutes les annonces touchant à la vie privée.</w:t>
      </w:r>
    </w:p>
    <w:p w14:paraId="4C3EC5F2" w14:textId="53CAF52E" w:rsidR="001E591D" w:rsidRDefault="00EF4A34" w:rsidP="00EF4A34">
      <w:pPr>
        <w:pStyle w:val="NormalWeb"/>
        <w:jc w:val="both"/>
        <w:rPr>
          <w:rFonts w:ascii="Cambria" w:hAnsi="Cambria" w:cs="Arial"/>
        </w:rPr>
      </w:pPr>
      <w:r w:rsidRPr="00EF4A34">
        <w:rPr>
          <w:rFonts w:ascii="Cambria" w:hAnsi="Cambria" w:cs="Arial"/>
        </w:rPr>
        <w:t>Cette modernisation du site d’annonces légales devrait désormais répondre au besoin d’information des acteurs économiques et des professionnels du droit.</w:t>
      </w:r>
    </w:p>
    <w:p w14:paraId="3B6D7418" w14:textId="16BB89ED" w:rsidR="008F4EDA" w:rsidRDefault="008F4EDA" w:rsidP="008F4EDA">
      <w:pPr>
        <w:pStyle w:val="NormalWeb"/>
        <w:jc w:val="both"/>
        <w:rPr>
          <w:rFonts w:ascii="Cambria" w:hAnsi="Cambria"/>
        </w:rPr>
      </w:pPr>
    </w:p>
    <w:p w14:paraId="33A6F994" w14:textId="27C16A40" w:rsidR="00566602" w:rsidRDefault="00566602" w:rsidP="008F4EDA">
      <w:pPr>
        <w:pStyle w:val="NormalWeb"/>
        <w:jc w:val="both"/>
        <w:rPr>
          <w:rFonts w:ascii="Cambria" w:hAnsi="Cambria"/>
        </w:rPr>
      </w:pPr>
    </w:p>
    <w:p w14:paraId="4215D7AA" w14:textId="77777777" w:rsidR="00566602" w:rsidRDefault="00566602" w:rsidP="008F4EDA">
      <w:pPr>
        <w:pStyle w:val="NormalWeb"/>
        <w:jc w:val="both"/>
        <w:rPr>
          <w:rFonts w:ascii="Cambria" w:hAnsi="Cambria"/>
        </w:rPr>
      </w:pPr>
    </w:p>
    <w:p w14:paraId="0C4F72F6" w14:textId="4274A3F8" w:rsidR="00FF7539" w:rsidRDefault="00FF7539" w:rsidP="00FF7539">
      <w:pPr>
        <w:pStyle w:val="Titre1"/>
      </w:pPr>
      <w:bookmarkStart w:id="4" w:name="_Toc87449085"/>
      <w:r w:rsidRPr="00F532C7">
        <w:lastRenderedPageBreak/>
        <w:t xml:space="preserve">- </w:t>
      </w:r>
      <w:r w:rsidR="00A60491">
        <w:t>VP</w:t>
      </w:r>
      <w:r>
        <w:t>-</w:t>
      </w:r>
      <w:bookmarkEnd w:id="4"/>
    </w:p>
    <w:p w14:paraId="5EF9FDB0" w14:textId="77777777" w:rsidR="00FF7539" w:rsidRPr="00F532C7" w:rsidRDefault="00FF7539" w:rsidP="00FF7539"/>
    <w:p w14:paraId="37863D3A" w14:textId="77777777" w:rsidR="00FF7539" w:rsidRDefault="00FF7539" w:rsidP="00FF7539">
      <w:pPr>
        <w:pStyle w:val="Titre2"/>
        <w:rPr>
          <w:rStyle w:val="lev"/>
          <w:b/>
          <w:bCs w:val="0"/>
        </w:rPr>
      </w:pPr>
      <w:bookmarkStart w:id="5" w:name="_Toc87449086"/>
      <w:r w:rsidRPr="00D035B6">
        <w:rPr>
          <w:rStyle w:val="lev"/>
          <w:b/>
          <w:bCs w:val="0"/>
        </w:rPr>
        <w:t>Modification de l’arrêté portant organisation de la Délégation à l’habitat et à la ville</w:t>
      </w:r>
      <w:bookmarkEnd w:id="5"/>
    </w:p>
    <w:p w14:paraId="33E7B050" w14:textId="77777777" w:rsidR="00FF7539" w:rsidRPr="004A3805" w:rsidRDefault="00FF7539" w:rsidP="00FF7539"/>
    <w:p w14:paraId="5A63C986" w14:textId="77777777" w:rsidR="00FF7539" w:rsidRPr="00D76297" w:rsidRDefault="00FF7539" w:rsidP="00FF7539">
      <w:pPr>
        <w:pStyle w:val="NormalWeb"/>
        <w:jc w:val="both"/>
        <w:rPr>
          <w:rFonts w:ascii="Cambria" w:hAnsi="Cambria" w:cs="Arial"/>
        </w:rPr>
      </w:pPr>
      <w:r w:rsidRPr="00D76297">
        <w:rPr>
          <w:rFonts w:ascii="Cambria" w:hAnsi="Cambria" w:cs="Arial"/>
        </w:rPr>
        <w:t>Créée en 2016, la Délégation à l’habitat et à la ville (DHV), service administratif placé sous la tutelle du ministre en charge du Logement, est chargée de participer à la définition, l’animation, la coordination et l’évaluation des politiques d’habitat, de rénovation urbaine et de la ville.</w:t>
      </w:r>
    </w:p>
    <w:p w14:paraId="4136F910" w14:textId="77777777" w:rsidR="00FF7539" w:rsidRPr="00D76297" w:rsidRDefault="00FF7539" w:rsidP="00FF7539">
      <w:pPr>
        <w:pStyle w:val="NormalWeb"/>
        <w:jc w:val="both"/>
        <w:rPr>
          <w:rFonts w:ascii="Cambria" w:hAnsi="Cambria" w:cs="Arial"/>
        </w:rPr>
      </w:pPr>
      <w:r w:rsidRPr="00D76297">
        <w:rPr>
          <w:rFonts w:ascii="Cambria" w:hAnsi="Cambria" w:cs="Arial"/>
        </w:rPr>
        <w:t xml:space="preserve">La transversalité qui caractérise ses domaines d’intervention, tend à faire progressivement de ce service </w:t>
      </w:r>
      <w:r>
        <w:rPr>
          <w:rFonts w:ascii="Cambria" w:hAnsi="Cambria" w:cs="Arial"/>
        </w:rPr>
        <w:t>le pivot</w:t>
      </w:r>
      <w:r w:rsidRPr="00D76297">
        <w:rPr>
          <w:rFonts w:ascii="Cambria" w:hAnsi="Cambria" w:cs="Arial"/>
        </w:rPr>
        <w:t xml:space="preserve"> des dispositifs existants en ces matières mais relevant aujourd’hui de différents services.</w:t>
      </w:r>
    </w:p>
    <w:p w14:paraId="39390C23" w14:textId="6DE1DAF8" w:rsidR="00854E57" w:rsidRPr="00FF7539" w:rsidRDefault="00FF7539" w:rsidP="00B16100">
      <w:pPr>
        <w:pStyle w:val="NormalWeb"/>
        <w:jc w:val="both"/>
        <w:rPr>
          <w:rFonts w:ascii="Cambria" w:hAnsi="Cambria" w:cs="Arial"/>
        </w:rPr>
      </w:pPr>
      <w:r w:rsidRPr="00D76297">
        <w:rPr>
          <w:rFonts w:ascii="Cambria" w:hAnsi="Cambria" w:cs="Arial"/>
        </w:rPr>
        <w:t>Le Conseil des ministres s’inscrit dans une nouvelle logique de simplification à l’égard des usagers en configurant la DHV comme un guichet unique d’information des particuliers en matière de logement, d’instruction des demandes d’agrément des organismes privés de logement social et de gestion comptable de l’aide familiale au logement.</w:t>
      </w:r>
    </w:p>
    <w:p w14:paraId="68280776" w14:textId="77777777" w:rsidR="00854E57" w:rsidRPr="00F532C7" w:rsidRDefault="00854E57" w:rsidP="00B16100">
      <w:pPr>
        <w:pStyle w:val="NormalWeb"/>
        <w:jc w:val="both"/>
        <w:rPr>
          <w:rFonts w:ascii="Cambria" w:hAnsi="Cambria"/>
        </w:rPr>
      </w:pPr>
    </w:p>
    <w:p w14:paraId="4084B57C" w14:textId="699E9569" w:rsidR="00F532C7" w:rsidRDefault="00F532C7" w:rsidP="00F532C7">
      <w:pPr>
        <w:pStyle w:val="Titre1"/>
      </w:pPr>
      <w:bookmarkStart w:id="6" w:name="_Toc87449087"/>
      <w:r w:rsidRPr="00F532C7">
        <w:t>- M</w:t>
      </w:r>
      <w:r w:rsidR="00073530">
        <w:t>EF</w:t>
      </w:r>
      <w:r>
        <w:t>-</w:t>
      </w:r>
      <w:bookmarkEnd w:id="6"/>
    </w:p>
    <w:p w14:paraId="19C49745" w14:textId="77777777" w:rsidR="00F532C7" w:rsidRPr="00F532C7" w:rsidRDefault="00F532C7" w:rsidP="00F532C7"/>
    <w:p w14:paraId="3E332F36" w14:textId="219B9BC0" w:rsidR="00F532C7" w:rsidRDefault="00D76297" w:rsidP="00F532C7">
      <w:pPr>
        <w:pStyle w:val="Titre2"/>
        <w:rPr>
          <w:rStyle w:val="lev"/>
          <w:b/>
          <w:bCs w:val="0"/>
        </w:rPr>
      </w:pPr>
      <w:bookmarkStart w:id="7" w:name="_Toc87449088"/>
      <w:r w:rsidRPr="00D76297">
        <w:rPr>
          <w:rStyle w:val="lev"/>
          <w:b/>
          <w:bCs w:val="0"/>
        </w:rPr>
        <w:t>Projet d’arrêté relatif à la protection sociale des étudiants de Polynésie française</w:t>
      </w:r>
      <w:bookmarkEnd w:id="7"/>
    </w:p>
    <w:p w14:paraId="69B2CA8C" w14:textId="77777777" w:rsidR="004A3805" w:rsidRPr="004A3805" w:rsidRDefault="004A3805" w:rsidP="004A3805"/>
    <w:p w14:paraId="2B7B80FB" w14:textId="394CF653" w:rsidR="00D76297" w:rsidRPr="00D76297" w:rsidRDefault="00D76297" w:rsidP="00D76297">
      <w:pPr>
        <w:pStyle w:val="NormalWeb"/>
        <w:jc w:val="both"/>
        <w:rPr>
          <w:rFonts w:ascii="Cambria" w:hAnsi="Cambria" w:cs="Arial"/>
        </w:rPr>
      </w:pPr>
      <w:r w:rsidRPr="00D76297">
        <w:rPr>
          <w:rFonts w:ascii="Cambria" w:hAnsi="Cambria" w:cs="Arial"/>
        </w:rPr>
        <w:t>La protection sociale des étudiants est complétée de la manière suivante :</w:t>
      </w:r>
    </w:p>
    <w:p w14:paraId="3C0FDAC7" w14:textId="77777777" w:rsidR="00D76297" w:rsidRPr="00D76297" w:rsidRDefault="00D76297" w:rsidP="00D76297">
      <w:pPr>
        <w:pStyle w:val="NormalWeb"/>
        <w:jc w:val="both"/>
        <w:rPr>
          <w:rFonts w:ascii="Cambria" w:hAnsi="Cambria" w:cs="Arial"/>
        </w:rPr>
      </w:pPr>
      <w:r w:rsidRPr="00D76297">
        <w:rPr>
          <w:rFonts w:ascii="Cambria" w:hAnsi="Cambria" w:cs="Arial"/>
        </w:rPr>
        <w:t>Pour les étudiants effectuant leurs études en dehors de la Polynésie française et de l’Hexagone, il est ouvert un accès au régime de solidarité de la Polynésie française (RSPF) durant leur séjour au Fenua.</w:t>
      </w:r>
    </w:p>
    <w:p w14:paraId="4748DA9C" w14:textId="77777777" w:rsidR="00D76297" w:rsidRPr="00D76297" w:rsidRDefault="00D76297" w:rsidP="00D76297">
      <w:pPr>
        <w:pStyle w:val="NormalWeb"/>
        <w:jc w:val="both"/>
        <w:rPr>
          <w:rFonts w:ascii="Cambria" w:hAnsi="Cambria" w:cs="Arial"/>
        </w:rPr>
      </w:pPr>
      <w:r w:rsidRPr="00D76297">
        <w:rPr>
          <w:rFonts w:ascii="Cambria" w:hAnsi="Cambria" w:cs="Arial"/>
        </w:rPr>
        <w:t>Pour les étudiants en métropole, lors de leur séjour au Pays, ils peuvent bénéficier de la continuité de prise en charge de leurs soins par leur régime de protection universelle maladie (</w:t>
      </w:r>
      <w:proofErr w:type="spellStart"/>
      <w:r w:rsidRPr="00D76297">
        <w:rPr>
          <w:rFonts w:ascii="Cambria" w:hAnsi="Cambria" w:cs="Arial"/>
        </w:rPr>
        <w:t>PUMa</w:t>
      </w:r>
      <w:proofErr w:type="spellEnd"/>
      <w:r w:rsidRPr="00D76297">
        <w:rPr>
          <w:rFonts w:ascii="Cambria" w:hAnsi="Cambria" w:cs="Arial"/>
        </w:rPr>
        <w:t>) au titre de l’accord de coordination entre la CPS et la sécurité sociale. A cet effet la CPS les accompagnera pour bénéficier de ce droit.</w:t>
      </w:r>
    </w:p>
    <w:p w14:paraId="50F7761A" w14:textId="77777777" w:rsidR="00D76297" w:rsidRPr="00D76297" w:rsidRDefault="00D76297" w:rsidP="00D76297">
      <w:pPr>
        <w:pStyle w:val="NormalWeb"/>
        <w:jc w:val="both"/>
        <w:rPr>
          <w:rFonts w:ascii="Cambria" w:hAnsi="Cambria" w:cs="Arial"/>
        </w:rPr>
      </w:pPr>
      <w:r w:rsidRPr="00D76297">
        <w:rPr>
          <w:rFonts w:ascii="Cambria" w:hAnsi="Cambria" w:cs="Arial"/>
        </w:rPr>
        <w:t>Pour les étudiants effectuant leurs études en Polynésie française le dispositif actuel reste applicable, à savoir une affiliation par assimilation au régime général des salariés (RGS).</w:t>
      </w:r>
    </w:p>
    <w:p w14:paraId="7DD6734F" w14:textId="407A9EB5" w:rsidR="00F532C7" w:rsidRDefault="00D76297" w:rsidP="00D76297">
      <w:pPr>
        <w:pStyle w:val="NormalWeb"/>
        <w:jc w:val="both"/>
        <w:rPr>
          <w:rFonts w:ascii="Cambria" w:hAnsi="Cambria" w:cs="Arial"/>
        </w:rPr>
      </w:pPr>
      <w:r w:rsidRPr="00D76297">
        <w:rPr>
          <w:rFonts w:ascii="Cambria" w:hAnsi="Cambria" w:cs="Arial"/>
        </w:rPr>
        <w:t>Par ailleurs, pour tous les étudiants il est proposé d’ouvrir une admission directe au RSPF à la fin de leurs études et ce pour une période d’une année afin de les accompagner au mieux dans leur recherche d’activité. Pour autant le caractère d’urgence de ce dispositif est limité dans le temps, jusqu’au 31 décembre 2021, une loi du pays viendra se substituer pour le pérenniser dans le temps.</w:t>
      </w:r>
    </w:p>
    <w:p w14:paraId="0F0D7341" w14:textId="287DD405" w:rsidR="008F4EDA" w:rsidRDefault="008F4EDA" w:rsidP="00F532C7">
      <w:pPr>
        <w:pStyle w:val="NormalWeb"/>
        <w:jc w:val="both"/>
        <w:rPr>
          <w:rFonts w:ascii="Cambria" w:hAnsi="Cambria"/>
        </w:rPr>
      </w:pPr>
    </w:p>
    <w:p w14:paraId="4BD4D8FA" w14:textId="77777777" w:rsidR="00FF7539" w:rsidRDefault="00FF7539" w:rsidP="00FF7539">
      <w:pPr>
        <w:pStyle w:val="Titre1"/>
      </w:pPr>
      <w:bookmarkStart w:id="8" w:name="_Toc87449089"/>
      <w:r w:rsidRPr="00F532C7">
        <w:t xml:space="preserve">- </w:t>
      </w:r>
      <w:r>
        <w:t>MED</w:t>
      </w:r>
      <w:r w:rsidRPr="00F532C7">
        <w:t xml:space="preserve"> </w:t>
      </w:r>
      <w:r>
        <w:t>-</w:t>
      </w:r>
      <w:bookmarkEnd w:id="8"/>
    </w:p>
    <w:p w14:paraId="3F94C583" w14:textId="77777777" w:rsidR="00FF7539" w:rsidRPr="00F532C7" w:rsidRDefault="00FF7539" w:rsidP="00FF7539"/>
    <w:p w14:paraId="496A127F" w14:textId="77777777" w:rsidR="00FF7539" w:rsidRDefault="00FF7539" w:rsidP="00FF7539">
      <w:pPr>
        <w:pStyle w:val="Titre2"/>
        <w:rPr>
          <w:rStyle w:val="lev"/>
          <w:b/>
          <w:bCs w:val="0"/>
        </w:rPr>
      </w:pPr>
      <w:bookmarkStart w:id="9" w:name="_Toc87449090"/>
      <w:r w:rsidRPr="00B16100">
        <w:rPr>
          <w:rStyle w:val="lev"/>
          <w:b/>
          <w:bCs w:val="0"/>
        </w:rPr>
        <w:t>Modification de l’arrêté relatif aux tarifs de cession des documents cadastraux</w:t>
      </w:r>
      <w:bookmarkEnd w:id="9"/>
    </w:p>
    <w:p w14:paraId="05547F29" w14:textId="77777777" w:rsidR="00FF7539" w:rsidRPr="004A3805" w:rsidRDefault="00FF7539" w:rsidP="00FF7539"/>
    <w:p w14:paraId="159F0663" w14:textId="77777777" w:rsidR="00FF7539" w:rsidRPr="00B16100" w:rsidRDefault="00FF7539" w:rsidP="00FF7539">
      <w:pPr>
        <w:pStyle w:val="NormalWeb"/>
        <w:jc w:val="both"/>
        <w:rPr>
          <w:rFonts w:ascii="Cambria" w:hAnsi="Cambria" w:cs="Arial"/>
        </w:rPr>
      </w:pPr>
      <w:r w:rsidRPr="00B16100">
        <w:rPr>
          <w:rFonts w:ascii="Cambria" w:hAnsi="Cambria" w:cs="Arial"/>
        </w:rPr>
        <w:t xml:space="preserve">Afin de gérer la consultation, la conservation et la publicité du cadastre, une application informatique nommée « OTIA » a été déployée au sein de la Direction des Affaires Foncières (DAF). </w:t>
      </w:r>
    </w:p>
    <w:p w14:paraId="10C4CA2D" w14:textId="77777777" w:rsidR="00FF7539" w:rsidRPr="00B16100" w:rsidRDefault="00FF7539" w:rsidP="00FF7539">
      <w:pPr>
        <w:pStyle w:val="NormalWeb"/>
        <w:jc w:val="both"/>
        <w:rPr>
          <w:rFonts w:ascii="Cambria" w:hAnsi="Cambria" w:cs="Arial"/>
        </w:rPr>
      </w:pPr>
      <w:r w:rsidRPr="00B16100">
        <w:rPr>
          <w:rFonts w:ascii="Cambria" w:hAnsi="Cambria" w:cs="Arial"/>
        </w:rPr>
        <w:lastRenderedPageBreak/>
        <w:t>Cette initiative avait pour objectif principal de faciliter l’accès aux documents administratifs pour l’ensemble des usagers de la DAF.</w:t>
      </w:r>
    </w:p>
    <w:p w14:paraId="688CDB64" w14:textId="77777777" w:rsidR="00FF7539" w:rsidRPr="00B16100" w:rsidRDefault="00FF7539" w:rsidP="00FF7539">
      <w:pPr>
        <w:pStyle w:val="NormalWeb"/>
        <w:jc w:val="both"/>
        <w:rPr>
          <w:rFonts w:ascii="Cambria" w:hAnsi="Cambria" w:cs="Arial"/>
        </w:rPr>
      </w:pPr>
      <w:r w:rsidRPr="00B16100">
        <w:rPr>
          <w:rFonts w:ascii="Cambria" w:hAnsi="Cambria" w:cs="Arial"/>
        </w:rPr>
        <w:t>Afin de rapprocher davantage le service public vers les usagers, le Pays a souhaité donner la possibilité aux communes de délivrer elles-mêmes certains documents cadastraux tels que des extraits de plans cadastraux et des plans de situation à partir de l'application « OTIA ». Cette faculté est ouverte aux communes qui le souhaitent depuis 2018 (loi du pays du 9 novembre 2018).</w:t>
      </w:r>
    </w:p>
    <w:p w14:paraId="7EC96A42" w14:textId="77777777" w:rsidR="00FF7539" w:rsidRPr="00B16100" w:rsidRDefault="00FF7539" w:rsidP="00FF7539">
      <w:pPr>
        <w:pStyle w:val="NormalWeb"/>
        <w:jc w:val="both"/>
        <w:rPr>
          <w:rFonts w:ascii="Cambria" w:hAnsi="Cambria" w:cs="Arial"/>
        </w:rPr>
      </w:pPr>
      <w:r w:rsidRPr="00B16100">
        <w:rPr>
          <w:rFonts w:ascii="Cambria" w:hAnsi="Cambria" w:cs="Arial"/>
        </w:rPr>
        <w:t xml:space="preserve">Depuis la mise en œuvre de ce dispositif, les missions de la DAF ont évolué. Il s’est ainsi avéré nécessaire de procéder à une refonte complète des tarifs de délivrance des documents cadastraux (arrêté du 3 juillet 2020). </w:t>
      </w:r>
    </w:p>
    <w:p w14:paraId="0FFE6B81" w14:textId="77777777" w:rsidR="00FF7539" w:rsidRPr="00B16100" w:rsidRDefault="00FF7539" w:rsidP="00FF7539">
      <w:pPr>
        <w:pStyle w:val="NormalWeb"/>
        <w:jc w:val="both"/>
        <w:rPr>
          <w:rFonts w:ascii="Cambria" w:hAnsi="Cambria" w:cs="Arial"/>
        </w:rPr>
      </w:pPr>
      <w:r w:rsidRPr="00B16100">
        <w:rPr>
          <w:rFonts w:ascii="Cambria" w:hAnsi="Cambria" w:cs="Arial"/>
        </w:rPr>
        <w:t>La modification de ce texte prévoit la possibilité pour les communes, de conserver la redevance des actes délivrés au bénéfice de leur régie communale.</w:t>
      </w:r>
    </w:p>
    <w:p w14:paraId="2E6EDB5A" w14:textId="77777777" w:rsidR="00FF7539" w:rsidRDefault="00FF7539" w:rsidP="00FF7539">
      <w:pPr>
        <w:pStyle w:val="NormalWeb"/>
        <w:jc w:val="both"/>
        <w:rPr>
          <w:rFonts w:ascii="Cambria" w:hAnsi="Cambria" w:cs="Arial"/>
        </w:rPr>
      </w:pPr>
      <w:r w:rsidRPr="00B16100">
        <w:rPr>
          <w:rFonts w:ascii="Cambria" w:hAnsi="Cambria" w:cs="Arial"/>
        </w:rPr>
        <w:t>Il est à noter qu’à ce jour, près de 18 communes (dont 34 communes associées) sont autorisées à délivrer les documents cadastraux susmentionnés.</w:t>
      </w:r>
    </w:p>
    <w:p w14:paraId="7E3B811B" w14:textId="77777777" w:rsidR="00FF7539" w:rsidRPr="00F532C7" w:rsidRDefault="00FF7539" w:rsidP="00F532C7">
      <w:pPr>
        <w:pStyle w:val="NormalWeb"/>
        <w:jc w:val="both"/>
        <w:rPr>
          <w:rFonts w:ascii="Cambria" w:hAnsi="Cambria"/>
        </w:rPr>
      </w:pPr>
    </w:p>
    <w:p w14:paraId="7A1A0366" w14:textId="3B20DA2D" w:rsidR="00073530" w:rsidRPr="00F532C7" w:rsidRDefault="00073530" w:rsidP="00073530">
      <w:pPr>
        <w:pStyle w:val="NormalWeb"/>
        <w:jc w:val="both"/>
        <w:rPr>
          <w:rFonts w:ascii="Cambria" w:hAnsi="Cambria"/>
        </w:rPr>
      </w:pPr>
    </w:p>
    <w:p w14:paraId="00910B5D" w14:textId="7A99540E" w:rsidR="00F532C7" w:rsidRDefault="00F532C7" w:rsidP="00F532C7">
      <w:pPr>
        <w:pStyle w:val="Titre1"/>
      </w:pPr>
      <w:bookmarkStart w:id="10" w:name="_Toc87449091"/>
      <w:r w:rsidRPr="00F532C7">
        <w:t xml:space="preserve">- </w:t>
      </w:r>
      <w:r w:rsidR="00073530">
        <w:t>MCE</w:t>
      </w:r>
      <w:r w:rsidRPr="00F532C7">
        <w:t xml:space="preserve"> </w:t>
      </w:r>
      <w:r>
        <w:t>-</w:t>
      </w:r>
      <w:bookmarkEnd w:id="10"/>
    </w:p>
    <w:p w14:paraId="21D7489D" w14:textId="77777777" w:rsidR="00F532C7" w:rsidRPr="00F532C7" w:rsidRDefault="00F532C7" w:rsidP="00F532C7"/>
    <w:p w14:paraId="2B426C27" w14:textId="38E397EA" w:rsidR="004A3805" w:rsidRDefault="00331E05" w:rsidP="004A3805">
      <w:pPr>
        <w:pStyle w:val="Titre2"/>
        <w:rPr>
          <w:rFonts w:eastAsia="Times New Roman"/>
          <w:lang w:eastAsia="fr-FR"/>
        </w:rPr>
      </w:pPr>
      <w:bookmarkStart w:id="11" w:name="_Toc87449092"/>
      <w:r w:rsidRPr="00AD4252">
        <w:rPr>
          <w:rFonts w:eastAsia="Times New Roman"/>
          <w:lang w:eastAsia="fr-FR"/>
        </w:rPr>
        <w:t xml:space="preserve">Avoir l’ambition de bâtir le </w:t>
      </w:r>
      <w:r w:rsidR="006846F8">
        <w:rPr>
          <w:rFonts w:eastAsia="Times New Roman"/>
          <w:lang w:eastAsia="fr-FR"/>
        </w:rPr>
        <w:t>« </w:t>
      </w:r>
      <w:r w:rsidRPr="00AD4252">
        <w:rPr>
          <w:rFonts w:eastAsia="Times New Roman"/>
          <w:lang w:eastAsia="fr-FR"/>
        </w:rPr>
        <w:t>Grand Mur Bleu du Pacifique</w:t>
      </w:r>
      <w:r w:rsidR="006846F8">
        <w:rPr>
          <w:rFonts w:eastAsia="Times New Roman"/>
          <w:lang w:eastAsia="fr-FR"/>
        </w:rPr>
        <w:t> »</w:t>
      </w:r>
      <w:bookmarkEnd w:id="11"/>
    </w:p>
    <w:p w14:paraId="3A765268" w14:textId="77777777" w:rsidR="004A3805" w:rsidRPr="004A3805" w:rsidRDefault="004A3805" w:rsidP="004A3805">
      <w:pPr>
        <w:rPr>
          <w:lang w:eastAsia="fr-FR"/>
        </w:rPr>
      </w:pPr>
    </w:p>
    <w:p w14:paraId="0D42C8A4" w14:textId="7319585F" w:rsidR="00331E05" w:rsidRPr="004A3805" w:rsidRDefault="00331E05" w:rsidP="004A3805">
      <w:pPr>
        <w:jc w:val="both"/>
        <w:rPr>
          <w:rFonts w:ascii="Cambria" w:hAnsi="Cambria"/>
          <w:lang w:eastAsia="fr-FR"/>
        </w:rPr>
      </w:pPr>
      <w:r w:rsidRPr="004A3805">
        <w:rPr>
          <w:rFonts w:ascii="Cambria" w:hAnsi="Cambria"/>
          <w:lang w:eastAsia="fr-FR"/>
        </w:rPr>
        <w:t xml:space="preserve">Les pays et territoires du Pacifique, notre Fenua y compris, sont les premières victimes des effets du changement climatique mondial. Ils ont également une vraie ambition de lutte contre </w:t>
      </w:r>
      <w:r w:rsidR="00416564">
        <w:rPr>
          <w:rFonts w:ascii="Cambria" w:hAnsi="Cambria"/>
          <w:lang w:eastAsia="fr-FR"/>
        </w:rPr>
        <w:t>c</w:t>
      </w:r>
      <w:r w:rsidRPr="004A3805">
        <w:rPr>
          <w:rFonts w:ascii="Cambria" w:hAnsi="Cambria"/>
          <w:lang w:eastAsia="fr-FR"/>
        </w:rPr>
        <w:t>es effets.</w:t>
      </w:r>
    </w:p>
    <w:p w14:paraId="5617E490" w14:textId="2E60232F" w:rsidR="00331E05" w:rsidRPr="00AD4252"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 xml:space="preserve">Dans ce cadre, le Gouvernement souhaite porter au plus haut niveau international une </w:t>
      </w:r>
      <w:r w:rsidRPr="00AD4252">
        <w:rPr>
          <w:rFonts w:ascii="Cambria" w:hAnsi="Cambria"/>
          <w:i/>
          <w:iCs/>
          <w:lang w:eastAsia="fr-FR"/>
        </w:rPr>
        <w:t xml:space="preserve">« Ambition Te Moana O Hiva - le Grand Mur Bleu du Pacifique » </w:t>
      </w:r>
      <w:r w:rsidRPr="00AD4252">
        <w:rPr>
          <w:rFonts w:ascii="Cambria" w:hAnsi="Cambria"/>
          <w:lang w:eastAsia="fr-FR"/>
        </w:rPr>
        <w:t>qui vise à recentrer les efforts environnementaux des pays et territoires du Pacifique sur la protection et la gestion durable de notre Grand Océan, de manière à assurer à terme leur autonomie alimentaire et économique, et à lutter contre les effets du changement climatique mondial, autour de trois axes stratégiques :</w:t>
      </w:r>
    </w:p>
    <w:p w14:paraId="6DA84FDC" w14:textId="77777777" w:rsidR="00331E05" w:rsidRPr="00AD4252" w:rsidRDefault="00331E05" w:rsidP="00331E05">
      <w:pPr>
        <w:numPr>
          <w:ilvl w:val="0"/>
          <w:numId w:val="30"/>
        </w:numPr>
        <w:spacing w:before="100" w:beforeAutospacing="1" w:after="100" w:afterAutospacing="1"/>
        <w:jc w:val="both"/>
        <w:rPr>
          <w:rFonts w:ascii="Cambria" w:hAnsi="Cambria"/>
          <w:lang w:eastAsia="fr-FR"/>
        </w:rPr>
      </w:pPr>
      <w:r w:rsidRPr="00AD4252">
        <w:rPr>
          <w:rFonts w:ascii="Cambria" w:hAnsi="Cambria"/>
          <w:lang w:eastAsia="fr-FR"/>
        </w:rPr>
        <w:t>Assurer la transition d’une économie liée à la vente des licences de pêche vers une économie bleue locale, durable et autonome ;</w:t>
      </w:r>
    </w:p>
    <w:p w14:paraId="6D0CAC2C" w14:textId="77777777" w:rsidR="00331E05" w:rsidRPr="00AD4252" w:rsidRDefault="00331E05" w:rsidP="00331E05">
      <w:pPr>
        <w:numPr>
          <w:ilvl w:val="0"/>
          <w:numId w:val="30"/>
        </w:numPr>
        <w:spacing w:before="100" w:beforeAutospacing="1" w:after="100" w:afterAutospacing="1"/>
        <w:jc w:val="both"/>
        <w:rPr>
          <w:rFonts w:ascii="Cambria" w:hAnsi="Cambria"/>
          <w:lang w:eastAsia="fr-FR"/>
        </w:rPr>
      </w:pPr>
      <w:r w:rsidRPr="00AD4252">
        <w:rPr>
          <w:rFonts w:ascii="Cambria" w:hAnsi="Cambria"/>
          <w:lang w:eastAsia="fr-FR"/>
        </w:rPr>
        <w:t xml:space="preserve">S’inspirer de </w:t>
      </w:r>
      <w:proofErr w:type="spellStart"/>
      <w:r w:rsidRPr="00AD4252">
        <w:rPr>
          <w:rFonts w:ascii="Cambria" w:hAnsi="Cambria"/>
          <w:lang w:eastAsia="fr-FR"/>
        </w:rPr>
        <w:t>Tainui</w:t>
      </w:r>
      <w:proofErr w:type="spellEnd"/>
      <w:r w:rsidRPr="00AD4252">
        <w:rPr>
          <w:rFonts w:ascii="Cambria" w:hAnsi="Cambria"/>
          <w:lang w:eastAsia="fr-FR"/>
        </w:rPr>
        <w:t xml:space="preserve"> </w:t>
      </w:r>
      <w:proofErr w:type="spellStart"/>
      <w:r w:rsidRPr="00AD4252">
        <w:rPr>
          <w:rFonts w:ascii="Cambria" w:hAnsi="Cambria"/>
          <w:lang w:eastAsia="fr-FR"/>
        </w:rPr>
        <w:t>ātea</w:t>
      </w:r>
      <w:proofErr w:type="spellEnd"/>
      <w:r w:rsidRPr="00AD4252">
        <w:rPr>
          <w:rFonts w:ascii="Cambria" w:hAnsi="Cambria"/>
          <w:lang w:eastAsia="fr-FR"/>
        </w:rPr>
        <w:t>, le concept original polynésien de protection et de gestion durable des espaces et des espèces ;</w:t>
      </w:r>
    </w:p>
    <w:p w14:paraId="1A35FA90" w14:textId="77777777" w:rsidR="00331E05" w:rsidRPr="00AD4252" w:rsidRDefault="00331E05" w:rsidP="00331E05">
      <w:pPr>
        <w:numPr>
          <w:ilvl w:val="0"/>
          <w:numId w:val="30"/>
        </w:numPr>
        <w:spacing w:before="100" w:beforeAutospacing="1" w:after="100" w:afterAutospacing="1"/>
        <w:jc w:val="both"/>
        <w:rPr>
          <w:rFonts w:ascii="Cambria" w:hAnsi="Cambria"/>
          <w:lang w:eastAsia="fr-FR"/>
        </w:rPr>
      </w:pPr>
      <w:r w:rsidRPr="00AD4252">
        <w:rPr>
          <w:rFonts w:ascii="Cambria" w:hAnsi="Cambria"/>
          <w:lang w:eastAsia="fr-FR"/>
        </w:rPr>
        <w:t>Obtenir auprès de l’Organisation maritime internationale la reconnaissance des pays du Pacifique en tant que Zone maritime particulièrement vulnérable.</w:t>
      </w:r>
    </w:p>
    <w:p w14:paraId="23DA336A" w14:textId="77777777" w:rsidR="00331E05" w:rsidRPr="00AD4252"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 xml:space="preserve">Fort de sa stratégie de long terme en la matière, notre Pays doit légitiment porter cette </w:t>
      </w:r>
      <w:r w:rsidRPr="00AD4252">
        <w:rPr>
          <w:rFonts w:ascii="Cambria" w:hAnsi="Cambria"/>
          <w:i/>
          <w:iCs/>
          <w:lang w:eastAsia="fr-FR"/>
        </w:rPr>
        <w:t xml:space="preserve">« Ambition Te Moana O Hiva - le grand mur bleu du Pacifique » </w:t>
      </w:r>
      <w:r w:rsidRPr="00AD4252">
        <w:rPr>
          <w:rFonts w:ascii="Cambria" w:hAnsi="Cambria"/>
          <w:lang w:eastAsia="fr-FR"/>
        </w:rPr>
        <w:t>qui sera défendue, dans un premier temps, devant les représentants à l’Assemblée de la Polynésie française, puis présentée aux partenaires régionaux afin de recueillir leur assentiment sur ce projet régional d’envergue à portée internationale.</w:t>
      </w:r>
    </w:p>
    <w:p w14:paraId="04F33FD4" w14:textId="77777777" w:rsidR="00331E05" w:rsidRPr="00AD4252"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 </w:t>
      </w:r>
    </w:p>
    <w:p w14:paraId="7FF2ED0C" w14:textId="74EB0779" w:rsidR="004A3805" w:rsidRDefault="00331E05" w:rsidP="004A3805">
      <w:pPr>
        <w:pStyle w:val="Titre2"/>
        <w:rPr>
          <w:rFonts w:eastAsia="Times New Roman"/>
          <w:lang w:eastAsia="fr-FR"/>
        </w:rPr>
      </w:pPr>
      <w:bookmarkStart w:id="12" w:name="_Toc87449093"/>
      <w:r w:rsidRPr="00AD4252">
        <w:rPr>
          <w:rFonts w:eastAsia="Times New Roman"/>
          <w:lang w:eastAsia="fr-FR"/>
        </w:rPr>
        <w:lastRenderedPageBreak/>
        <w:t>Séminaire des associations de protection de l'environnement</w:t>
      </w:r>
      <w:bookmarkEnd w:id="12"/>
    </w:p>
    <w:p w14:paraId="778AAC42" w14:textId="77777777" w:rsidR="004A3805" w:rsidRPr="004A3805" w:rsidRDefault="004A3805" w:rsidP="004A3805">
      <w:pPr>
        <w:rPr>
          <w:lang w:eastAsia="fr-FR"/>
        </w:rPr>
      </w:pPr>
    </w:p>
    <w:p w14:paraId="0F06B1E5" w14:textId="0EB63A9A" w:rsidR="00331E05" w:rsidRPr="004A3805" w:rsidRDefault="00331E05" w:rsidP="004A3805">
      <w:pPr>
        <w:jc w:val="both"/>
        <w:rPr>
          <w:rFonts w:ascii="Cambria" w:hAnsi="Cambria"/>
          <w:lang w:eastAsia="fr-FR"/>
        </w:rPr>
      </w:pPr>
      <w:r w:rsidRPr="004A3805">
        <w:rPr>
          <w:rFonts w:ascii="Cambria" w:hAnsi="Cambria"/>
          <w:lang w:eastAsia="fr-FR"/>
        </w:rPr>
        <w:t>La protection de l’environnement de notre Fenua est une matière transverse qui intéresse l’ensemble de notre société.</w:t>
      </w:r>
    </w:p>
    <w:p w14:paraId="0EE35AD0" w14:textId="77777777" w:rsidR="00331E05" w:rsidRPr="00AD4252"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Dans ce cadre, sur proposition du ministre de la Culture et de l’environnement, un séminaire des associations de protection de l’environnement, sera organisé le jeudi 9 décembre 2021.</w:t>
      </w:r>
    </w:p>
    <w:p w14:paraId="3030DA18" w14:textId="7E246B50" w:rsidR="00331E05"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Le matin sera consacré à la présentation de la stratégie de protection et de gestion durable des espaces et des espèces, des projets envisagés pour 2022 et du bilan des actions menées par la direction de l'Environnement (DIREN) durant l’année 2021. L’après-midi sera consacré à l’écoute des propositions des associations.</w:t>
      </w:r>
    </w:p>
    <w:p w14:paraId="5635E794" w14:textId="77777777" w:rsidR="00416564" w:rsidRPr="00AD4252" w:rsidRDefault="00416564" w:rsidP="00331E05">
      <w:pPr>
        <w:spacing w:before="100" w:beforeAutospacing="1" w:after="100" w:afterAutospacing="1"/>
        <w:jc w:val="both"/>
        <w:rPr>
          <w:rFonts w:ascii="Cambria" w:hAnsi="Cambria"/>
          <w:lang w:eastAsia="fr-FR"/>
        </w:rPr>
      </w:pPr>
    </w:p>
    <w:p w14:paraId="316D398B" w14:textId="4AE2D9EE" w:rsidR="004A3805" w:rsidRDefault="00331E05" w:rsidP="004A3805">
      <w:pPr>
        <w:pStyle w:val="Titre2"/>
        <w:rPr>
          <w:rFonts w:eastAsia="Times New Roman"/>
          <w:lang w:eastAsia="fr-FR"/>
        </w:rPr>
      </w:pPr>
      <w:bookmarkStart w:id="13" w:name="_Toc87449094"/>
      <w:r w:rsidRPr="00AD4252">
        <w:rPr>
          <w:rFonts w:eastAsia="Times New Roman"/>
          <w:lang w:eastAsia="fr-FR"/>
        </w:rPr>
        <w:t>Subventions en faveur 4 associations environnement, le COPF et 2 fédérations sportives</w:t>
      </w:r>
      <w:bookmarkEnd w:id="13"/>
    </w:p>
    <w:p w14:paraId="7BCF59BF" w14:textId="77777777" w:rsidR="004A3805" w:rsidRPr="004A3805" w:rsidRDefault="004A3805" w:rsidP="004A3805">
      <w:pPr>
        <w:rPr>
          <w:lang w:eastAsia="fr-FR"/>
        </w:rPr>
      </w:pPr>
    </w:p>
    <w:p w14:paraId="6DD09991" w14:textId="1FE864BC" w:rsidR="00331E05" w:rsidRPr="004A3805" w:rsidRDefault="00331E05" w:rsidP="004A3805">
      <w:pPr>
        <w:jc w:val="both"/>
        <w:rPr>
          <w:rFonts w:ascii="Cambria" w:hAnsi="Cambria"/>
          <w:lang w:eastAsia="fr-FR"/>
        </w:rPr>
      </w:pPr>
      <w:r w:rsidRPr="004A3805">
        <w:rPr>
          <w:rFonts w:ascii="Cambria" w:hAnsi="Cambria"/>
          <w:lang w:eastAsia="fr-FR"/>
        </w:rPr>
        <w:t>Sur proposition du ministre de la Culture, de l’environnement en charge de la jeunesse et des sports et de l’artisanat, le Conseil des ministres a octroyé plusieurs subventions en fonctionnement et d’investissement pour un montant total de</w:t>
      </w:r>
      <w:r w:rsidRPr="004A3805">
        <w:rPr>
          <w:rFonts w:ascii="Cambria" w:hAnsi="Cambria"/>
          <w:b/>
          <w:bCs/>
          <w:lang w:eastAsia="fr-FR"/>
        </w:rPr>
        <w:t xml:space="preserve"> </w:t>
      </w:r>
      <w:r w:rsidRPr="00416564">
        <w:rPr>
          <w:rFonts w:ascii="Cambria" w:hAnsi="Cambria"/>
          <w:lang w:eastAsia="fr-FR"/>
        </w:rPr>
        <w:t>22 610 000 Fcfp :</w:t>
      </w:r>
      <w:r w:rsidRPr="004A3805">
        <w:rPr>
          <w:rFonts w:ascii="Cambria" w:hAnsi="Cambria"/>
          <w:b/>
          <w:bCs/>
          <w:lang w:eastAsia="fr-FR"/>
        </w:rPr>
        <w:t xml:space="preserve"> </w:t>
      </w:r>
    </w:p>
    <w:p w14:paraId="76A04D2D" w14:textId="77777777" w:rsidR="00331E05" w:rsidRPr="00AD4252"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Dans le secteur de l’environnement, attribution de subventions en fonctionnement :</w:t>
      </w:r>
    </w:p>
    <w:p w14:paraId="7EBDC123" w14:textId="17B7B99D" w:rsidR="00331E05" w:rsidRPr="00AD4252" w:rsidRDefault="00331E05" w:rsidP="00331E05">
      <w:pPr>
        <w:numPr>
          <w:ilvl w:val="0"/>
          <w:numId w:val="31"/>
        </w:numPr>
        <w:spacing w:before="100" w:beforeAutospacing="1" w:after="100" w:afterAutospacing="1"/>
        <w:jc w:val="both"/>
        <w:rPr>
          <w:rFonts w:ascii="Cambria" w:hAnsi="Cambria"/>
          <w:lang w:eastAsia="fr-FR"/>
        </w:rPr>
      </w:pPr>
      <w:r w:rsidRPr="00AD4252">
        <w:rPr>
          <w:rFonts w:ascii="Cambria" w:hAnsi="Cambria"/>
          <w:lang w:eastAsia="fr-FR"/>
        </w:rPr>
        <w:t xml:space="preserve">Association FACE Polynésie française pour financer la mise en place d'un atelier </w:t>
      </w:r>
      <w:r w:rsidR="00A9585C">
        <w:rPr>
          <w:rFonts w:ascii="Cambria" w:hAnsi="Cambria"/>
          <w:lang w:eastAsia="fr-FR"/>
        </w:rPr>
        <w:t>de surcyclage (</w:t>
      </w:r>
      <w:proofErr w:type="spellStart"/>
      <w:r w:rsidR="00A9585C" w:rsidRPr="00AD4252">
        <w:rPr>
          <w:rFonts w:ascii="Cambria" w:hAnsi="Cambria"/>
          <w:lang w:eastAsia="fr-FR"/>
        </w:rPr>
        <w:t>upcycling</w:t>
      </w:r>
      <w:proofErr w:type="spellEnd"/>
      <w:r w:rsidR="00A9585C">
        <w:rPr>
          <w:rFonts w:ascii="Cambria" w:hAnsi="Cambria"/>
          <w:lang w:eastAsia="fr-FR"/>
        </w:rPr>
        <w:t xml:space="preserve">) </w:t>
      </w:r>
      <w:r w:rsidRPr="00AD4252">
        <w:rPr>
          <w:rFonts w:ascii="Cambria" w:hAnsi="Cambria"/>
          <w:lang w:eastAsia="fr-FR"/>
        </w:rPr>
        <w:t>de bâches usagées,</w:t>
      </w:r>
    </w:p>
    <w:p w14:paraId="50A75D6A" w14:textId="769CB029" w:rsidR="00331E05" w:rsidRPr="00AD4252" w:rsidRDefault="00331E05" w:rsidP="00331E05">
      <w:pPr>
        <w:numPr>
          <w:ilvl w:val="0"/>
          <w:numId w:val="31"/>
        </w:numPr>
        <w:spacing w:before="100" w:beforeAutospacing="1" w:after="100" w:afterAutospacing="1"/>
        <w:jc w:val="both"/>
        <w:rPr>
          <w:rFonts w:ascii="Cambria" w:hAnsi="Cambria"/>
          <w:lang w:eastAsia="fr-FR"/>
        </w:rPr>
      </w:pPr>
      <w:r w:rsidRPr="00AD4252">
        <w:rPr>
          <w:rFonts w:ascii="Cambria" w:hAnsi="Cambria"/>
          <w:lang w:eastAsia="fr-FR"/>
        </w:rPr>
        <w:t xml:space="preserve">Association </w:t>
      </w:r>
      <w:proofErr w:type="spellStart"/>
      <w:r w:rsidRPr="00AD4252">
        <w:rPr>
          <w:rFonts w:ascii="Cambria" w:hAnsi="Cambria"/>
          <w:lang w:eastAsia="fr-FR"/>
        </w:rPr>
        <w:t>Koraye</w:t>
      </w:r>
      <w:proofErr w:type="spellEnd"/>
      <w:r w:rsidRPr="00AD4252">
        <w:rPr>
          <w:rFonts w:ascii="Cambria" w:hAnsi="Cambria"/>
          <w:lang w:eastAsia="fr-FR"/>
        </w:rPr>
        <w:t xml:space="preserve"> Raiatea pour l'organisation de formations à l</w:t>
      </w:r>
      <w:r w:rsidR="00A9585C">
        <w:rPr>
          <w:rFonts w:ascii="Cambria" w:hAnsi="Cambria"/>
          <w:lang w:eastAsia="fr-FR"/>
        </w:rPr>
        <w:t>e surcyclage (</w:t>
      </w:r>
      <w:proofErr w:type="spellStart"/>
      <w:r w:rsidRPr="00AD4252">
        <w:rPr>
          <w:rFonts w:ascii="Cambria" w:hAnsi="Cambria"/>
          <w:lang w:eastAsia="fr-FR"/>
        </w:rPr>
        <w:t>upcycling</w:t>
      </w:r>
      <w:proofErr w:type="spellEnd"/>
      <w:r w:rsidR="00A9585C">
        <w:rPr>
          <w:rFonts w:ascii="Cambria" w:hAnsi="Cambria"/>
          <w:lang w:eastAsia="fr-FR"/>
        </w:rPr>
        <w:t>)</w:t>
      </w:r>
      <w:r w:rsidRPr="00AD4252">
        <w:rPr>
          <w:rFonts w:ascii="Cambria" w:hAnsi="Cambria"/>
          <w:lang w:eastAsia="fr-FR"/>
        </w:rPr>
        <w:t>,</w:t>
      </w:r>
    </w:p>
    <w:p w14:paraId="3FB79588" w14:textId="77777777" w:rsidR="00331E05" w:rsidRPr="00AD4252" w:rsidRDefault="00331E05" w:rsidP="00331E05">
      <w:pPr>
        <w:numPr>
          <w:ilvl w:val="0"/>
          <w:numId w:val="31"/>
        </w:numPr>
        <w:spacing w:before="100" w:beforeAutospacing="1" w:after="100" w:afterAutospacing="1"/>
        <w:jc w:val="both"/>
        <w:rPr>
          <w:rFonts w:ascii="Cambria" w:hAnsi="Cambria"/>
          <w:lang w:eastAsia="fr-FR"/>
        </w:rPr>
      </w:pPr>
      <w:r w:rsidRPr="00AD4252">
        <w:rPr>
          <w:rFonts w:ascii="Cambria" w:hAnsi="Cambria"/>
          <w:lang w:eastAsia="fr-FR"/>
        </w:rPr>
        <w:t xml:space="preserve">Association </w:t>
      </w:r>
      <w:proofErr w:type="spellStart"/>
      <w:r w:rsidRPr="00AD4252">
        <w:rPr>
          <w:rFonts w:ascii="Cambria" w:hAnsi="Cambria"/>
          <w:lang w:eastAsia="fr-FR"/>
        </w:rPr>
        <w:t>Vaikua</w:t>
      </w:r>
      <w:proofErr w:type="spellEnd"/>
      <w:r w:rsidRPr="00AD4252">
        <w:rPr>
          <w:rFonts w:ascii="Cambria" w:hAnsi="Cambria"/>
          <w:lang w:eastAsia="fr-FR"/>
        </w:rPr>
        <w:t xml:space="preserve"> i te manu o </w:t>
      </w:r>
      <w:proofErr w:type="spellStart"/>
      <w:r w:rsidRPr="00AD4252">
        <w:rPr>
          <w:rFonts w:ascii="Cambria" w:hAnsi="Cambria"/>
          <w:lang w:eastAsia="fr-FR"/>
        </w:rPr>
        <w:t>Ua</w:t>
      </w:r>
      <w:proofErr w:type="spellEnd"/>
      <w:r w:rsidRPr="00AD4252">
        <w:rPr>
          <w:rFonts w:ascii="Cambria" w:hAnsi="Cambria"/>
          <w:lang w:eastAsia="fr-FR"/>
        </w:rPr>
        <w:t xml:space="preserve"> </w:t>
      </w:r>
      <w:proofErr w:type="spellStart"/>
      <w:r w:rsidRPr="00AD4252">
        <w:rPr>
          <w:rFonts w:ascii="Cambria" w:hAnsi="Cambria"/>
          <w:lang w:eastAsia="fr-FR"/>
        </w:rPr>
        <w:t>Huka</w:t>
      </w:r>
      <w:proofErr w:type="spellEnd"/>
      <w:r w:rsidRPr="00AD4252">
        <w:rPr>
          <w:rFonts w:ascii="Cambria" w:hAnsi="Cambria"/>
          <w:lang w:eastAsia="fr-FR"/>
        </w:rPr>
        <w:t xml:space="preserve"> pour financer la poursuite du programme de bio-sécurisation de l'île de </w:t>
      </w:r>
      <w:proofErr w:type="spellStart"/>
      <w:r w:rsidRPr="00AD4252">
        <w:rPr>
          <w:rFonts w:ascii="Cambria" w:hAnsi="Cambria"/>
          <w:lang w:eastAsia="fr-FR"/>
        </w:rPr>
        <w:t>Ua</w:t>
      </w:r>
      <w:proofErr w:type="spellEnd"/>
      <w:r w:rsidRPr="00AD4252">
        <w:rPr>
          <w:rFonts w:ascii="Cambria" w:hAnsi="Cambria"/>
          <w:lang w:eastAsia="fr-FR"/>
        </w:rPr>
        <w:t xml:space="preserve"> </w:t>
      </w:r>
      <w:proofErr w:type="spellStart"/>
      <w:r w:rsidRPr="00AD4252">
        <w:rPr>
          <w:rFonts w:ascii="Cambria" w:hAnsi="Cambria"/>
          <w:lang w:eastAsia="fr-FR"/>
        </w:rPr>
        <w:t>Huka</w:t>
      </w:r>
      <w:proofErr w:type="spellEnd"/>
      <w:r w:rsidRPr="00AD4252">
        <w:rPr>
          <w:rFonts w:ascii="Cambria" w:hAnsi="Cambria"/>
          <w:lang w:eastAsia="fr-FR"/>
        </w:rPr>
        <w:t>,</w:t>
      </w:r>
    </w:p>
    <w:p w14:paraId="00F05D13" w14:textId="77777777" w:rsidR="00331E05" w:rsidRPr="00AD4252" w:rsidRDefault="00331E05" w:rsidP="00331E05">
      <w:pPr>
        <w:numPr>
          <w:ilvl w:val="0"/>
          <w:numId w:val="31"/>
        </w:numPr>
        <w:spacing w:before="100" w:beforeAutospacing="1" w:after="100" w:afterAutospacing="1"/>
        <w:jc w:val="both"/>
        <w:rPr>
          <w:rFonts w:ascii="Cambria" w:hAnsi="Cambria"/>
          <w:lang w:eastAsia="fr-FR"/>
        </w:rPr>
      </w:pPr>
      <w:r w:rsidRPr="00AD4252">
        <w:rPr>
          <w:rFonts w:ascii="Cambria" w:hAnsi="Cambria"/>
          <w:lang w:eastAsia="fr-FR"/>
        </w:rPr>
        <w:t xml:space="preserve">Association Te mana o te </w:t>
      </w:r>
      <w:proofErr w:type="spellStart"/>
      <w:r w:rsidRPr="00AD4252">
        <w:rPr>
          <w:rFonts w:ascii="Cambria" w:hAnsi="Cambria"/>
          <w:lang w:eastAsia="fr-FR"/>
        </w:rPr>
        <w:t>moana</w:t>
      </w:r>
      <w:proofErr w:type="spellEnd"/>
      <w:r w:rsidRPr="00AD4252">
        <w:rPr>
          <w:rFonts w:ascii="Cambria" w:hAnsi="Cambria"/>
          <w:lang w:eastAsia="fr-FR"/>
        </w:rPr>
        <w:t xml:space="preserve"> pour le projet « </w:t>
      </w:r>
      <w:proofErr w:type="spellStart"/>
      <w:r w:rsidRPr="00AD4252">
        <w:rPr>
          <w:rFonts w:ascii="Cambria" w:hAnsi="Cambria"/>
          <w:lang w:eastAsia="fr-FR"/>
        </w:rPr>
        <w:t>Aita</w:t>
      </w:r>
      <w:proofErr w:type="spellEnd"/>
      <w:r w:rsidRPr="00AD4252">
        <w:rPr>
          <w:rFonts w:ascii="Cambria" w:hAnsi="Cambria"/>
          <w:lang w:eastAsia="fr-FR"/>
        </w:rPr>
        <w:t xml:space="preserve"> te </w:t>
      </w:r>
      <w:proofErr w:type="spellStart"/>
      <w:r w:rsidRPr="00AD4252">
        <w:rPr>
          <w:rFonts w:ascii="Cambria" w:hAnsi="Cambria"/>
          <w:lang w:eastAsia="fr-FR"/>
        </w:rPr>
        <w:t>pehu</w:t>
      </w:r>
      <w:proofErr w:type="spellEnd"/>
      <w:r w:rsidRPr="00AD4252">
        <w:rPr>
          <w:rFonts w:ascii="Cambria" w:hAnsi="Cambria"/>
          <w:lang w:eastAsia="fr-FR"/>
        </w:rPr>
        <w:t>, protège ton fenua »</w:t>
      </w:r>
    </w:p>
    <w:p w14:paraId="202F4D23" w14:textId="77777777" w:rsidR="00331E05" w:rsidRPr="00AD4252" w:rsidRDefault="00331E05" w:rsidP="00331E05">
      <w:pPr>
        <w:spacing w:before="100" w:beforeAutospacing="1" w:after="100" w:afterAutospacing="1"/>
        <w:jc w:val="both"/>
        <w:rPr>
          <w:rFonts w:ascii="Cambria" w:hAnsi="Cambria"/>
          <w:lang w:eastAsia="fr-FR"/>
        </w:rPr>
      </w:pPr>
      <w:r w:rsidRPr="00AD4252">
        <w:rPr>
          <w:rFonts w:ascii="Cambria" w:hAnsi="Cambria"/>
          <w:lang w:eastAsia="fr-FR"/>
        </w:rPr>
        <w:t>Dans le secteur du sport :</w:t>
      </w:r>
    </w:p>
    <w:p w14:paraId="51AF0A23" w14:textId="77777777" w:rsidR="00331E05" w:rsidRPr="00AD4252" w:rsidRDefault="00331E05" w:rsidP="00331E05">
      <w:pPr>
        <w:numPr>
          <w:ilvl w:val="0"/>
          <w:numId w:val="32"/>
        </w:numPr>
        <w:spacing w:before="100" w:beforeAutospacing="1" w:after="100" w:afterAutospacing="1"/>
        <w:jc w:val="both"/>
        <w:rPr>
          <w:rFonts w:ascii="Cambria" w:hAnsi="Cambria"/>
          <w:lang w:eastAsia="fr-FR"/>
        </w:rPr>
      </w:pPr>
      <w:r w:rsidRPr="00AD4252">
        <w:rPr>
          <w:rFonts w:ascii="Cambria" w:hAnsi="Cambria"/>
          <w:lang w:eastAsia="fr-FR"/>
        </w:rPr>
        <w:t>Attribution de subvention en fonctionnement en faveur du COPF pour le financement des droits d'accueil dans le cadre des Jeux du Pacifique de 2027 et pour le financement de la préparation à la candidature de la Polynésie française aux jeux du pacifique de 2027,</w:t>
      </w:r>
    </w:p>
    <w:p w14:paraId="4324BE90" w14:textId="77777777" w:rsidR="00331E05" w:rsidRPr="00AD4252" w:rsidRDefault="00331E05" w:rsidP="00331E05">
      <w:pPr>
        <w:numPr>
          <w:ilvl w:val="0"/>
          <w:numId w:val="32"/>
        </w:numPr>
        <w:spacing w:before="100" w:beforeAutospacing="1" w:after="100" w:afterAutospacing="1"/>
        <w:jc w:val="both"/>
        <w:rPr>
          <w:rFonts w:ascii="Cambria" w:hAnsi="Cambria"/>
          <w:lang w:eastAsia="fr-FR"/>
        </w:rPr>
      </w:pPr>
      <w:r w:rsidRPr="00AD4252">
        <w:rPr>
          <w:rFonts w:ascii="Cambria" w:hAnsi="Cambria"/>
          <w:lang w:eastAsia="fr-FR"/>
        </w:rPr>
        <w:t>Attribution d’une subvention d’investissement en faveur de la Fédération Polynésienne de Judo Pour le financement de l'acquisition d'une aire de combat et la Fédération Polynésienne d’équitation pour l'acquisition d'une tonne à eau afin d'assurer l'arrosage des carrières d'entraînement et de compétitions.</w:t>
      </w:r>
    </w:p>
    <w:p w14:paraId="55C44A48" w14:textId="7F5F48D5" w:rsidR="00B16100" w:rsidRDefault="00B16100" w:rsidP="00073530">
      <w:pPr>
        <w:pStyle w:val="NormalWeb"/>
        <w:jc w:val="both"/>
        <w:rPr>
          <w:rFonts w:ascii="Cambria" w:hAnsi="Cambria" w:cs="Arial"/>
        </w:rPr>
      </w:pPr>
    </w:p>
    <w:p w14:paraId="057A1C6D" w14:textId="641E6753" w:rsidR="00566602" w:rsidRDefault="00566602" w:rsidP="00073530">
      <w:pPr>
        <w:pStyle w:val="NormalWeb"/>
        <w:jc w:val="both"/>
        <w:rPr>
          <w:rFonts w:ascii="Cambria" w:hAnsi="Cambria" w:cs="Arial"/>
        </w:rPr>
      </w:pPr>
    </w:p>
    <w:p w14:paraId="7D6ED415" w14:textId="77777777" w:rsidR="00566602" w:rsidRDefault="00566602" w:rsidP="00073530">
      <w:pPr>
        <w:pStyle w:val="NormalWeb"/>
        <w:jc w:val="both"/>
        <w:rPr>
          <w:rFonts w:ascii="Cambria" w:hAnsi="Cambria" w:cs="Arial"/>
        </w:rPr>
      </w:pPr>
    </w:p>
    <w:p w14:paraId="3D9B07BF" w14:textId="77777777" w:rsidR="00073530" w:rsidRDefault="00073530" w:rsidP="00073530">
      <w:pPr>
        <w:pStyle w:val="Titre1"/>
      </w:pPr>
      <w:bookmarkStart w:id="14" w:name="_Toc87449095"/>
      <w:r w:rsidRPr="00F532C7">
        <w:lastRenderedPageBreak/>
        <w:t xml:space="preserve">- </w:t>
      </w:r>
      <w:r>
        <w:t>MEA</w:t>
      </w:r>
      <w:r w:rsidRPr="00F532C7">
        <w:t xml:space="preserve"> </w:t>
      </w:r>
      <w:r>
        <w:t>-</w:t>
      </w:r>
      <w:bookmarkEnd w:id="14"/>
    </w:p>
    <w:p w14:paraId="7F850340" w14:textId="77777777" w:rsidR="00073530" w:rsidRPr="00F532C7" w:rsidRDefault="00073530" w:rsidP="00073530"/>
    <w:p w14:paraId="2CDA986D" w14:textId="1C27BFC1" w:rsidR="00073530" w:rsidRDefault="00073530" w:rsidP="00073530">
      <w:pPr>
        <w:pStyle w:val="Titre2"/>
        <w:rPr>
          <w:rStyle w:val="lev"/>
          <w:b/>
          <w:bCs w:val="0"/>
        </w:rPr>
      </w:pPr>
      <w:bookmarkStart w:id="15" w:name="_Toc87449096"/>
      <w:r>
        <w:rPr>
          <w:rStyle w:val="lev"/>
          <w:b/>
          <w:bCs w:val="0"/>
        </w:rPr>
        <w:t xml:space="preserve">Subvention </w:t>
      </w:r>
      <w:r w:rsidR="003358A4">
        <w:rPr>
          <w:rStyle w:val="lev"/>
          <w:b/>
          <w:bCs w:val="0"/>
        </w:rPr>
        <w:t xml:space="preserve">de fonctionnement </w:t>
      </w:r>
      <w:r>
        <w:rPr>
          <w:rStyle w:val="lev"/>
          <w:b/>
          <w:bCs w:val="0"/>
        </w:rPr>
        <w:t>en faveur du lycée professionnel de Taravao</w:t>
      </w:r>
      <w:bookmarkEnd w:id="15"/>
    </w:p>
    <w:p w14:paraId="3BF41E50" w14:textId="77777777" w:rsidR="00222F7A" w:rsidRPr="00222F7A" w:rsidRDefault="00222F7A" w:rsidP="00222F7A"/>
    <w:p w14:paraId="5E4642EE" w14:textId="2CB528BE" w:rsidR="003358A4" w:rsidRPr="003358A4" w:rsidRDefault="003358A4" w:rsidP="003358A4">
      <w:pPr>
        <w:pStyle w:val="NormalWeb"/>
        <w:jc w:val="both"/>
        <w:rPr>
          <w:rFonts w:ascii="Cambria" w:hAnsi="Cambria" w:cs="Arial"/>
        </w:rPr>
      </w:pPr>
      <w:r w:rsidRPr="003358A4">
        <w:rPr>
          <w:rFonts w:ascii="Cambria" w:hAnsi="Cambria" w:cs="Arial"/>
        </w:rPr>
        <w:t>Sur proposition du ministre de l'Education, le Conseil des ministres a attribué des subventions de fonctionnement pour financer l’installation du système de fermeture électronique des portes des salles non encore équipées</w:t>
      </w:r>
      <w:r w:rsidR="001C4C61">
        <w:rPr>
          <w:rFonts w:ascii="Cambria" w:hAnsi="Cambria" w:cs="Arial"/>
        </w:rPr>
        <w:t xml:space="preserve">, et </w:t>
      </w:r>
      <w:r w:rsidR="001C4C61" w:rsidRPr="003358A4">
        <w:rPr>
          <w:rFonts w:ascii="Cambria" w:hAnsi="Cambria" w:cs="Arial"/>
        </w:rPr>
        <w:t>le renouvellement de climatiseurs</w:t>
      </w:r>
      <w:r w:rsidR="001C4C61">
        <w:rPr>
          <w:rFonts w:ascii="Cambria" w:hAnsi="Cambria" w:cs="Arial"/>
        </w:rPr>
        <w:t>.</w:t>
      </w:r>
    </w:p>
    <w:p w14:paraId="53CF03A4" w14:textId="3303326D" w:rsidR="003358A4" w:rsidRPr="003358A4" w:rsidRDefault="003358A4" w:rsidP="003358A4">
      <w:pPr>
        <w:pStyle w:val="NormalWeb"/>
        <w:jc w:val="both"/>
        <w:rPr>
          <w:rFonts w:ascii="Cambria" w:hAnsi="Cambria" w:cs="Arial"/>
        </w:rPr>
      </w:pPr>
      <w:r w:rsidRPr="003358A4">
        <w:rPr>
          <w:rFonts w:ascii="Cambria" w:hAnsi="Cambria" w:cs="Arial"/>
        </w:rPr>
        <w:t xml:space="preserve">L’établissement a engagé les dépenses et a passé commande auprès des fournisseurs, mais en raison de la crise sanitaire, l’établissement rencontre des difficultés de livraison et </w:t>
      </w:r>
      <w:r w:rsidR="00416564">
        <w:rPr>
          <w:rFonts w:ascii="Cambria" w:hAnsi="Cambria" w:cs="Arial"/>
        </w:rPr>
        <w:t xml:space="preserve">n’a pu </w:t>
      </w:r>
      <w:r w:rsidRPr="003358A4">
        <w:rPr>
          <w:rFonts w:ascii="Cambria" w:hAnsi="Cambria" w:cs="Arial"/>
        </w:rPr>
        <w:t>justifier de l’utilisation de cette subvention avant le 30 septembre 2021, tel qu’imposé à l’article 4 de l’arrêté CM</w:t>
      </w:r>
      <w:r w:rsidR="00097EB2">
        <w:rPr>
          <w:rFonts w:ascii="Cambria" w:hAnsi="Cambria" w:cs="Arial"/>
        </w:rPr>
        <w:t xml:space="preserve">, respectivement, </w:t>
      </w:r>
      <w:r w:rsidRPr="003358A4">
        <w:rPr>
          <w:rFonts w:ascii="Cambria" w:hAnsi="Cambria" w:cs="Arial"/>
        </w:rPr>
        <w:t>du 18 novembre</w:t>
      </w:r>
      <w:r w:rsidR="00097EB2">
        <w:rPr>
          <w:rFonts w:ascii="Cambria" w:hAnsi="Cambria" w:cs="Arial"/>
        </w:rPr>
        <w:t xml:space="preserve"> et 18 décembre</w:t>
      </w:r>
      <w:r w:rsidRPr="003358A4">
        <w:rPr>
          <w:rFonts w:ascii="Cambria" w:hAnsi="Cambria" w:cs="Arial"/>
        </w:rPr>
        <w:t xml:space="preserve"> 2020.</w:t>
      </w:r>
    </w:p>
    <w:p w14:paraId="75574576" w14:textId="552F0649" w:rsidR="00073530" w:rsidRDefault="003358A4" w:rsidP="00BD7E3B">
      <w:pPr>
        <w:pStyle w:val="NormalWeb"/>
        <w:jc w:val="both"/>
        <w:rPr>
          <w:rFonts w:ascii="Cambria" w:hAnsi="Cambria" w:cs="Arial"/>
        </w:rPr>
      </w:pPr>
      <w:r w:rsidRPr="003358A4">
        <w:rPr>
          <w:rFonts w:ascii="Cambria" w:hAnsi="Cambria" w:cs="Arial"/>
        </w:rPr>
        <w:t>Il est donc proposé de modifier la date de justification de la subvention au 30 septembre 2022, faisant bénéficier l’établissement d’un délai supplémentaire d’un an, pour réceptionner le matériel et justifier de l’utilisation totale de la subvention.</w:t>
      </w:r>
    </w:p>
    <w:p w14:paraId="76363594" w14:textId="77777777" w:rsidR="00BD7E3B" w:rsidRDefault="00BD7E3B" w:rsidP="00073530">
      <w:pPr>
        <w:pStyle w:val="NormalWeb"/>
        <w:jc w:val="both"/>
        <w:rPr>
          <w:rFonts w:ascii="Cambria" w:hAnsi="Cambria" w:cs="Arial"/>
        </w:rPr>
      </w:pPr>
    </w:p>
    <w:p w14:paraId="09B6813B" w14:textId="29FE43FE" w:rsidR="00073530" w:rsidRDefault="00073530" w:rsidP="00073530">
      <w:pPr>
        <w:pStyle w:val="Titre1"/>
      </w:pPr>
      <w:bookmarkStart w:id="16" w:name="_Toc87449097"/>
      <w:r w:rsidRPr="00F532C7">
        <w:t xml:space="preserve">- </w:t>
      </w:r>
      <w:r>
        <w:t>MFA</w:t>
      </w:r>
      <w:r w:rsidRPr="00F532C7">
        <w:t xml:space="preserve"> </w:t>
      </w:r>
      <w:r w:rsidR="0061731C">
        <w:t>–</w:t>
      </w:r>
      <w:bookmarkEnd w:id="16"/>
    </w:p>
    <w:p w14:paraId="784CCADC" w14:textId="77777777" w:rsidR="0061731C" w:rsidRPr="0061731C" w:rsidRDefault="0061731C" w:rsidP="0061731C"/>
    <w:p w14:paraId="350C540B" w14:textId="4AA3AD61" w:rsidR="00222F7A" w:rsidRDefault="0061731C" w:rsidP="00222F7A">
      <w:pPr>
        <w:pStyle w:val="Titre2"/>
        <w:rPr>
          <w:rFonts w:eastAsia="Times New Roman"/>
          <w:lang w:eastAsia="fr-FR"/>
        </w:rPr>
      </w:pPr>
      <w:bookmarkStart w:id="17" w:name="_Toc87449098"/>
      <w:r>
        <w:rPr>
          <w:rFonts w:eastAsia="Times New Roman"/>
          <w:lang w:eastAsia="fr-FR"/>
        </w:rPr>
        <w:t>Programme de la Journée des droits de l’enfant</w:t>
      </w:r>
      <w:bookmarkEnd w:id="17"/>
    </w:p>
    <w:p w14:paraId="043F3CC1" w14:textId="77777777" w:rsidR="00222F7A" w:rsidRPr="00222F7A" w:rsidRDefault="00222F7A" w:rsidP="00222F7A">
      <w:pPr>
        <w:rPr>
          <w:lang w:eastAsia="fr-FR"/>
        </w:rPr>
      </w:pPr>
    </w:p>
    <w:p w14:paraId="1EDE6902" w14:textId="5637C84F" w:rsidR="0061731C" w:rsidRPr="00222F7A" w:rsidRDefault="0061731C" w:rsidP="00222F7A">
      <w:pPr>
        <w:jc w:val="both"/>
        <w:rPr>
          <w:rFonts w:ascii="Cambria" w:hAnsi="Cambria" w:cstheme="majorBidi"/>
          <w:szCs w:val="26"/>
          <w:lang w:eastAsia="fr-FR"/>
        </w:rPr>
      </w:pPr>
      <w:r w:rsidRPr="00222F7A">
        <w:rPr>
          <w:rFonts w:ascii="Cambria" w:hAnsi="Cambria"/>
          <w:lang w:eastAsia="fr-FR"/>
        </w:rPr>
        <w:t>A l’occasion de la Journée internationale des droits de l’enfant, le ministère de la Famille, des affaires sociales, de la condition féminine, en charge de la lutte contre l’exclusion et ses services, organisent un ensemble de temps forts durant la semaine du 15 au 19 novembre 2021. Ayant pour objectif d’attirer l’attention du grand public sur des sujets d’importance, ces temps serviront aussi à créer et à mettre en place des actions concrètes ayant un impact sur les familles.</w:t>
      </w:r>
    </w:p>
    <w:p w14:paraId="556F2C65" w14:textId="77777777" w:rsidR="0061731C" w:rsidRDefault="0061731C" w:rsidP="0061731C">
      <w:pPr>
        <w:spacing w:before="100" w:beforeAutospacing="1" w:after="100" w:afterAutospacing="1"/>
        <w:jc w:val="both"/>
        <w:rPr>
          <w:rFonts w:ascii="Cambria" w:hAnsi="Cambria"/>
          <w:lang w:eastAsia="fr-FR"/>
        </w:rPr>
      </w:pPr>
      <w:r>
        <w:rPr>
          <w:rFonts w:ascii="Cambria" w:hAnsi="Cambria"/>
          <w:lang w:eastAsia="fr-FR"/>
        </w:rPr>
        <w:t>La Délégation pour la prévention de la délinquance de la jeunesse organisera deux journées préventives, les mardi 16 et jeudi 18 novembre 2021, sur le complexe sportif du Lycée Polyvalent de Taravao. L’action de sensibilisation, de prévention et d’éducation dénommée « Te Tama e te Tura », aura pour objectif de remettre les enfants et les adolescents au centre de leur développement, en les sensibilisant, les informant, puis en les rendant acteurs sur des ateliers animés par différents intervenants de tout secteur médico-socio-éducatif, associatif et judiciaire.</w:t>
      </w:r>
    </w:p>
    <w:p w14:paraId="25070126" w14:textId="77777777" w:rsidR="0061731C" w:rsidRDefault="0061731C" w:rsidP="0061731C">
      <w:pPr>
        <w:spacing w:before="100" w:beforeAutospacing="1" w:after="100" w:afterAutospacing="1"/>
        <w:jc w:val="both"/>
        <w:rPr>
          <w:rFonts w:ascii="Cambria" w:hAnsi="Cambria"/>
          <w:lang w:eastAsia="fr-FR"/>
        </w:rPr>
      </w:pPr>
      <w:r>
        <w:rPr>
          <w:rFonts w:ascii="Cambria" w:hAnsi="Cambria"/>
          <w:lang w:eastAsia="fr-FR"/>
        </w:rPr>
        <w:t>S’adressant en priorité à un public scolaire, la population de Tahiti-iti a également été informée de cet évènement et est attendue dans les ateliers. Ces derniers seront répartis en 7 zones de développement dont les thématiques ont été extraites des Droits de l’enfant : santé, éducation, environnement, famille, droit, expression artistique et affirmation de soi, respect de la personne et de l’autre.</w:t>
      </w:r>
    </w:p>
    <w:p w14:paraId="18C3DC35" w14:textId="77777777" w:rsidR="0061731C" w:rsidRDefault="0061731C" w:rsidP="0061731C">
      <w:pPr>
        <w:spacing w:before="100" w:beforeAutospacing="1" w:after="100" w:afterAutospacing="1"/>
        <w:jc w:val="both"/>
        <w:rPr>
          <w:rFonts w:ascii="Cambria" w:hAnsi="Cambria"/>
          <w:lang w:eastAsia="fr-FR"/>
        </w:rPr>
      </w:pPr>
      <w:r>
        <w:rPr>
          <w:rFonts w:ascii="Cambria" w:hAnsi="Cambria"/>
          <w:lang w:eastAsia="fr-FR"/>
        </w:rPr>
        <w:t>La Direction des solidarités, de la famille et de l’égalité, prévoit quant à elle d’organiser le vendredi 19 novembre, deux espaces temps portant principalement sur la sensibilisation à la ligne téléphonique 119, numéro d’appel national de l’enfance en danger ou en risque de l’être, désormais opérationnel en Polynésie française.</w:t>
      </w:r>
    </w:p>
    <w:p w14:paraId="2CE3A915" w14:textId="77777777" w:rsidR="0061731C" w:rsidRDefault="0061731C" w:rsidP="0061731C">
      <w:pPr>
        <w:spacing w:before="100" w:beforeAutospacing="1" w:after="100" w:afterAutospacing="1"/>
        <w:jc w:val="both"/>
        <w:rPr>
          <w:rFonts w:ascii="Cambria" w:hAnsi="Cambria"/>
          <w:lang w:eastAsia="fr-FR"/>
        </w:rPr>
      </w:pPr>
      <w:r>
        <w:rPr>
          <w:rFonts w:ascii="Cambria" w:hAnsi="Cambria"/>
          <w:lang w:eastAsia="fr-FR"/>
        </w:rPr>
        <w:lastRenderedPageBreak/>
        <w:t>A cet effet, une matinée d’échanges autour de la protection de l’enfance déclinée sur le territoire se déroulera de 09h00 à 12h00 en présence des acteurs et partenaires privilégiés dans ce domaine. Les besoins fondamentaux de l’enfant en protection de l’enfance constitueront un axe central de travail. Par ailleurs, une présentation du dispositif « 119 – Allo enfance en danger » ainsi que de l’Observatoire national de la protection de l’enfance (ONPE) sera détaillée afin de les informer sur l’utilisation de ces nouveaux outils.</w:t>
      </w:r>
    </w:p>
    <w:p w14:paraId="317A57BB" w14:textId="723B3597" w:rsidR="00261AEC" w:rsidRDefault="0061731C" w:rsidP="00222F7A">
      <w:pPr>
        <w:spacing w:before="100" w:beforeAutospacing="1" w:after="100" w:afterAutospacing="1"/>
        <w:jc w:val="both"/>
        <w:rPr>
          <w:rFonts w:ascii="Cambria" w:hAnsi="Cambria"/>
          <w:lang w:eastAsia="fr-FR"/>
        </w:rPr>
      </w:pPr>
      <w:r>
        <w:rPr>
          <w:rFonts w:ascii="Cambria" w:hAnsi="Cambria"/>
          <w:lang w:eastAsia="fr-FR"/>
        </w:rPr>
        <w:t>L’après-midi sera quant à lui dédié au grand public avec la tenue d’animations ludiques, de spectacles et d’ateliers portant sur les droits fondamentaux de l’enfant et sur la sensibilisation à l’existence du numéro d’appel 119, en présence de 10 influenceurs et ambassadeurs sélectionnés pour promouvoir la protection de l’enfance. 300 enfants et parents sont prévus d’être accueillis de 13h30 à 16h30 dans les Jardins du Parc Paofai.</w:t>
      </w:r>
    </w:p>
    <w:p w14:paraId="6483D9D0" w14:textId="77777777" w:rsidR="00222F7A" w:rsidRPr="00467546" w:rsidRDefault="00222F7A" w:rsidP="00222F7A">
      <w:pPr>
        <w:spacing w:before="100" w:beforeAutospacing="1" w:after="100" w:afterAutospacing="1"/>
        <w:jc w:val="both"/>
        <w:rPr>
          <w:rFonts w:ascii="Cambria" w:hAnsi="Cambria"/>
          <w:lang w:eastAsia="fr-FR"/>
        </w:rPr>
      </w:pPr>
    </w:p>
    <w:p w14:paraId="6BAA1A6E" w14:textId="0FE807FF" w:rsidR="004E0E1A" w:rsidRPr="00CF60AA" w:rsidRDefault="004E0E1A" w:rsidP="003229A6">
      <w:pPr>
        <w:pStyle w:val="-LettreTexteGEDA"/>
        <w:ind w:firstLine="0"/>
        <w:jc w:val="center"/>
        <w:rPr>
          <w:rFonts w:ascii="Cambria" w:hAnsi="Cambria"/>
        </w:rPr>
      </w:pPr>
      <w:r w:rsidRPr="00DF3674">
        <w:rPr>
          <w:rFonts w:ascii="Cambria" w:hAnsi="Cambria"/>
          <w:noProof w:val="0"/>
          <w:szCs w:val="24"/>
        </w:rPr>
        <w:t>-o-o-o-o-o-</w:t>
      </w:r>
    </w:p>
    <w:sectPr w:rsidR="004E0E1A" w:rsidRPr="00CF60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7B52" w14:textId="77777777" w:rsidR="00AE615B" w:rsidRDefault="00AE615B" w:rsidP="000946F2">
      <w:r>
        <w:separator/>
      </w:r>
    </w:p>
  </w:endnote>
  <w:endnote w:type="continuationSeparator" w:id="0">
    <w:p w14:paraId="58EFF7B5" w14:textId="77777777" w:rsidR="00AE615B" w:rsidRDefault="00AE615B"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AAFF" w14:textId="77777777" w:rsidR="00AE615B" w:rsidRDefault="00AE615B" w:rsidP="000946F2">
      <w:r>
        <w:separator/>
      </w:r>
    </w:p>
  </w:footnote>
  <w:footnote w:type="continuationSeparator" w:id="0">
    <w:p w14:paraId="1686BF19" w14:textId="77777777" w:rsidR="00AE615B" w:rsidRDefault="00AE615B"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491"/>
    <w:multiLevelType w:val="multilevel"/>
    <w:tmpl w:val="FF504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B3470"/>
    <w:multiLevelType w:val="multilevel"/>
    <w:tmpl w:val="ED2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F01E8"/>
    <w:multiLevelType w:val="multilevel"/>
    <w:tmpl w:val="895AB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53024E"/>
    <w:multiLevelType w:val="hybridMultilevel"/>
    <w:tmpl w:val="8CAC351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589"/>
        </w:tabs>
        <w:ind w:left="589" w:hanging="360"/>
      </w:p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5" w15:restartNumberingAfterBreak="0">
    <w:nsid w:val="1C2740A7"/>
    <w:multiLevelType w:val="multilevel"/>
    <w:tmpl w:val="028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4CAA"/>
    <w:multiLevelType w:val="multilevel"/>
    <w:tmpl w:val="C11826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204E9C"/>
    <w:multiLevelType w:val="multilevel"/>
    <w:tmpl w:val="0F2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B7472"/>
    <w:multiLevelType w:val="multilevel"/>
    <w:tmpl w:val="21F4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6235D"/>
    <w:multiLevelType w:val="multilevel"/>
    <w:tmpl w:val="B81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3432C"/>
    <w:multiLevelType w:val="hybridMultilevel"/>
    <w:tmpl w:val="F7169994"/>
    <w:lvl w:ilvl="0" w:tplc="713A4380">
      <w:start w:val="1"/>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1" w15:restartNumberingAfterBreak="0">
    <w:nsid w:val="306E23F2"/>
    <w:multiLevelType w:val="multilevel"/>
    <w:tmpl w:val="6A8853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5A252F0"/>
    <w:multiLevelType w:val="hybridMultilevel"/>
    <w:tmpl w:val="EBF01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4" w15:restartNumberingAfterBreak="0">
    <w:nsid w:val="383203C3"/>
    <w:multiLevelType w:val="multilevel"/>
    <w:tmpl w:val="0A8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056D4"/>
    <w:multiLevelType w:val="multilevel"/>
    <w:tmpl w:val="73F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F77F4"/>
    <w:multiLevelType w:val="multilevel"/>
    <w:tmpl w:val="4FF869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6A43DCA"/>
    <w:multiLevelType w:val="multilevel"/>
    <w:tmpl w:val="4B6A9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07672ED"/>
    <w:multiLevelType w:val="multilevel"/>
    <w:tmpl w:val="90CC4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2A840F4"/>
    <w:multiLevelType w:val="multilevel"/>
    <w:tmpl w:val="0EE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930FD"/>
    <w:multiLevelType w:val="multilevel"/>
    <w:tmpl w:val="2A08D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BA04E1F"/>
    <w:multiLevelType w:val="multilevel"/>
    <w:tmpl w:val="72C6A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835F1F"/>
    <w:multiLevelType w:val="hybridMultilevel"/>
    <w:tmpl w:val="0232818C"/>
    <w:lvl w:ilvl="0" w:tplc="20000005">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3" w15:restartNumberingAfterBreak="0">
    <w:nsid w:val="5E662865"/>
    <w:multiLevelType w:val="multilevel"/>
    <w:tmpl w:val="D0F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82483"/>
    <w:multiLevelType w:val="hybridMultilevel"/>
    <w:tmpl w:val="A648A85C"/>
    <w:lvl w:ilvl="0" w:tplc="040C000B">
      <w:start w:val="1"/>
      <w:numFmt w:val="bullet"/>
      <w:lvlText w:val=""/>
      <w:lvlJc w:val="left"/>
      <w:pPr>
        <w:ind w:left="1635" w:hanging="360"/>
      </w:pPr>
      <w:rPr>
        <w:rFonts w:ascii="Wingdings" w:hAnsi="Wingdings" w:hint="default"/>
      </w:rPr>
    </w:lvl>
    <w:lvl w:ilvl="1" w:tplc="040C0003">
      <w:start w:val="1"/>
      <w:numFmt w:val="bullet"/>
      <w:lvlText w:val="o"/>
      <w:lvlJc w:val="left"/>
      <w:pPr>
        <w:ind w:left="2355" w:hanging="360"/>
      </w:pPr>
      <w:rPr>
        <w:rFonts w:ascii="Courier New" w:hAnsi="Courier New" w:cs="Courier New"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cs="Courier New"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cs="Courier New" w:hint="default"/>
      </w:rPr>
    </w:lvl>
    <w:lvl w:ilvl="8" w:tplc="040C0005">
      <w:start w:val="1"/>
      <w:numFmt w:val="bullet"/>
      <w:lvlText w:val=""/>
      <w:lvlJc w:val="left"/>
      <w:pPr>
        <w:ind w:left="7395" w:hanging="360"/>
      </w:pPr>
      <w:rPr>
        <w:rFonts w:ascii="Wingdings" w:hAnsi="Wingdings" w:hint="default"/>
      </w:rPr>
    </w:lvl>
  </w:abstractNum>
  <w:abstractNum w:abstractNumId="25" w15:restartNumberingAfterBreak="0">
    <w:nsid w:val="622A2588"/>
    <w:multiLevelType w:val="multilevel"/>
    <w:tmpl w:val="161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E09DA"/>
    <w:multiLevelType w:val="hybridMultilevel"/>
    <w:tmpl w:val="34B44582"/>
    <w:lvl w:ilvl="0" w:tplc="5E124F6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6D813084"/>
    <w:multiLevelType w:val="hybridMultilevel"/>
    <w:tmpl w:val="98F6BEBC"/>
    <w:lvl w:ilvl="0" w:tplc="5E124F6A">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0F10DA3"/>
    <w:multiLevelType w:val="multilevel"/>
    <w:tmpl w:val="BC46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058B2"/>
    <w:multiLevelType w:val="multilevel"/>
    <w:tmpl w:val="C5862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770675C"/>
    <w:multiLevelType w:val="multilevel"/>
    <w:tmpl w:val="1C544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4"/>
  </w:num>
  <w:num w:numId="8">
    <w:abstractNumId w:val="19"/>
  </w:num>
  <w:num w:numId="9">
    <w:abstractNumId w:val="23"/>
  </w:num>
  <w:num w:numId="10">
    <w:abstractNumId w:val="25"/>
  </w:num>
  <w:num w:numId="11">
    <w:abstractNumId w:val="2"/>
  </w:num>
  <w:num w:numId="12">
    <w:abstractNumId w:val="28"/>
  </w:num>
  <w:num w:numId="13">
    <w:abstractNumId w:val="5"/>
  </w:num>
  <w:num w:numId="14">
    <w:abstractNumId w:val="15"/>
  </w:num>
  <w:num w:numId="15">
    <w:abstractNumId w:val="9"/>
  </w:num>
  <w:num w:numId="16">
    <w:abstractNumId w:val="26"/>
  </w:num>
  <w:num w:numId="17">
    <w:abstractNumId w:val="22"/>
  </w:num>
  <w:num w:numId="18">
    <w:abstractNumId w:val="27"/>
  </w:num>
  <w:num w:numId="19">
    <w:abstractNumId w:val="24"/>
  </w:num>
  <w:num w:numId="20">
    <w:abstractNumId w:val="21"/>
  </w:num>
  <w:num w:numId="21">
    <w:abstractNumId w:val="17"/>
  </w:num>
  <w:num w:numId="22">
    <w:abstractNumId w:val="11"/>
  </w:num>
  <w:num w:numId="23">
    <w:abstractNumId w:val="18"/>
  </w:num>
  <w:num w:numId="24">
    <w:abstractNumId w:val="30"/>
  </w:num>
  <w:num w:numId="25">
    <w:abstractNumId w:val="16"/>
  </w:num>
  <w:num w:numId="26">
    <w:abstractNumId w:val="20"/>
  </w:num>
  <w:num w:numId="27">
    <w:abstractNumId w:val="4"/>
  </w:num>
  <w:num w:numId="28">
    <w:abstractNumId w:val="10"/>
  </w:num>
  <w:num w:numId="29">
    <w:abstractNumId w:val="1"/>
  </w:num>
  <w:num w:numId="30">
    <w:abstractNumId w:val="29"/>
  </w:num>
  <w:num w:numId="31">
    <w:abstractNumId w:val="3"/>
  </w:num>
  <w:num w:numId="32">
    <w:abstractNumId w:val="0"/>
  </w:num>
  <w:num w:numId="3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6C9"/>
    <w:rsid w:val="000360F8"/>
    <w:rsid w:val="00057D09"/>
    <w:rsid w:val="00062B2E"/>
    <w:rsid w:val="00067B39"/>
    <w:rsid w:val="00073530"/>
    <w:rsid w:val="000946F2"/>
    <w:rsid w:val="00094C9A"/>
    <w:rsid w:val="00097EB2"/>
    <w:rsid w:val="000C153E"/>
    <w:rsid w:val="000C6F38"/>
    <w:rsid w:val="000C796A"/>
    <w:rsid w:val="001019EF"/>
    <w:rsid w:val="0010365C"/>
    <w:rsid w:val="001148FC"/>
    <w:rsid w:val="001560E0"/>
    <w:rsid w:val="001657A7"/>
    <w:rsid w:val="00193BE7"/>
    <w:rsid w:val="00197F24"/>
    <w:rsid w:val="001B4ED0"/>
    <w:rsid w:val="001B6B39"/>
    <w:rsid w:val="001C4C61"/>
    <w:rsid w:val="001E591D"/>
    <w:rsid w:val="00201254"/>
    <w:rsid w:val="00203E06"/>
    <w:rsid w:val="00222F7A"/>
    <w:rsid w:val="00226F02"/>
    <w:rsid w:val="00241E36"/>
    <w:rsid w:val="002558FB"/>
    <w:rsid w:val="00261AEC"/>
    <w:rsid w:val="002C02AC"/>
    <w:rsid w:val="002D6D5D"/>
    <w:rsid w:val="002E696E"/>
    <w:rsid w:val="003019E6"/>
    <w:rsid w:val="00303F47"/>
    <w:rsid w:val="00314196"/>
    <w:rsid w:val="0031620D"/>
    <w:rsid w:val="00317C66"/>
    <w:rsid w:val="003229A6"/>
    <w:rsid w:val="00331E05"/>
    <w:rsid w:val="00333CE8"/>
    <w:rsid w:val="003358A4"/>
    <w:rsid w:val="00336845"/>
    <w:rsid w:val="00343E2F"/>
    <w:rsid w:val="0034488A"/>
    <w:rsid w:val="00344F22"/>
    <w:rsid w:val="00372D2A"/>
    <w:rsid w:val="003750FA"/>
    <w:rsid w:val="00376980"/>
    <w:rsid w:val="003921C7"/>
    <w:rsid w:val="003E7569"/>
    <w:rsid w:val="003F3E18"/>
    <w:rsid w:val="00416564"/>
    <w:rsid w:val="004178CE"/>
    <w:rsid w:val="00426E43"/>
    <w:rsid w:val="00453068"/>
    <w:rsid w:val="00456DD6"/>
    <w:rsid w:val="00464602"/>
    <w:rsid w:val="00467546"/>
    <w:rsid w:val="00470251"/>
    <w:rsid w:val="004A28D6"/>
    <w:rsid w:val="004A3805"/>
    <w:rsid w:val="004A5ED4"/>
    <w:rsid w:val="004B00A1"/>
    <w:rsid w:val="004C2F05"/>
    <w:rsid w:val="004C71F3"/>
    <w:rsid w:val="004D2D55"/>
    <w:rsid w:val="004E0E1A"/>
    <w:rsid w:val="004F1350"/>
    <w:rsid w:val="004F4E5C"/>
    <w:rsid w:val="004F6EBC"/>
    <w:rsid w:val="00511CE9"/>
    <w:rsid w:val="0051569C"/>
    <w:rsid w:val="00522EA0"/>
    <w:rsid w:val="00524E73"/>
    <w:rsid w:val="005268C6"/>
    <w:rsid w:val="005314A8"/>
    <w:rsid w:val="005412C9"/>
    <w:rsid w:val="00550369"/>
    <w:rsid w:val="005524F8"/>
    <w:rsid w:val="00561F43"/>
    <w:rsid w:val="00566602"/>
    <w:rsid w:val="00574994"/>
    <w:rsid w:val="005B0EDB"/>
    <w:rsid w:val="005B1B14"/>
    <w:rsid w:val="005D631A"/>
    <w:rsid w:val="005D76E3"/>
    <w:rsid w:val="005F535E"/>
    <w:rsid w:val="0061449D"/>
    <w:rsid w:val="0061731C"/>
    <w:rsid w:val="00617820"/>
    <w:rsid w:val="00625270"/>
    <w:rsid w:val="00647EC4"/>
    <w:rsid w:val="00655352"/>
    <w:rsid w:val="0065694E"/>
    <w:rsid w:val="006676A1"/>
    <w:rsid w:val="00670C3E"/>
    <w:rsid w:val="00674CD0"/>
    <w:rsid w:val="006846F8"/>
    <w:rsid w:val="00690ED4"/>
    <w:rsid w:val="00692133"/>
    <w:rsid w:val="006B1A88"/>
    <w:rsid w:val="006B66F6"/>
    <w:rsid w:val="006C3CC1"/>
    <w:rsid w:val="006E08F8"/>
    <w:rsid w:val="006F299C"/>
    <w:rsid w:val="006F7FD4"/>
    <w:rsid w:val="00720225"/>
    <w:rsid w:val="007207E2"/>
    <w:rsid w:val="00725E9F"/>
    <w:rsid w:val="00744496"/>
    <w:rsid w:val="00754E86"/>
    <w:rsid w:val="0078291E"/>
    <w:rsid w:val="00793B69"/>
    <w:rsid w:val="00793E0E"/>
    <w:rsid w:val="007A28D6"/>
    <w:rsid w:val="007A5E09"/>
    <w:rsid w:val="007A6A5E"/>
    <w:rsid w:val="007B6A6C"/>
    <w:rsid w:val="007C1BC9"/>
    <w:rsid w:val="007C1C93"/>
    <w:rsid w:val="007C605D"/>
    <w:rsid w:val="007E133D"/>
    <w:rsid w:val="007E5D66"/>
    <w:rsid w:val="007F664D"/>
    <w:rsid w:val="00805658"/>
    <w:rsid w:val="00807CE3"/>
    <w:rsid w:val="00814C48"/>
    <w:rsid w:val="00816A9C"/>
    <w:rsid w:val="00820BBC"/>
    <w:rsid w:val="00822589"/>
    <w:rsid w:val="00825D17"/>
    <w:rsid w:val="008445F1"/>
    <w:rsid w:val="00854E57"/>
    <w:rsid w:val="008560D1"/>
    <w:rsid w:val="0087417F"/>
    <w:rsid w:val="00890177"/>
    <w:rsid w:val="008C6B51"/>
    <w:rsid w:val="008D469A"/>
    <w:rsid w:val="008D4C19"/>
    <w:rsid w:val="008E0300"/>
    <w:rsid w:val="008E2E81"/>
    <w:rsid w:val="008F4EDA"/>
    <w:rsid w:val="00902AD0"/>
    <w:rsid w:val="00904570"/>
    <w:rsid w:val="00906A1A"/>
    <w:rsid w:val="00916876"/>
    <w:rsid w:val="00916F0F"/>
    <w:rsid w:val="00920D6D"/>
    <w:rsid w:val="009263A2"/>
    <w:rsid w:val="00936C76"/>
    <w:rsid w:val="00937DB4"/>
    <w:rsid w:val="009435C9"/>
    <w:rsid w:val="009723F8"/>
    <w:rsid w:val="009744ED"/>
    <w:rsid w:val="009E34ED"/>
    <w:rsid w:val="00A00B63"/>
    <w:rsid w:val="00A06040"/>
    <w:rsid w:val="00A12C80"/>
    <w:rsid w:val="00A1301D"/>
    <w:rsid w:val="00A3661B"/>
    <w:rsid w:val="00A44598"/>
    <w:rsid w:val="00A5773F"/>
    <w:rsid w:val="00A60491"/>
    <w:rsid w:val="00A66B6A"/>
    <w:rsid w:val="00A83348"/>
    <w:rsid w:val="00A93EAD"/>
    <w:rsid w:val="00A94201"/>
    <w:rsid w:val="00A9585C"/>
    <w:rsid w:val="00AA1452"/>
    <w:rsid w:val="00AA1585"/>
    <w:rsid w:val="00AC5919"/>
    <w:rsid w:val="00AD364D"/>
    <w:rsid w:val="00AD4D7B"/>
    <w:rsid w:val="00AE615B"/>
    <w:rsid w:val="00AE6479"/>
    <w:rsid w:val="00B05F97"/>
    <w:rsid w:val="00B16100"/>
    <w:rsid w:val="00B2325C"/>
    <w:rsid w:val="00B31286"/>
    <w:rsid w:val="00B34C72"/>
    <w:rsid w:val="00B35075"/>
    <w:rsid w:val="00B7240B"/>
    <w:rsid w:val="00B81E7B"/>
    <w:rsid w:val="00B9574C"/>
    <w:rsid w:val="00BB77F0"/>
    <w:rsid w:val="00BC1879"/>
    <w:rsid w:val="00BD7E3B"/>
    <w:rsid w:val="00BF04DB"/>
    <w:rsid w:val="00BF0A26"/>
    <w:rsid w:val="00C100A7"/>
    <w:rsid w:val="00C246B5"/>
    <w:rsid w:val="00C257B4"/>
    <w:rsid w:val="00C32F66"/>
    <w:rsid w:val="00C514AE"/>
    <w:rsid w:val="00C53E63"/>
    <w:rsid w:val="00C56BBF"/>
    <w:rsid w:val="00C57D05"/>
    <w:rsid w:val="00C6114E"/>
    <w:rsid w:val="00C72F7B"/>
    <w:rsid w:val="00C750C4"/>
    <w:rsid w:val="00C83214"/>
    <w:rsid w:val="00C9475F"/>
    <w:rsid w:val="00CA729E"/>
    <w:rsid w:val="00CB73CF"/>
    <w:rsid w:val="00CD3117"/>
    <w:rsid w:val="00CE6642"/>
    <w:rsid w:val="00CF60AA"/>
    <w:rsid w:val="00CF6CEA"/>
    <w:rsid w:val="00D035B6"/>
    <w:rsid w:val="00D13D49"/>
    <w:rsid w:val="00D22A2D"/>
    <w:rsid w:val="00D410EC"/>
    <w:rsid w:val="00D415F8"/>
    <w:rsid w:val="00D5697C"/>
    <w:rsid w:val="00D65DFB"/>
    <w:rsid w:val="00D74DED"/>
    <w:rsid w:val="00D76297"/>
    <w:rsid w:val="00D91BC5"/>
    <w:rsid w:val="00DA7916"/>
    <w:rsid w:val="00DB32DD"/>
    <w:rsid w:val="00DE5190"/>
    <w:rsid w:val="00DF078C"/>
    <w:rsid w:val="00DF6B95"/>
    <w:rsid w:val="00DF73B9"/>
    <w:rsid w:val="00E03ED5"/>
    <w:rsid w:val="00E14F1C"/>
    <w:rsid w:val="00EB661E"/>
    <w:rsid w:val="00EC1170"/>
    <w:rsid w:val="00EC4BC9"/>
    <w:rsid w:val="00EE0BAB"/>
    <w:rsid w:val="00EF0155"/>
    <w:rsid w:val="00EF2616"/>
    <w:rsid w:val="00EF4A34"/>
    <w:rsid w:val="00F02EF4"/>
    <w:rsid w:val="00F0504E"/>
    <w:rsid w:val="00F10B59"/>
    <w:rsid w:val="00F35395"/>
    <w:rsid w:val="00F532C7"/>
    <w:rsid w:val="00F72FCF"/>
    <w:rsid w:val="00F97177"/>
    <w:rsid w:val="00FA5FD1"/>
    <w:rsid w:val="00FC0BA3"/>
    <w:rsid w:val="00FC1CC1"/>
    <w:rsid w:val="00FD7003"/>
    <w:rsid w:val="00FE0839"/>
    <w:rsid w:val="00FF04A3"/>
    <w:rsid w:val="00FF3F25"/>
    <w:rsid w:val="00FF4DA6"/>
    <w:rsid w:val="00FF6B89"/>
    <w:rsid w:val="00FF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9"/>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550369"/>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69">
      <w:bodyDiv w:val="1"/>
      <w:marLeft w:val="0"/>
      <w:marRight w:val="0"/>
      <w:marTop w:val="0"/>
      <w:marBottom w:val="0"/>
      <w:divBdr>
        <w:top w:val="none" w:sz="0" w:space="0" w:color="auto"/>
        <w:left w:val="none" w:sz="0" w:space="0" w:color="auto"/>
        <w:bottom w:val="none" w:sz="0" w:space="0" w:color="auto"/>
        <w:right w:val="none" w:sz="0" w:space="0" w:color="auto"/>
      </w:divBdr>
    </w:div>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2374</Words>
  <Characters>13057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86</cp:revision>
  <cp:lastPrinted>2021-11-10T02:47:00Z</cp:lastPrinted>
  <dcterms:created xsi:type="dcterms:W3CDTF">2021-11-02T20:08:00Z</dcterms:created>
  <dcterms:modified xsi:type="dcterms:W3CDTF">2021-11-11T02:22:00Z</dcterms:modified>
</cp:coreProperties>
</file>