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894E" w14:textId="77777777" w:rsidR="00625270" w:rsidRPr="00964474" w:rsidRDefault="00625270" w:rsidP="00964474">
      <w:pPr>
        <w:jc w:val="both"/>
        <w:rPr>
          <w:rFonts w:ascii="Cambria" w:hAnsi="Cambria"/>
          <w:lang w:eastAsia="fr-FR"/>
        </w:rPr>
      </w:pPr>
      <w:r w:rsidRPr="00964474">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964474">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964474">
        <w:rPr>
          <w:rFonts w:ascii="Cambria" w:hAnsi="Cambria"/>
          <w:lang w:eastAsia="fr-FR"/>
        </w:rPr>
        <w:t xml:space="preserve"> </w:t>
      </w:r>
    </w:p>
    <w:p w14:paraId="5B96777C" w14:textId="77777777" w:rsidR="00625270" w:rsidRPr="00964474" w:rsidRDefault="00625270" w:rsidP="00964474">
      <w:pPr>
        <w:jc w:val="both"/>
        <w:rPr>
          <w:rFonts w:ascii="Cambria" w:hAnsi="Cambria"/>
          <w:color w:val="993366"/>
        </w:rPr>
      </w:pPr>
    </w:p>
    <w:p w14:paraId="3672BD85" w14:textId="77777777" w:rsidR="00625270" w:rsidRPr="00964474" w:rsidRDefault="00625270" w:rsidP="00964474">
      <w:pPr>
        <w:jc w:val="both"/>
        <w:rPr>
          <w:rFonts w:ascii="Cambria" w:hAnsi="Cambria"/>
          <w:color w:val="993366"/>
        </w:rPr>
      </w:pPr>
    </w:p>
    <w:p w14:paraId="6ADD5940" w14:textId="77777777" w:rsidR="00625270" w:rsidRPr="00964474" w:rsidRDefault="00625270" w:rsidP="00964474">
      <w:pPr>
        <w:jc w:val="both"/>
        <w:rPr>
          <w:rFonts w:ascii="Cambria" w:hAnsi="Cambria"/>
          <w:color w:val="993366"/>
        </w:rPr>
      </w:pPr>
    </w:p>
    <w:p w14:paraId="48B5E675" w14:textId="77777777" w:rsidR="00625270" w:rsidRPr="00964474" w:rsidRDefault="00625270" w:rsidP="00964474">
      <w:pPr>
        <w:jc w:val="both"/>
        <w:rPr>
          <w:rFonts w:ascii="Cambria" w:hAnsi="Cambria"/>
          <w:color w:val="993366"/>
        </w:rPr>
      </w:pPr>
    </w:p>
    <w:p w14:paraId="0556FA3D" w14:textId="77777777" w:rsidR="00625270" w:rsidRPr="00964474" w:rsidRDefault="00625270" w:rsidP="00964474">
      <w:pPr>
        <w:tabs>
          <w:tab w:val="center" w:pos="4533"/>
          <w:tab w:val="left" w:pos="6544"/>
        </w:tabs>
        <w:jc w:val="both"/>
        <w:rPr>
          <w:rFonts w:ascii="Cambria" w:hAnsi="Cambria"/>
          <w:u w:val="single"/>
        </w:rPr>
      </w:pPr>
      <w:r w:rsidRPr="00964474">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964474" w:rsidRDefault="00625270" w:rsidP="00964474">
      <w:pPr>
        <w:tabs>
          <w:tab w:val="left" w:pos="3240"/>
        </w:tabs>
        <w:jc w:val="center"/>
        <w:rPr>
          <w:rFonts w:ascii="Cambria" w:hAnsi="Cambria" w:cs="Arial"/>
          <w:b/>
        </w:rPr>
      </w:pPr>
      <w:r w:rsidRPr="00964474">
        <w:rPr>
          <w:rFonts w:ascii="Cambria" w:hAnsi="Cambria" w:cs="Arial"/>
          <w:b/>
        </w:rPr>
        <w:t>BUREAU DE LA COMMUNICATION</w:t>
      </w:r>
    </w:p>
    <w:p w14:paraId="48860829" w14:textId="1FB3B5F4" w:rsidR="00625270" w:rsidRPr="00964474" w:rsidRDefault="004C71F3" w:rsidP="00964474">
      <w:pPr>
        <w:tabs>
          <w:tab w:val="left" w:pos="3240"/>
        </w:tabs>
        <w:jc w:val="center"/>
        <w:rPr>
          <w:rFonts w:ascii="Cambria" w:hAnsi="Cambria" w:cs="Arial"/>
          <w:b/>
          <w:i/>
        </w:rPr>
      </w:pPr>
      <w:r w:rsidRPr="00964474">
        <w:rPr>
          <w:rFonts w:ascii="Cambria" w:hAnsi="Cambria" w:cs="Arial"/>
          <w:b/>
          <w:i/>
        </w:rPr>
        <w:t>Mercredi</w:t>
      </w:r>
      <w:r w:rsidR="00625270" w:rsidRPr="00964474">
        <w:rPr>
          <w:rFonts w:ascii="Cambria" w:hAnsi="Cambria" w:cs="Arial"/>
          <w:b/>
          <w:i/>
        </w:rPr>
        <w:t xml:space="preserve"> </w:t>
      </w:r>
      <w:r w:rsidR="00392575">
        <w:rPr>
          <w:rFonts w:ascii="Cambria" w:hAnsi="Cambria" w:cs="Arial"/>
          <w:b/>
          <w:i/>
        </w:rPr>
        <w:t>21</w:t>
      </w:r>
      <w:r w:rsidR="007E62B3" w:rsidRPr="00964474">
        <w:rPr>
          <w:rFonts w:ascii="Cambria" w:hAnsi="Cambria" w:cs="Arial"/>
          <w:b/>
          <w:i/>
        </w:rPr>
        <w:t xml:space="preserve"> </w:t>
      </w:r>
      <w:r w:rsidR="00A670A7">
        <w:rPr>
          <w:rFonts w:ascii="Cambria" w:hAnsi="Cambria" w:cs="Arial"/>
          <w:b/>
          <w:i/>
        </w:rPr>
        <w:t>juillet</w:t>
      </w:r>
      <w:r w:rsidR="00625270" w:rsidRPr="00964474">
        <w:rPr>
          <w:rFonts w:ascii="Cambria" w:hAnsi="Cambria" w:cs="Arial"/>
          <w:b/>
          <w:i/>
        </w:rPr>
        <w:t xml:space="preserve"> 202</w:t>
      </w:r>
      <w:r w:rsidR="007E62B3" w:rsidRPr="00964474">
        <w:rPr>
          <w:rFonts w:ascii="Cambria" w:hAnsi="Cambria" w:cs="Arial"/>
          <w:b/>
          <w:i/>
        </w:rPr>
        <w:t>1</w:t>
      </w:r>
    </w:p>
    <w:p w14:paraId="58F3DB1E" w14:textId="77777777" w:rsidR="00625270" w:rsidRPr="00964474" w:rsidRDefault="00625270" w:rsidP="00964474">
      <w:pPr>
        <w:tabs>
          <w:tab w:val="left" w:pos="3240"/>
        </w:tabs>
        <w:jc w:val="both"/>
        <w:rPr>
          <w:rFonts w:ascii="Cambria" w:hAnsi="Cambria"/>
        </w:rPr>
      </w:pPr>
      <w:r w:rsidRPr="00964474">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Pr="00964474" w:rsidRDefault="00625270" w:rsidP="00964474">
      <w:pPr>
        <w:overflowPunct w:val="0"/>
        <w:autoSpaceDE w:val="0"/>
        <w:autoSpaceDN w:val="0"/>
        <w:adjustRightInd w:val="0"/>
        <w:spacing w:before="120"/>
        <w:jc w:val="both"/>
        <w:rPr>
          <w:rFonts w:ascii="Cambria" w:hAnsi="Cambria"/>
          <w:b/>
          <w:lang w:eastAsia="fr-FR"/>
        </w:rPr>
      </w:pPr>
    </w:p>
    <w:p w14:paraId="4D703140" w14:textId="641E3027" w:rsidR="004C71F3" w:rsidRPr="00964474" w:rsidRDefault="004C71F3" w:rsidP="00964474">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964474">
        <w:rPr>
          <w:rFonts w:ascii="Cambria" w:hAnsi="Cambria"/>
          <w:b/>
        </w:rPr>
        <w:t>Compte rendu du Conseil des ministres</w:t>
      </w:r>
    </w:p>
    <w:p w14:paraId="2197AF88" w14:textId="63494D36" w:rsidR="00B97C80" w:rsidRDefault="00B97C80" w:rsidP="00964474">
      <w:pPr>
        <w:jc w:val="both"/>
        <w:rPr>
          <w:rFonts w:ascii="Cambria" w:hAnsi="Cambria"/>
          <w:lang w:eastAsia="fr-FR"/>
        </w:rPr>
      </w:pPr>
    </w:p>
    <w:p w14:paraId="1643FBE5" w14:textId="77777777" w:rsidR="00C11FC7" w:rsidRPr="00C11FC7" w:rsidRDefault="00C11FC7" w:rsidP="00C11FC7">
      <w:pPr>
        <w:spacing w:before="100" w:beforeAutospacing="1" w:after="100" w:afterAutospacing="1"/>
        <w:jc w:val="both"/>
        <w:rPr>
          <w:rFonts w:ascii="Cambria" w:hAnsi="Cambria"/>
          <w:lang w:eastAsia="fr-FR"/>
        </w:rPr>
      </w:pPr>
      <w:r w:rsidRPr="00C11FC7">
        <w:rPr>
          <w:rFonts w:ascii="Cambria" w:hAnsi="Cambria"/>
          <w:b/>
          <w:bCs/>
          <w:lang w:eastAsia="fr-FR"/>
        </w:rPr>
        <w:t>Colloque « La terre en Polynésie - La propriété foncière à l’épreuve des liens de parenté » les 23 et 24 septembre à l’Université de la Polynésie française</w:t>
      </w:r>
    </w:p>
    <w:p w14:paraId="49233192" w14:textId="77777777" w:rsidR="00C11FC7" w:rsidRPr="00C11FC7" w:rsidRDefault="00C11FC7" w:rsidP="00C11FC7">
      <w:pPr>
        <w:spacing w:before="100" w:beforeAutospacing="1" w:after="100" w:afterAutospacing="1"/>
        <w:jc w:val="both"/>
        <w:rPr>
          <w:rFonts w:ascii="Cambria" w:hAnsi="Cambria"/>
          <w:lang w:eastAsia="fr-FR"/>
        </w:rPr>
      </w:pPr>
      <w:r w:rsidRPr="00C11FC7">
        <w:rPr>
          <w:rFonts w:ascii="Cambria" w:hAnsi="Cambria"/>
          <w:lang w:eastAsia="fr-FR"/>
        </w:rPr>
        <w:t>Un colloque intitulé « La terre en Polynésie - La propriété foncière à l’épreuve des liens de parenté » sera organisé les 23 et 24 septembre prochains à l’Université de la Polynésie française (UPF).</w:t>
      </w:r>
    </w:p>
    <w:p w14:paraId="66317C69" w14:textId="77777777" w:rsidR="00C11FC7" w:rsidRPr="00C11FC7" w:rsidRDefault="00C11FC7" w:rsidP="00C11FC7">
      <w:pPr>
        <w:spacing w:before="100" w:beforeAutospacing="1" w:after="100" w:afterAutospacing="1"/>
        <w:jc w:val="both"/>
        <w:rPr>
          <w:rFonts w:ascii="Cambria" w:hAnsi="Cambria"/>
          <w:lang w:eastAsia="fr-FR"/>
        </w:rPr>
      </w:pPr>
      <w:r w:rsidRPr="00C11FC7">
        <w:rPr>
          <w:rFonts w:ascii="Cambria" w:hAnsi="Cambria"/>
          <w:lang w:eastAsia="fr-FR"/>
        </w:rPr>
        <w:t>Ce colloque organisé par l’UPF, en partenariat avec la Vice-présidence, ministère en charge des Affaires foncières, sera une plateforme de réflexion et de parole tournée autour de la question foncière. Il est prévu la participation d’experts renommés du Pays et de métropole tels que le professeur Grimaldi et le professeur Fulchiron, actuellement conseiller à la Cour de cassation.</w:t>
      </w:r>
    </w:p>
    <w:p w14:paraId="4E7F71F9" w14:textId="4EB4CC9F" w:rsidR="001B2D71" w:rsidRDefault="00C11FC7" w:rsidP="00C11FC7">
      <w:pPr>
        <w:spacing w:before="100" w:beforeAutospacing="1" w:after="100" w:afterAutospacing="1"/>
        <w:jc w:val="both"/>
        <w:rPr>
          <w:rFonts w:ascii="Cambria" w:hAnsi="Cambria"/>
          <w:lang w:eastAsia="fr-FR"/>
        </w:rPr>
      </w:pPr>
      <w:r w:rsidRPr="00C11FC7">
        <w:rPr>
          <w:rFonts w:ascii="Cambria" w:hAnsi="Cambria"/>
          <w:lang w:eastAsia="fr-FR"/>
        </w:rPr>
        <w:t>Le Vice-président porte un grand intérêt à sa réussite et invite notamment les organismes professionnels et associatifs concernés par la matière foncière ainsi que les étudiants en droit de l’UPF à y participer.</w:t>
      </w:r>
    </w:p>
    <w:p w14:paraId="091AD538" w14:textId="77777777" w:rsidR="001B2D71" w:rsidRPr="00C11FC7" w:rsidRDefault="001B2D71" w:rsidP="00C11FC7">
      <w:pPr>
        <w:spacing w:before="100" w:beforeAutospacing="1" w:after="100" w:afterAutospacing="1"/>
        <w:jc w:val="both"/>
        <w:rPr>
          <w:rFonts w:ascii="Cambria" w:hAnsi="Cambria"/>
          <w:lang w:eastAsia="fr-FR"/>
        </w:rPr>
      </w:pPr>
    </w:p>
    <w:p w14:paraId="1923BBF9" w14:textId="1AEF3F81" w:rsidR="00C11FC7" w:rsidRPr="00C11FC7" w:rsidRDefault="001F01FD" w:rsidP="00C11FC7">
      <w:pPr>
        <w:spacing w:before="100" w:beforeAutospacing="1" w:after="100" w:afterAutospacing="1"/>
        <w:jc w:val="both"/>
        <w:rPr>
          <w:rFonts w:ascii="Cambria" w:hAnsi="Cambria"/>
          <w:lang w:eastAsia="fr-FR"/>
        </w:rPr>
      </w:pPr>
      <w:r>
        <w:rPr>
          <w:rFonts w:ascii="Cambria" w:hAnsi="Cambria"/>
          <w:b/>
          <w:bCs/>
          <w:lang w:eastAsia="fr-FR"/>
        </w:rPr>
        <w:t>Maintien du p</w:t>
      </w:r>
      <w:r w:rsidR="00C11FC7" w:rsidRPr="00C11FC7">
        <w:rPr>
          <w:rFonts w:ascii="Cambria" w:hAnsi="Cambria"/>
          <w:b/>
          <w:bCs/>
          <w:lang w:eastAsia="fr-FR"/>
        </w:rPr>
        <w:t>rix des hydrocarbures au 1</w:t>
      </w:r>
      <w:r w:rsidR="00C11FC7" w:rsidRPr="00C11FC7">
        <w:rPr>
          <w:rFonts w:ascii="Cambria" w:hAnsi="Cambria"/>
          <w:b/>
          <w:bCs/>
          <w:vertAlign w:val="superscript"/>
          <w:lang w:eastAsia="fr-FR"/>
        </w:rPr>
        <w:t>er</w:t>
      </w:r>
      <w:r w:rsidR="00C11FC7" w:rsidRPr="00C11FC7">
        <w:rPr>
          <w:rFonts w:ascii="Cambria" w:hAnsi="Cambria"/>
          <w:b/>
          <w:bCs/>
          <w:lang w:eastAsia="fr-FR"/>
        </w:rPr>
        <w:t> août</w:t>
      </w:r>
    </w:p>
    <w:p w14:paraId="0AEF0CF0" w14:textId="2DEC802F" w:rsidR="00C11FC7" w:rsidRDefault="00C11FC7" w:rsidP="00C11FC7">
      <w:pPr>
        <w:spacing w:before="100" w:beforeAutospacing="1" w:after="100" w:afterAutospacing="1"/>
        <w:jc w:val="both"/>
        <w:rPr>
          <w:rFonts w:ascii="Cambria" w:hAnsi="Cambria"/>
          <w:lang w:eastAsia="fr-FR"/>
        </w:rPr>
      </w:pPr>
      <w:r w:rsidRPr="00C11FC7">
        <w:rPr>
          <w:rFonts w:ascii="Cambria" w:hAnsi="Cambria"/>
          <w:lang w:eastAsia="fr-FR"/>
        </w:rPr>
        <w:t>Bien que la tendance haussière des cours demeure</w:t>
      </w:r>
      <w:r w:rsidR="001F01FD">
        <w:rPr>
          <w:rFonts w:ascii="Cambria" w:hAnsi="Cambria"/>
          <w:lang w:eastAsia="fr-FR"/>
        </w:rPr>
        <w:t xml:space="preserve"> au niveau mondial</w:t>
      </w:r>
      <w:r w:rsidRPr="00C11FC7">
        <w:rPr>
          <w:rFonts w:ascii="Cambria" w:hAnsi="Cambria"/>
          <w:lang w:eastAsia="fr-FR"/>
        </w:rPr>
        <w:t>, dans l'intérêt des consommateurs et usagers polynésiens, le Conseil des ministres a décidé de maintenir les prix des hydrocarbures pour le mois d'août. </w:t>
      </w:r>
    </w:p>
    <w:p w14:paraId="43950B2A" w14:textId="47DA351B" w:rsidR="001B2D71" w:rsidRDefault="001B2D71" w:rsidP="00C11FC7">
      <w:pPr>
        <w:spacing w:before="100" w:beforeAutospacing="1" w:after="100" w:afterAutospacing="1"/>
        <w:jc w:val="both"/>
        <w:rPr>
          <w:rFonts w:ascii="Cambria" w:hAnsi="Cambria"/>
          <w:lang w:eastAsia="fr-FR"/>
        </w:rPr>
      </w:pPr>
    </w:p>
    <w:p w14:paraId="00D83EB0" w14:textId="77777777" w:rsidR="001B2D71" w:rsidRPr="00C11FC7" w:rsidRDefault="001B2D71" w:rsidP="001B2D71">
      <w:pPr>
        <w:spacing w:before="100" w:beforeAutospacing="1" w:after="100" w:afterAutospacing="1"/>
        <w:jc w:val="both"/>
        <w:rPr>
          <w:rFonts w:ascii="Cambria" w:hAnsi="Cambria"/>
          <w:lang w:eastAsia="fr-FR"/>
        </w:rPr>
      </w:pPr>
      <w:r w:rsidRPr="00C11FC7">
        <w:rPr>
          <w:rFonts w:ascii="Cambria" w:hAnsi="Cambria"/>
          <w:b/>
          <w:bCs/>
          <w:lang w:eastAsia="fr-FR"/>
        </w:rPr>
        <w:t>Accord de coopération entre la Polynésie française et le Service hydrographique et océanographique de la marine (SHOM) concernant le maintien en conditions opérationnelles du réseau de marégraphes</w:t>
      </w:r>
    </w:p>
    <w:p w14:paraId="02E9961F" w14:textId="77777777" w:rsidR="001B2D71" w:rsidRPr="00C11FC7" w:rsidRDefault="001B2D71" w:rsidP="001B2D71">
      <w:pPr>
        <w:spacing w:before="100" w:beforeAutospacing="1" w:after="100" w:afterAutospacing="1"/>
        <w:jc w:val="both"/>
        <w:rPr>
          <w:rFonts w:ascii="Cambria" w:hAnsi="Cambria"/>
          <w:lang w:eastAsia="fr-FR"/>
        </w:rPr>
      </w:pPr>
      <w:r w:rsidRPr="00C11FC7">
        <w:rPr>
          <w:rFonts w:ascii="Cambria" w:hAnsi="Cambria"/>
          <w:lang w:eastAsia="fr-FR"/>
        </w:rPr>
        <w:t xml:space="preserve">Entre 2008 et 2013, un réseau de marégraphes a été installé en Polynésie par le service hydrographique et océanographique de la marine (SHOM) en collaboration avec l’Observatoire Géodésique de Tahiti de l’Université de la Polynésie française (UPF/OGT). Ces équipements permettent l’enregistrement du niveau de la mer au cours du temps. Ils participent ainsi à la mesure, sur le long terme, de l’évolution du niveau des mers. Ils </w:t>
      </w:r>
      <w:r w:rsidRPr="00C11FC7">
        <w:rPr>
          <w:rFonts w:ascii="Cambria" w:hAnsi="Cambria"/>
          <w:lang w:eastAsia="fr-FR"/>
        </w:rPr>
        <w:lastRenderedPageBreak/>
        <w:t>constituent également un système de détection participant à la surveillance du risque de tsunami.</w:t>
      </w:r>
    </w:p>
    <w:p w14:paraId="5630CEDF" w14:textId="77777777" w:rsidR="001B2D71" w:rsidRPr="00C11FC7" w:rsidRDefault="001B2D71" w:rsidP="001B2D71">
      <w:pPr>
        <w:spacing w:before="100" w:beforeAutospacing="1" w:after="100" w:afterAutospacing="1"/>
        <w:jc w:val="both"/>
        <w:rPr>
          <w:rFonts w:ascii="Cambria" w:hAnsi="Cambria"/>
          <w:lang w:eastAsia="fr-FR"/>
        </w:rPr>
      </w:pPr>
      <w:r w:rsidRPr="00C11FC7">
        <w:rPr>
          <w:rFonts w:ascii="Cambria" w:hAnsi="Cambria"/>
          <w:lang w:eastAsia="fr-FR"/>
        </w:rPr>
        <w:t>La maintenance, l’entretien et le dépannage de ce réseau sont actuellement financés par l’UPF et le SHOM. L’UPF ayant fait part de son souhait de se désengager de ce programme, c’est tout naturellement que la Polynésie française s’est proposée pour reprendre le flambeau. </w:t>
      </w:r>
    </w:p>
    <w:p w14:paraId="297D1B69" w14:textId="77777777" w:rsidR="001B2D71" w:rsidRPr="00C11FC7" w:rsidRDefault="001B2D71" w:rsidP="001B2D71">
      <w:pPr>
        <w:spacing w:before="100" w:beforeAutospacing="1" w:after="100" w:afterAutospacing="1"/>
        <w:jc w:val="both"/>
        <w:rPr>
          <w:rFonts w:ascii="Cambria" w:hAnsi="Cambria"/>
          <w:lang w:eastAsia="fr-FR"/>
        </w:rPr>
      </w:pPr>
      <w:r w:rsidRPr="00C11FC7">
        <w:rPr>
          <w:rFonts w:ascii="Cambria" w:hAnsi="Cambria"/>
          <w:lang w:eastAsia="fr-FR"/>
        </w:rPr>
        <w:t>Il est en effet essentiel de maintenir opérationnel cet outil de surveillance et d’alerte qui s’intègre dans un dispositif international mis en place dans le Pacifique sous la coordination du GIC SATP (groupe intergouvernemental de coordination du système d'alerte aux tsunamis dans le Pacifique).</w:t>
      </w:r>
    </w:p>
    <w:p w14:paraId="3F9166EF" w14:textId="77777777" w:rsidR="001B2D71" w:rsidRPr="00C11FC7" w:rsidRDefault="001B2D71" w:rsidP="001B2D71">
      <w:pPr>
        <w:spacing w:before="100" w:beforeAutospacing="1" w:after="100" w:afterAutospacing="1"/>
        <w:jc w:val="both"/>
        <w:rPr>
          <w:rFonts w:ascii="Cambria" w:hAnsi="Cambria"/>
          <w:lang w:eastAsia="fr-FR"/>
        </w:rPr>
      </w:pPr>
      <w:r w:rsidRPr="00C11FC7">
        <w:rPr>
          <w:rFonts w:ascii="Cambria" w:hAnsi="Cambria"/>
          <w:lang w:eastAsia="fr-FR"/>
        </w:rPr>
        <w:t xml:space="preserve">Une convention a donc été signée entre la Polynésie française et le SHOM pour une durée de six ans et quatre mois afin de financer la maintenance de 5 marégraphes. 4 équipements sont installés sur les îles de </w:t>
      </w:r>
      <w:proofErr w:type="spellStart"/>
      <w:r w:rsidRPr="00C11FC7">
        <w:rPr>
          <w:rFonts w:ascii="Cambria" w:hAnsi="Cambria"/>
          <w:lang w:eastAsia="fr-FR"/>
        </w:rPr>
        <w:t>Vairao</w:t>
      </w:r>
      <w:proofErr w:type="spellEnd"/>
      <w:r w:rsidRPr="00C11FC7">
        <w:rPr>
          <w:rFonts w:ascii="Cambria" w:hAnsi="Cambria"/>
          <w:lang w:eastAsia="fr-FR"/>
        </w:rPr>
        <w:t>, Makemo, Tubuai et Rikitea. Un marégraphe supplémentaire sera positionné en 2022 aux Marquises et viendra compléter le dispositif.</w:t>
      </w:r>
    </w:p>
    <w:p w14:paraId="19342766" w14:textId="0DB5A3E5" w:rsidR="001B2D71" w:rsidRPr="00C11FC7" w:rsidRDefault="001B2D71" w:rsidP="00C11FC7">
      <w:pPr>
        <w:spacing w:before="100" w:beforeAutospacing="1" w:after="100" w:afterAutospacing="1"/>
        <w:jc w:val="both"/>
        <w:rPr>
          <w:rFonts w:ascii="Cambria" w:hAnsi="Cambria"/>
          <w:lang w:eastAsia="fr-FR"/>
        </w:rPr>
      </w:pPr>
      <w:r w:rsidRPr="00C11FC7">
        <w:rPr>
          <w:rFonts w:ascii="Cambria" w:hAnsi="Cambria"/>
          <w:lang w:eastAsia="fr-FR"/>
        </w:rPr>
        <w:t>La mise en place d’un appareil de mesure dans cet archipel s’avère nécessaire au regard des risques importants encourus par la population marquisienne en cas de tsunami. Par ailleurs, cela correspond à l’objectif de disposer d’un marégraphe géodésique sur chaque archipel de la Polynésie française, tant pour la surveillance de l’aléa tsunami que pour le suivi de l’évolution du niveau des mers.</w:t>
      </w:r>
    </w:p>
    <w:p w14:paraId="4F487117" w14:textId="48F0797D" w:rsidR="00772188" w:rsidRDefault="00772188" w:rsidP="00392575">
      <w:pPr>
        <w:pStyle w:val="NormalWeb"/>
        <w:jc w:val="both"/>
        <w:rPr>
          <w:rStyle w:val="lev"/>
          <w:rFonts w:ascii="Cambria" w:hAnsi="Cambria"/>
        </w:rPr>
      </w:pPr>
    </w:p>
    <w:p w14:paraId="3C63F8D1" w14:textId="0A444490" w:rsidR="00772188" w:rsidRPr="009729C9" w:rsidRDefault="00772188" w:rsidP="00772188">
      <w:pPr>
        <w:spacing w:before="100" w:beforeAutospacing="1" w:after="100" w:afterAutospacing="1"/>
        <w:jc w:val="both"/>
        <w:rPr>
          <w:rFonts w:ascii="Cambria" w:hAnsi="Cambria"/>
          <w:lang w:eastAsia="fr-FR"/>
        </w:rPr>
      </w:pPr>
      <w:r w:rsidRPr="009729C9">
        <w:rPr>
          <w:rFonts w:ascii="Cambria" w:hAnsi="Cambria"/>
          <w:b/>
          <w:bCs/>
          <w:lang w:eastAsia="fr-FR"/>
        </w:rPr>
        <w:t xml:space="preserve">Obligation d’emploi des travailleurs </w:t>
      </w:r>
      <w:proofErr w:type="gramStart"/>
      <w:r w:rsidRPr="009729C9">
        <w:rPr>
          <w:rFonts w:ascii="Cambria" w:hAnsi="Cambria"/>
          <w:b/>
          <w:bCs/>
          <w:lang w:eastAsia="fr-FR"/>
        </w:rPr>
        <w:t>handicapés:</w:t>
      </w:r>
      <w:proofErr w:type="gramEnd"/>
      <w:r w:rsidRPr="009729C9">
        <w:rPr>
          <w:rFonts w:ascii="Cambria" w:hAnsi="Cambria"/>
          <w:b/>
          <w:bCs/>
          <w:lang w:eastAsia="fr-FR"/>
        </w:rPr>
        <w:t xml:space="preserve"> moratoire sur le paiement de la participation financière des employeurs et exonération en cas de circonstances exceptionnelles</w:t>
      </w:r>
    </w:p>
    <w:p w14:paraId="624D41D1" w14:textId="77777777" w:rsidR="00772188" w:rsidRPr="009729C9" w:rsidRDefault="00772188" w:rsidP="00772188">
      <w:pPr>
        <w:spacing w:before="100" w:beforeAutospacing="1" w:after="100" w:afterAutospacing="1"/>
        <w:jc w:val="both"/>
        <w:rPr>
          <w:rFonts w:ascii="Cambria" w:hAnsi="Cambria"/>
          <w:lang w:eastAsia="fr-FR"/>
        </w:rPr>
      </w:pPr>
      <w:r w:rsidRPr="009729C9">
        <w:rPr>
          <w:rFonts w:ascii="Cambria" w:hAnsi="Cambria"/>
          <w:lang w:eastAsia="fr-FR"/>
        </w:rPr>
        <w:t>Depuis le 1</w:t>
      </w:r>
      <w:r w:rsidRPr="009729C9">
        <w:rPr>
          <w:rFonts w:ascii="Cambria" w:hAnsi="Cambria"/>
          <w:vertAlign w:val="superscript"/>
          <w:lang w:eastAsia="fr-FR"/>
        </w:rPr>
        <w:t>er</w:t>
      </w:r>
      <w:r w:rsidRPr="009729C9">
        <w:rPr>
          <w:rFonts w:ascii="Cambria" w:hAnsi="Cambria"/>
          <w:lang w:eastAsia="fr-FR"/>
        </w:rPr>
        <w:t xml:space="preserve"> juillet 2007, les entreprises de plus de 25 salariés sont soumises à une obligation d’emploi des personnes reconnues travailleurs handicapés (RTH). Cette obligation d’emploi peut être respectée en ayant recours à l’une des deux alternatives suivantes :</w:t>
      </w:r>
    </w:p>
    <w:p w14:paraId="48E2CB3D" w14:textId="77777777" w:rsidR="00772188" w:rsidRPr="009729C9" w:rsidRDefault="00772188" w:rsidP="00772188">
      <w:pPr>
        <w:numPr>
          <w:ilvl w:val="0"/>
          <w:numId w:val="12"/>
        </w:numPr>
        <w:spacing w:before="100" w:beforeAutospacing="1" w:after="100" w:afterAutospacing="1"/>
        <w:jc w:val="both"/>
        <w:rPr>
          <w:rFonts w:ascii="Cambria" w:hAnsi="Cambria"/>
          <w:lang w:eastAsia="fr-FR"/>
        </w:rPr>
      </w:pPr>
      <w:r w:rsidRPr="009729C9">
        <w:rPr>
          <w:rFonts w:ascii="Cambria" w:hAnsi="Cambria"/>
          <w:lang w:eastAsia="fr-FR"/>
        </w:rPr>
        <w:t>Recruter ou conserver dans leur effectif des personnes : reconnues travailleurs handicapés par la COTOREP (commission technique d’orientation et de reclassement professionnel), ou victimes d’accidents du travail ou de maladies professionnelles ayant entraîné une incapacité permanente au moins égale à vingt pour cent, ou titulaires d’une pension d’invalidité attribuée au titre d’un régime de protection sociale obligatoire</w:t>
      </w:r>
    </w:p>
    <w:p w14:paraId="3F9BB49C" w14:textId="77777777" w:rsidR="00772188" w:rsidRPr="009729C9" w:rsidRDefault="00772188" w:rsidP="00772188">
      <w:pPr>
        <w:numPr>
          <w:ilvl w:val="0"/>
          <w:numId w:val="12"/>
        </w:numPr>
        <w:spacing w:before="100" w:beforeAutospacing="1" w:after="100" w:afterAutospacing="1"/>
        <w:jc w:val="both"/>
        <w:rPr>
          <w:rFonts w:ascii="Cambria" w:hAnsi="Cambria"/>
          <w:lang w:eastAsia="fr-FR"/>
        </w:rPr>
      </w:pPr>
      <w:r w:rsidRPr="009729C9">
        <w:rPr>
          <w:rFonts w:ascii="Cambria" w:hAnsi="Cambria"/>
          <w:lang w:eastAsia="fr-FR"/>
        </w:rPr>
        <w:t>Passer des contrats de sous-traitance avec des entreprises adaptées ou des travailleurs handicapés agréés.</w:t>
      </w:r>
    </w:p>
    <w:p w14:paraId="536C8928" w14:textId="77777777" w:rsidR="00772188" w:rsidRPr="009729C9" w:rsidRDefault="00772188" w:rsidP="00772188">
      <w:pPr>
        <w:spacing w:before="100" w:beforeAutospacing="1" w:after="100" w:afterAutospacing="1"/>
        <w:jc w:val="both"/>
        <w:rPr>
          <w:rFonts w:ascii="Cambria" w:eastAsiaTheme="minorHAnsi" w:hAnsi="Cambria"/>
          <w:lang w:eastAsia="fr-FR"/>
        </w:rPr>
      </w:pPr>
      <w:r w:rsidRPr="009729C9">
        <w:rPr>
          <w:rFonts w:ascii="Cambria" w:hAnsi="Cambria"/>
          <w:lang w:eastAsia="fr-FR"/>
        </w:rPr>
        <w:t xml:space="preserve">Lorsque ces entreprises ne satisfont pas à cette obligation d’emploi, elles sont astreintes à une participation financière équivalent à 1000 fois le SMIG horaire en vigueur au 31 décembre de l’année d’assujettissement, soit 904 820 </w:t>
      </w:r>
      <w:proofErr w:type="spellStart"/>
      <w:r w:rsidRPr="009729C9">
        <w:rPr>
          <w:rFonts w:ascii="Cambria" w:hAnsi="Cambria"/>
          <w:lang w:eastAsia="fr-FR"/>
        </w:rPr>
        <w:t>Fcfp</w:t>
      </w:r>
      <w:proofErr w:type="spellEnd"/>
      <w:r w:rsidRPr="009729C9">
        <w:rPr>
          <w:rFonts w:ascii="Cambria" w:hAnsi="Cambria"/>
          <w:lang w:eastAsia="fr-FR"/>
        </w:rPr>
        <w:t xml:space="preserve"> par année pleine.</w:t>
      </w:r>
    </w:p>
    <w:p w14:paraId="05D69E20" w14:textId="77777777" w:rsidR="00772188" w:rsidRPr="009729C9" w:rsidRDefault="00772188" w:rsidP="00772188">
      <w:pPr>
        <w:spacing w:before="100" w:beforeAutospacing="1" w:after="100" w:afterAutospacing="1"/>
        <w:jc w:val="both"/>
        <w:rPr>
          <w:rFonts w:ascii="Cambria" w:hAnsi="Cambria"/>
          <w:lang w:eastAsia="fr-FR"/>
        </w:rPr>
      </w:pPr>
      <w:r w:rsidRPr="009729C9">
        <w:rPr>
          <w:rFonts w:ascii="Cambria" w:hAnsi="Cambria"/>
          <w:lang w:eastAsia="fr-FR"/>
        </w:rPr>
        <w:lastRenderedPageBreak/>
        <w:t>Le contrôle du respect de l’obligation d’emploi de l’année N est réalisé en N+1. Ainsi, ces entreprises ont jusqu’au 31 mars pour déposer leur déclaration annuelle obligatoire (DAETH) relative à l’année précédente.</w:t>
      </w:r>
    </w:p>
    <w:p w14:paraId="157CD5E5" w14:textId="77777777" w:rsidR="00772188" w:rsidRPr="009729C9" w:rsidRDefault="00772188" w:rsidP="00772188">
      <w:pPr>
        <w:spacing w:before="100" w:beforeAutospacing="1" w:after="100" w:afterAutospacing="1"/>
        <w:jc w:val="both"/>
        <w:rPr>
          <w:rFonts w:ascii="Cambria" w:hAnsi="Cambria"/>
          <w:lang w:eastAsia="fr-FR"/>
        </w:rPr>
      </w:pPr>
      <w:r w:rsidRPr="009729C9">
        <w:rPr>
          <w:rFonts w:ascii="Cambria" w:hAnsi="Cambria"/>
          <w:lang w:eastAsia="fr-FR"/>
        </w:rPr>
        <w:t>L’année 2020 ayant été particulièrement difficile pour les entreprises, le gouvernement a proposé, d’une part, dans le cadre du plan de relance, la mise en place d’un moratoire sur leur participation financière au titre de l’exercice 2019, et d’autre part, pour leur permettre de réduire leurs charges d’exploitation, l’exonération de la participation financière au titre de l’exercice 2020.</w:t>
      </w:r>
    </w:p>
    <w:p w14:paraId="7126625E" w14:textId="77777777" w:rsidR="00772188" w:rsidRPr="009729C9" w:rsidRDefault="00772188" w:rsidP="00772188">
      <w:pPr>
        <w:spacing w:before="100" w:beforeAutospacing="1" w:after="100" w:afterAutospacing="1"/>
        <w:jc w:val="both"/>
        <w:rPr>
          <w:rFonts w:ascii="Cambria" w:hAnsi="Cambria"/>
          <w:lang w:eastAsia="fr-FR"/>
        </w:rPr>
      </w:pPr>
      <w:r w:rsidRPr="009729C9">
        <w:rPr>
          <w:rFonts w:ascii="Cambria" w:hAnsi="Cambria"/>
          <w:i/>
          <w:iCs/>
          <w:u w:val="single"/>
          <w:lang w:eastAsia="fr-FR"/>
        </w:rPr>
        <w:t>Concernant le moratoire sur le paiement de la participation financière au titre de l’exercice 2019</w:t>
      </w:r>
    </w:p>
    <w:p w14:paraId="6898A87B" w14:textId="77777777" w:rsidR="00772188" w:rsidRPr="009729C9" w:rsidRDefault="00772188" w:rsidP="00772188">
      <w:pPr>
        <w:spacing w:before="100" w:beforeAutospacing="1" w:after="100" w:afterAutospacing="1"/>
        <w:jc w:val="both"/>
        <w:rPr>
          <w:rFonts w:ascii="Cambria" w:hAnsi="Cambria"/>
          <w:lang w:eastAsia="fr-FR"/>
        </w:rPr>
      </w:pPr>
      <w:r w:rsidRPr="009729C9">
        <w:rPr>
          <w:rFonts w:ascii="Cambria" w:hAnsi="Cambria"/>
          <w:lang w:eastAsia="fr-FR"/>
        </w:rPr>
        <w:t xml:space="preserve">Le plan de sauvegarde économique de mars 2020 prévoit un moratoire accordé aux entreprises sur le paiement de la participation financière liée à l’obligation d’emploi des travailleurs handicapés. Ainsi, au titre de l’exercice 2019, la participation financière des entreprises est évaluée à 76,6 millions </w:t>
      </w:r>
      <w:proofErr w:type="spellStart"/>
      <w:r w:rsidRPr="009729C9">
        <w:rPr>
          <w:rFonts w:ascii="Cambria" w:hAnsi="Cambria"/>
          <w:lang w:eastAsia="fr-FR"/>
        </w:rPr>
        <w:t>Fcfp</w:t>
      </w:r>
      <w:proofErr w:type="spellEnd"/>
      <w:r w:rsidRPr="009729C9">
        <w:rPr>
          <w:rFonts w:ascii="Cambria" w:hAnsi="Cambria"/>
          <w:lang w:eastAsia="fr-FR"/>
        </w:rPr>
        <w:t xml:space="preserve"> (89 entreprises), ainsi que des pénalités de retard de 1,5 million </w:t>
      </w:r>
      <w:proofErr w:type="spellStart"/>
      <w:r w:rsidRPr="009729C9">
        <w:rPr>
          <w:rFonts w:ascii="Cambria" w:hAnsi="Cambria"/>
          <w:lang w:eastAsia="fr-FR"/>
        </w:rPr>
        <w:t>Fcfp</w:t>
      </w:r>
      <w:proofErr w:type="spellEnd"/>
      <w:r w:rsidRPr="009729C9">
        <w:rPr>
          <w:rFonts w:ascii="Cambria" w:hAnsi="Cambria"/>
          <w:lang w:eastAsia="fr-FR"/>
        </w:rPr>
        <w:t xml:space="preserve"> pour dépôt tardif de la déclaration annuelle obligatoire (8 entreprises).</w:t>
      </w:r>
    </w:p>
    <w:p w14:paraId="43846C19" w14:textId="77777777" w:rsidR="00772188" w:rsidRPr="009729C9" w:rsidRDefault="00772188" w:rsidP="00772188">
      <w:pPr>
        <w:spacing w:before="100" w:beforeAutospacing="1" w:after="100" w:afterAutospacing="1"/>
        <w:jc w:val="both"/>
        <w:rPr>
          <w:rFonts w:ascii="Cambria" w:hAnsi="Cambria"/>
          <w:lang w:eastAsia="fr-FR"/>
        </w:rPr>
      </w:pPr>
      <w:proofErr w:type="gramStart"/>
      <w:r w:rsidRPr="009729C9">
        <w:rPr>
          <w:rFonts w:ascii="Cambria" w:hAnsi="Cambria"/>
          <w:lang w:eastAsia="fr-FR"/>
        </w:rPr>
        <w:t>Suite à</w:t>
      </w:r>
      <w:proofErr w:type="gramEnd"/>
      <w:r w:rsidRPr="009729C9">
        <w:rPr>
          <w:rFonts w:ascii="Cambria" w:hAnsi="Cambria"/>
          <w:lang w:eastAsia="fr-FR"/>
        </w:rPr>
        <w:t xml:space="preserve"> la délibération du 17 avril 2020 portant adaptation des procédures en matière civile et administrative, le délai de dépôt des DAETH fixé au 31 mars de l’année 2020 a été prorogé au 23 août 2020. La mise en œuvre du moratoire consiste ensuite à retarder jusqu’en septembre 2021 l’émission des titres de recettes.</w:t>
      </w:r>
    </w:p>
    <w:p w14:paraId="4A33C6C2" w14:textId="77777777" w:rsidR="00772188" w:rsidRPr="009729C9" w:rsidRDefault="00772188" w:rsidP="00772188">
      <w:pPr>
        <w:spacing w:before="100" w:beforeAutospacing="1" w:after="100" w:afterAutospacing="1"/>
        <w:jc w:val="both"/>
        <w:rPr>
          <w:rFonts w:ascii="Cambria" w:hAnsi="Cambria"/>
          <w:lang w:eastAsia="fr-FR"/>
        </w:rPr>
      </w:pPr>
      <w:r w:rsidRPr="009729C9">
        <w:rPr>
          <w:rFonts w:ascii="Cambria" w:hAnsi="Cambria"/>
          <w:i/>
          <w:iCs/>
          <w:u w:val="single"/>
          <w:lang w:eastAsia="fr-FR"/>
        </w:rPr>
        <w:t>Concernant l’exonération de la participation financière au titre de l’exercice 2020</w:t>
      </w:r>
    </w:p>
    <w:p w14:paraId="3F5CEBD9" w14:textId="77777777" w:rsidR="00772188" w:rsidRPr="009729C9" w:rsidRDefault="00772188" w:rsidP="00772188">
      <w:pPr>
        <w:spacing w:before="100" w:beforeAutospacing="1" w:after="100" w:afterAutospacing="1"/>
        <w:jc w:val="both"/>
        <w:rPr>
          <w:rFonts w:ascii="Cambria" w:hAnsi="Cambria"/>
          <w:lang w:eastAsia="fr-FR"/>
        </w:rPr>
      </w:pPr>
      <w:r w:rsidRPr="009729C9">
        <w:rPr>
          <w:rFonts w:ascii="Cambria" w:hAnsi="Cambria"/>
          <w:lang w:eastAsia="fr-FR"/>
        </w:rPr>
        <w:t>Le code du travail prévoit des cas d’exonérations totale ou partielle de la participation financière lorsque l’employeur justifie l’une des situations suivantes :</w:t>
      </w:r>
    </w:p>
    <w:p w14:paraId="6AD0C8D5" w14:textId="77777777" w:rsidR="00772188" w:rsidRPr="009729C9" w:rsidRDefault="00772188" w:rsidP="00772188">
      <w:pPr>
        <w:numPr>
          <w:ilvl w:val="0"/>
          <w:numId w:val="13"/>
        </w:numPr>
        <w:spacing w:before="100" w:beforeAutospacing="1" w:after="100" w:afterAutospacing="1"/>
        <w:jc w:val="both"/>
        <w:rPr>
          <w:rFonts w:ascii="Cambria" w:hAnsi="Cambria"/>
          <w:lang w:eastAsia="fr-FR"/>
        </w:rPr>
      </w:pPr>
      <w:proofErr w:type="gramStart"/>
      <w:r w:rsidRPr="009729C9">
        <w:rPr>
          <w:rFonts w:ascii="Cambria" w:hAnsi="Cambria"/>
          <w:lang w:eastAsia="fr-FR"/>
        </w:rPr>
        <w:t>en</w:t>
      </w:r>
      <w:proofErr w:type="gramEnd"/>
      <w:r w:rsidRPr="009729C9">
        <w:rPr>
          <w:rFonts w:ascii="Cambria" w:hAnsi="Cambria"/>
          <w:lang w:eastAsia="fr-FR"/>
        </w:rPr>
        <w:t xml:space="preserve"> cas de licenciement pour motif économique, l'exonération est déterminée en fonction du nombre de licenciements. L'exonération de l'obligation d'emploi d'un travailleur handicapé est appliquée autant de fois qu'il y a de salariés licenciés pour motif économique, dans la limite de l'obligation d'emploi de l'année d'assujettissement</w:t>
      </w:r>
    </w:p>
    <w:p w14:paraId="66B58DE2" w14:textId="77777777" w:rsidR="00772188" w:rsidRPr="009729C9" w:rsidRDefault="00772188" w:rsidP="00772188">
      <w:pPr>
        <w:numPr>
          <w:ilvl w:val="0"/>
          <w:numId w:val="13"/>
        </w:numPr>
        <w:spacing w:before="100" w:beforeAutospacing="1" w:after="100" w:afterAutospacing="1"/>
        <w:jc w:val="both"/>
        <w:rPr>
          <w:rFonts w:ascii="Cambria" w:hAnsi="Cambria"/>
          <w:lang w:eastAsia="fr-FR"/>
        </w:rPr>
      </w:pPr>
      <w:proofErr w:type="gramStart"/>
      <w:r w:rsidRPr="009729C9">
        <w:rPr>
          <w:rFonts w:ascii="Cambria" w:hAnsi="Cambria"/>
          <w:lang w:eastAsia="fr-FR"/>
        </w:rPr>
        <w:t>en</w:t>
      </w:r>
      <w:proofErr w:type="gramEnd"/>
      <w:r w:rsidRPr="009729C9">
        <w:rPr>
          <w:rFonts w:ascii="Cambria" w:hAnsi="Cambria"/>
          <w:lang w:eastAsia="fr-FR"/>
        </w:rPr>
        <w:t xml:space="preserve"> cas de procédure collective devant le tribunal de commerce, intervenue en cours d'année d'assujettissement, l'employeur bénéficie d'une exonération totale au titre de la période d'assujettissement concernée.</w:t>
      </w:r>
    </w:p>
    <w:p w14:paraId="5E1116B4" w14:textId="77777777" w:rsidR="00772188" w:rsidRPr="009729C9" w:rsidRDefault="00772188" w:rsidP="00772188">
      <w:pPr>
        <w:numPr>
          <w:ilvl w:val="0"/>
          <w:numId w:val="13"/>
        </w:numPr>
        <w:spacing w:before="100" w:beforeAutospacing="1" w:after="100" w:afterAutospacing="1"/>
        <w:jc w:val="both"/>
        <w:rPr>
          <w:rFonts w:ascii="Cambria" w:hAnsi="Cambria"/>
          <w:lang w:eastAsia="fr-FR"/>
        </w:rPr>
      </w:pPr>
      <w:proofErr w:type="gramStart"/>
      <w:r w:rsidRPr="009729C9">
        <w:rPr>
          <w:rFonts w:ascii="Cambria" w:hAnsi="Cambria"/>
          <w:lang w:eastAsia="fr-FR"/>
        </w:rPr>
        <w:t>en</w:t>
      </w:r>
      <w:proofErr w:type="gramEnd"/>
      <w:r w:rsidRPr="009729C9">
        <w:rPr>
          <w:rFonts w:ascii="Cambria" w:hAnsi="Cambria"/>
          <w:lang w:eastAsia="fr-FR"/>
        </w:rPr>
        <w:t xml:space="preserve"> cas de circonstances exceptionnelles constatées par arrêté pris en conseil des ministres au cours de l’année civile, l’employeur peut bénéficier d’une exonération totale au titre de l’année d’assujettissement concernée. Dans ce cas, les modalités d’exonération sont définies par arrêté pris en conseil des ministres.</w:t>
      </w:r>
    </w:p>
    <w:p w14:paraId="50A0DE0B" w14:textId="77777777" w:rsidR="00772188" w:rsidRPr="009729C9" w:rsidRDefault="00772188" w:rsidP="00772188">
      <w:pPr>
        <w:spacing w:before="100" w:beforeAutospacing="1" w:after="100" w:afterAutospacing="1"/>
        <w:jc w:val="both"/>
        <w:rPr>
          <w:rFonts w:ascii="Cambria" w:eastAsiaTheme="minorHAnsi" w:hAnsi="Cambria"/>
          <w:lang w:eastAsia="fr-FR"/>
        </w:rPr>
      </w:pPr>
      <w:r w:rsidRPr="009729C9">
        <w:rPr>
          <w:rFonts w:ascii="Cambria" w:hAnsi="Cambria"/>
          <w:lang w:eastAsia="fr-FR"/>
        </w:rPr>
        <w:t>Par arrêté du Conseil des ministres du 20 mars 2020 modifié, il a été constaté l’état de calamité naturelle des sinistres et de crise sanitaire occasionné par l’épidémie liée à la Covid-19 en Polynésie française. L’arrêté du Conseil des ministres du 12 février 2021 a prorogé l’état d’urgence sanitaire durant toute l’année 2021.</w:t>
      </w:r>
    </w:p>
    <w:p w14:paraId="46731FFE" w14:textId="77777777" w:rsidR="00772188" w:rsidRPr="009729C9" w:rsidRDefault="00772188" w:rsidP="00772188">
      <w:pPr>
        <w:spacing w:before="100" w:beforeAutospacing="1" w:after="100" w:afterAutospacing="1"/>
        <w:jc w:val="both"/>
        <w:rPr>
          <w:rFonts w:ascii="Cambria" w:hAnsi="Cambria"/>
          <w:lang w:eastAsia="fr-FR"/>
        </w:rPr>
      </w:pPr>
      <w:r w:rsidRPr="009729C9">
        <w:rPr>
          <w:rFonts w:ascii="Cambria" w:hAnsi="Cambria"/>
          <w:lang w:eastAsia="fr-FR"/>
        </w:rPr>
        <w:lastRenderedPageBreak/>
        <w:t>Au titre de l’exercice 2020, les entreprises assujetties à l’obligation d’emploi de travailleurs handicapés, peuvent alors, au regard de leur situation, recourir aux cas d’exonération précités, à leurs demandes.</w:t>
      </w:r>
    </w:p>
    <w:p w14:paraId="425B7050" w14:textId="77777777" w:rsidR="00772188" w:rsidRDefault="00772188" w:rsidP="00392575">
      <w:pPr>
        <w:pStyle w:val="NormalWeb"/>
        <w:jc w:val="both"/>
        <w:rPr>
          <w:rStyle w:val="lev"/>
          <w:rFonts w:ascii="Cambria" w:hAnsi="Cambria"/>
        </w:rPr>
      </w:pPr>
    </w:p>
    <w:p w14:paraId="5B041682" w14:textId="77777777" w:rsidR="00BC2770" w:rsidRDefault="00BC2770" w:rsidP="00BC2770">
      <w:pPr>
        <w:spacing w:before="100" w:beforeAutospacing="1" w:after="100" w:afterAutospacing="1"/>
        <w:jc w:val="both"/>
        <w:rPr>
          <w:rFonts w:ascii="Cambria" w:hAnsi="Cambria"/>
          <w:lang w:eastAsia="fr-FR"/>
        </w:rPr>
      </w:pPr>
      <w:r>
        <w:rPr>
          <w:rFonts w:ascii="Cambria" w:hAnsi="Cambria"/>
          <w:b/>
          <w:bCs/>
          <w:lang w:eastAsia="fr-FR"/>
        </w:rPr>
        <w:t>Subvention en faveur d’associations et de fédérations sportives</w:t>
      </w:r>
    </w:p>
    <w:p w14:paraId="46E05C48" w14:textId="1C6BAA47" w:rsidR="00BC2770" w:rsidRDefault="00BC2770" w:rsidP="00BC2770">
      <w:pPr>
        <w:spacing w:before="100" w:beforeAutospacing="1" w:after="100" w:afterAutospacing="1"/>
        <w:jc w:val="both"/>
        <w:rPr>
          <w:rFonts w:ascii="Cambria" w:hAnsi="Cambria"/>
          <w:lang w:eastAsia="fr-FR"/>
        </w:rPr>
      </w:pPr>
      <w:r>
        <w:rPr>
          <w:rFonts w:ascii="Cambria" w:hAnsi="Cambria"/>
          <w:lang w:eastAsia="fr-FR"/>
        </w:rPr>
        <w:t>Sur proposition du ministre de la Culture, de l’environnement en charge de la jeunesse, des sports et de l’artisanat ; le Conseil des ministres a octroyé les subventions suivantes :</w:t>
      </w:r>
    </w:p>
    <w:p w14:paraId="284114F1" w14:textId="77742611" w:rsidR="00BC2770" w:rsidRDefault="00BC2770" w:rsidP="00BC2770">
      <w:pPr>
        <w:numPr>
          <w:ilvl w:val="0"/>
          <w:numId w:val="7"/>
        </w:numPr>
        <w:spacing w:before="100" w:beforeAutospacing="1" w:after="100" w:afterAutospacing="1"/>
        <w:jc w:val="both"/>
        <w:rPr>
          <w:rFonts w:ascii="Cambria" w:hAnsi="Cambria"/>
          <w:lang w:eastAsia="fr-FR"/>
        </w:rPr>
      </w:pPr>
      <w:r>
        <w:rPr>
          <w:rFonts w:ascii="Cambria" w:hAnsi="Cambria"/>
          <w:lang w:eastAsia="fr-FR"/>
        </w:rPr>
        <w:t xml:space="preserve">Au titre du sport en faveur de quatre fédérations sportives, après avis de la commission du sport sur la base des critères relatifs notamment au développement de la pratique sportive, au développement de la pratique de haut niveau, au développement d’actions en faveur de personnes en situation d’handicap ou encore à l’accompagnement éducatif et aux actions en direction des jeunes scolarisés, et ce pour un montant total de 8 149 000 </w:t>
      </w:r>
      <w:proofErr w:type="spellStart"/>
      <w:r>
        <w:rPr>
          <w:rFonts w:ascii="Cambria" w:hAnsi="Cambria"/>
          <w:lang w:eastAsia="fr-FR"/>
        </w:rPr>
        <w:t>Fcfp</w:t>
      </w:r>
      <w:proofErr w:type="spellEnd"/>
      <w:r>
        <w:rPr>
          <w:rFonts w:ascii="Cambria" w:hAnsi="Cambria"/>
          <w:lang w:eastAsia="fr-FR"/>
        </w:rPr>
        <w:t xml:space="preserve"> : subvention à la Fédération tahitienne de Football Américain, à la Fédération Polynésienne de Golf, à la Fédération Tahitienne de Surf et à la Fédération tahitienne de Tir à l’Arc</w:t>
      </w:r>
    </w:p>
    <w:p w14:paraId="63CD32C5" w14:textId="77777777" w:rsidR="00BC2770" w:rsidRDefault="00BC2770" w:rsidP="00BC2770">
      <w:pPr>
        <w:numPr>
          <w:ilvl w:val="0"/>
          <w:numId w:val="8"/>
        </w:numPr>
        <w:spacing w:before="100" w:beforeAutospacing="1" w:after="100" w:afterAutospacing="1"/>
        <w:jc w:val="both"/>
        <w:rPr>
          <w:rFonts w:ascii="Cambria" w:hAnsi="Cambria"/>
          <w:lang w:eastAsia="fr-FR"/>
        </w:rPr>
      </w:pPr>
      <w:r>
        <w:rPr>
          <w:rFonts w:ascii="Cambria" w:hAnsi="Cambria"/>
          <w:lang w:eastAsia="fr-FR"/>
        </w:rPr>
        <w:t xml:space="preserve">Au titre de la jeunesse, en faveur de six associations, après avis du comité technique de la Jeunesse et de l’éducation populaire sur la base de critères relatifs notamment au développement d’actions qui participent à l’intégration des jeunes au sein de la société civile, à la mobilisation des jeunes sur certains projets, au développement d’initiatives permettant le rayonnement de la Polynésie, et ce pour un montant de 37 299 000 </w:t>
      </w:r>
      <w:proofErr w:type="spellStart"/>
      <w:r>
        <w:rPr>
          <w:rFonts w:ascii="Cambria" w:hAnsi="Cambria"/>
          <w:lang w:eastAsia="fr-FR"/>
        </w:rPr>
        <w:t>Fcfp</w:t>
      </w:r>
      <w:proofErr w:type="spellEnd"/>
      <w:r>
        <w:rPr>
          <w:rFonts w:ascii="Cambria" w:hAnsi="Cambria"/>
          <w:lang w:eastAsia="fr-FR"/>
        </w:rPr>
        <w:t xml:space="preserve">: subvention au comité Quartier </w:t>
      </w:r>
      <w:proofErr w:type="spellStart"/>
      <w:r>
        <w:rPr>
          <w:rFonts w:ascii="Cambria" w:hAnsi="Cambria"/>
          <w:lang w:eastAsia="fr-FR"/>
        </w:rPr>
        <w:t>Hotuarea</w:t>
      </w:r>
      <w:proofErr w:type="spellEnd"/>
      <w:r>
        <w:rPr>
          <w:rFonts w:ascii="Cambria" w:hAnsi="Cambria"/>
          <w:lang w:eastAsia="fr-FR"/>
        </w:rPr>
        <w:t xml:space="preserve"> Nui, à l’association territoriale des CEMEA de Polynésie française, à l’Union Chrétienne des Jeunes Gens de l’Eglise Protestante Maohi (UCJG), à l’Union Territoriale de la Fédération Sportive et Culturelle de France (UT-FSCF), au CPCV (Organisme Protestant de Formation), et au Comité Protestant des Ecoles du Dimanche (CPED)</w:t>
      </w:r>
    </w:p>
    <w:p w14:paraId="5221ABDF" w14:textId="77777777" w:rsidR="00BC2770" w:rsidRDefault="00BC2770" w:rsidP="00BC2770">
      <w:pPr>
        <w:numPr>
          <w:ilvl w:val="0"/>
          <w:numId w:val="9"/>
        </w:numPr>
        <w:spacing w:before="100" w:beforeAutospacing="1" w:after="100" w:afterAutospacing="1"/>
        <w:jc w:val="both"/>
        <w:rPr>
          <w:rFonts w:ascii="Cambria" w:hAnsi="Cambria"/>
          <w:lang w:eastAsia="fr-FR"/>
        </w:rPr>
      </w:pPr>
      <w:r>
        <w:rPr>
          <w:rFonts w:ascii="Cambria" w:hAnsi="Cambria"/>
          <w:lang w:eastAsia="fr-FR"/>
        </w:rPr>
        <w:t xml:space="preserve">Au titre de l’environnement, en faveur de 3 associations, après avis du comité d’attribution des subventions en matière de protection, de conservation, de gestion et de valorisation de l’environnement de la Polynésie française, et ce pour un montant total de 8 400 000 </w:t>
      </w:r>
      <w:proofErr w:type="spellStart"/>
      <w:r>
        <w:rPr>
          <w:rFonts w:ascii="Cambria" w:hAnsi="Cambria"/>
          <w:lang w:eastAsia="fr-FR"/>
        </w:rPr>
        <w:t>Fcfp</w:t>
      </w:r>
      <w:proofErr w:type="spellEnd"/>
      <w:r>
        <w:rPr>
          <w:rFonts w:ascii="Cambria" w:hAnsi="Cambria"/>
          <w:lang w:eastAsia="fr-FR"/>
        </w:rPr>
        <w:t xml:space="preserve"> : subvention pour la poursuite des factions de protection de la forêt naturelle du plateau de </w:t>
      </w:r>
      <w:proofErr w:type="spellStart"/>
      <w:r>
        <w:rPr>
          <w:rFonts w:ascii="Cambria" w:hAnsi="Cambria"/>
          <w:lang w:eastAsia="fr-FR"/>
        </w:rPr>
        <w:t>Maraetia</w:t>
      </w:r>
      <w:proofErr w:type="spellEnd"/>
      <w:r>
        <w:rPr>
          <w:rFonts w:ascii="Cambria" w:hAnsi="Cambria"/>
          <w:lang w:eastAsia="fr-FR"/>
        </w:rPr>
        <w:t xml:space="preserve"> (Punaauia) menées par l’association « Te </w:t>
      </w:r>
      <w:proofErr w:type="spellStart"/>
      <w:r>
        <w:rPr>
          <w:rFonts w:ascii="Cambria" w:hAnsi="Cambria"/>
          <w:lang w:eastAsia="fr-FR"/>
        </w:rPr>
        <w:t>rauatiati</w:t>
      </w:r>
      <w:proofErr w:type="spellEnd"/>
      <w:r>
        <w:rPr>
          <w:rFonts w:ascii="Cambria" w:hAnsi="Cambria"/>
          <w:lang w:eastAsia="fr-FR"/>
        </w:rPr>
        <w:t xml:space="preserve"> a tau a </w:t>
      </w:r>
      <w:proofErr w:type="spellStart"/>
      <w:r>
        <w:rPr>
          <w:rFonts w:ascii="Cambria" w:hAnsi="Cambria"/>
          <w:lang w:eastAsia="fr-FR"/>
        </w:rPr>
        <w:t>hiti</w:t>
      </w:r>
      <w:proofErr w:type="spellEnd"/>
      <w:r>
        <w:rPr>
          <w:rFonts w:ascii="Cambria" w:hAnsi="Cambria"/>
          <w:lang w:eastAsia="fr-FR"/>
        </w:rPr>
        <w:t xml:space="preserve"> </w:t>
      </w:r>
      <w:proofErr w:type="spellStart"/>
      <w:r>
        <w:rPr>
          <w:rFonts w:ascii="Cambria" w:hAnsi="Cambria"/>
          <w:lang w:eastAsia="fr-FR"/>
        </w:rPr>
        <w:t>noa</w:t>
      </w:r>
      <w:proofErr w:type="spellEnd"/>
      <w:r>
        <w:rPr>
          <w:rFonts w:ascii="Cambria" w:hAnsi="Cambria"/>
          <w:lang w:eastAsia="fr-FR"/>
        </w:rPr>
        <w:t xml:space="preserve"> tu », pour l’organisation de 4 évènementiels écocitoyens par l’association « Brigade verte », et pour la poursuite de formations à l’</w:t>
      </w:r>
      <w:proofErr w:type="spellStart"/>
      <w:r>
        <w:rPr>
          <w:rFonts w:ascii="Cambria" w:hAnsi="Cambria"/>
          <w:lang w:eastAsia="fr-FR"/>
        </w:rPr>
        <w:t>upcycling</w:t>
      </w:r>
      <w:proofErr w:type="spellEnd"/>
      <w:r>
        <w:rPr>
          <w:rFonts w:ascii="Cambria" w:hAnsi="Cambria"/>
          <w:lang w:eastAsia="fr-FR"/>
        </w:rPr>
        <w:t xml:space="preserve"> de personnes en recherche d’emploi par l’association « </w:t>
      </w:r>
      <w:proofErr w:type="spellStart"/>
      <w:r>
        <w:rPr>
          <w:rFonts w:ascii="Cambria" w:hAnsi="Cambria"/>
          <w:lang w:eastAsia="fr-FR"/>
        </w:rPr>
        <w:t>Koraye</w:t>
      </w:r>
      <w:proofErr w:type="spellEnd"/>
      <w:r>
        <w:rPr>
          <w:rFonts w:ascii="Cambria" w:hAnsi="Cambria"/>
          <w:lang w:eastAsia="fr-FR"/>
        </w:rPr>
        <w:t> ».</w:t>
      </w:r>
    </w:p>
    <w:p w14:paraId="47B97D3C" w14:textId="480D1340" w:rsidR="00BC2770" w:rsidRDefault="00BC2770" w:rsidP="00BC2770">
      <w:pPr>
        <w:numPr>
          <w:ilvl w:val="0"/>
          <w:numId w:val="10"/>
        </w:numPr>
        <w:spacing w:before="100" w:beforeAutospacing="1" w:after="100" w:afterAutospacing="1"/>
        <w:jc w:val="both"/>
        <w:rPr>
          <w:rFonts w:ascii="Cambria" w:hAnsi="Cambria"/>
          <w:lang w:eastAsia="fr-FR"/>
        </w:rPr>
      </w:pPr>
      <w:r>
        <w:rPr>
          <w:rFonts w:ascii="Cambria" w:hAnsi="Cambria"/>
          <w:lang w:eastAsia="fr-FR"/>
        </w:rPr>
        <w:t xml:space="preserve">Au titre de la culture ,en faveur de 7 associations, après avis du comité d’attribution des aides financières en matière de culture et de patrimoine de la Polynésie française, et ce pour un montant de 16 800 000 </w:t>
      </w:r>
      <w:proofErr w:type="spellStart"/>
      <w:r>
        <w:rPr>
          <w:rFonts w:ascii="Cambria" w:hAnsi="Cambria"/>
          <w:lang w:eastAsia="fr-FR"/>
        </w:rPr>
        <w:t>Fcfp</w:t>
      </w:r>
      <w:proofErr w:type="spellEnd"/>
      <w:r>
        <w:rPr>
          <w:rFonts w:ascii="Cambria" w:hAnsi="Cambria"/>
          <w:lang w:eastAsia="fr-FR"/>
        </w:rPr>
        <w:t>: subvention à « </w:t>
      </w:r>
      <w:proofErr w:type="spellStart"/>
      <w:r>
        <w:rPr>
          <w:rFonts w:ascii="Cambria" w:hAnsi="Cambria"/>
          <w:lang w:eastAsia="fr-FR"/>
        </w:rPr>
        <w:t>Fa’a</w:t>
      </w:r>
      <w:proofErr w:type="spellEnd"/>
      <w:r>
        <w:rPr>
          <w:rFonts w:ascii="Cambria" w:hAnsi="Cambria"/>
          <w:lang w:eastAsia="fr-FR"/>
        </w:rPr>
        <w:t xml:space="preserve"> </w:t>
      </w:r>
      <w:proofErr w:type="spellStart"/>
      <w:r>
        <w:rPr>
          <w:rFonts w:ascii="Cambria" w:hAnsi="Cambria"/>
          <w:lang w:eastAsia="fr-FR"/>
        </w:rPr>
        <w:t>Ruperupe</w:t>
      </w:r>
      <w:proofErr w:type="spellEnd"/>
      <w:r>
        <w:rPr>
          <w:rFonts w:ascii="Cambria" w:hAnsi="Cambria"/>
          <w:lang w:eastAsia="fr-FR"/>
        </w:rPr>
        <w:t xml:space="preserve"> » pour son activité générale, à l’ « Union Polynésienne pour la Jeunesse » pour l’organisation du </w:t>
      </w:r>
      <w:proofErr w:type="spellStart"/>
      <w:r>
        <w:rPr>
          <w:rFonts w:ascii="Cambria" w:hAnsi="Cambria"/>
          <w:lang w:eastAsia="fr-FR"/>
        </w:rPr>
        <w:t>Taure’a</w:t>
      </w:r>
      <w:proofErr w:type="spellEnd"/>
      <w:r>
        <w:rPr>
          <w:rFonts w:ascii="Cambria" w:hAnsi="Cambria"/>
          <w:lang w:eastAsia="fr-FR"/>
        </w:rPr>
        <w:t xml:space="preserve"> Move, à </w:t>
      </w:r>
      <w:proofErr w:type="spellStart"/>
      <w:r>
        <w:rPr>
          <w:rFonts w:ascii="Cambria" w:hAnsi="Cambria"/>
          <w:lang w:eastAsia="fr-FR"/>
        </w:rPr>
        <w:t>Upa</w:t>
      </w:r>
      <w:proofErr w:type="spellEnd"/>
      <w:r>
        <w:rPr>
          <w:rFonts w:ascii="Cambria" w:hAnsi="Cambria"/>
          <w:lang w:eastAsia="fr-FR"/>
        </w:rPr>
        <w:t xml:space="preserve"> Nui et à l’Inter-CVL, à l’association du Caméléon pour l’organisation de trois de ses actions culturelles, à « </w:t>
      </w:r>
      <w:proofErr w:type="spellStart"/>
      <w:r>
        <w:rPr>
          <w:rFonts w:ascii="Cambria" w:hAnsi="Cambria"/>
          <w:lang w:eastAsia="fr-FR"/>
        </w:rPr>
        <w:t>Patutiki</w:t>
      </w:r>
      <w:proofErr w:type="spellEnd"/>
      <w:r>
        <w:rPr>
          <w:rFonts w:ascii="Cambria" w:hAnsi="Cambria"/>
          <w:lang w:eastAsia="fr-FR"/>
        </w:rPr>
        <w:t xml:space="preserve"> » pour son déplacement en Allemagne en hommage à Karl Von Den </w:t>
      </w:r>
      <w:proofErr w:type="spellStart"/>
      <w:r>
        <w:rPr>
          <w:rFonts w:ascii="Cambria" w:hAnsi="Cambria"/>
          <w:lang w:eastAsia="fr-FR"/>
        </w:rPr>
        <w:t>Steinen</w:t>
      </w:r>
      <w:proofErr w:type="spellEnd"/>
      <w:r>
        <w:rPr>
          <w:rFonts w:ascii="Cambria" w:hAnsi="Cambria"/>
          <w:lang w:eastAsia="fr-FR"/>
        </w:rPr>
        <w:t>, à l’« Association des Editeurs de Tahiti et des îles » pour ses actions littéraires et culturelles, à la « Société des Etudes Océaniennes » pour son activité générale et à « </w:t>
      </w:r>
      <w:proofErr w:type="spellStart"/>
      <w:r>
        <w:rPr>
          <w:rFonts w:ascii="Cambria" w:hAnsi="Cambria"/>
          <w:lang w:eastAsia="fr-FR"/>
        </w:rPr>
        <w:t>Fa’afaite</w:t>
      </w:r>
      <w:proofErr w:type="spellEnd"/>
      <w:r>
        <w:rPr>
          <w:rFonts w:ascii="Cambria" w:hAnsi="Cambria"/>
          <w:lang w:eastAsia="fr-FR"/>
        </w:rPr>
        <w:t xml:space="preserve"> i te ao </w:t>
      </w:r>
      <w:proofErr w:type="spellStart"/>
      <w:r>
        <w:rPr>
          <w:rFonts w:ascii="Cambria" w:hAnsi="Cambria"/>
          <w:lang w:eastAsia="fr-FR"/>
        </w:rPr>
        <w:t>Ma’ohi</w:t>
      </w:r>
      <w:proofErr w:type="spellEnd"/>
      <w:r>
        <w:rPr>
          <w:rFonts w:ascii="Cambria" w:hAnsi="Cambria"/>
          <w:lang w:eastAsia="fr-FR"/>
        </w:rPr>
        <w:t xml:space="preserve"> (La </w:t>
      </w:r>
      <w:r>
        <w:rPr>
          <w:rFonts w:ascii="Cambria" w:hAnsi="Cambria"/>
          <w:lang w:eastAsia="fr-FR"/>
        </w:rPr>
        <w:lastRenderedPageBreak/>
        <w:t xml:space="preserve">réconciliation du monde </w:t>
      </w:r>
      <w:proofErr w:type="spellStart"/>
      <w:r>
        <w:rPr>
          <w:rFonts w:ascii="Cambria" w:hAnsi="Cambria"/>
          <w:lang w:eastAsia="fr-FR"/>
        </w:rPr>
        <w:t>Ma’ohi</w:t>
      </w:r>
      <w:proofErr w:type="spellEnd"/>
      <w:r>
        <w:rPr>
          <w:rFonts w:ascii="Cambria" w:hAnsi="Cambria"/>
          <w:lang w:eastAsia="fr-FR"/>
        </w:rPr>
        <w:t>) » pour l’organisation de deux voyages en pirogue traditionnelle à destination de Raiatea et Raivavae.</w:t>
      </w:r>
    </w:p>
    <w:p w14:paraId="38A8553E" w14:textId="77777777" w:rsidR="001B2D71" w:rsidRPr="001B2D71" w:rsidRDefault="001B2D71" w:rsidP="001B2D71">
      <w:pPr>
        <w:spacing w:before="100" w:beforeAutospacing="1" w:after="100" w:afterAutospacing="1"/>
        <w:ind w:left="360"/>
        <w:jc w:val="both"/>
        <w:rPr>
          <w:rFonts w:ascii="Cambria" w:hAnsi="Cambria"/>
          <w:lang w:eastAsia="fr-FR"/>
        </w:rPr>
      </w:pPr>
    </w:p>
    <w:p w14:paraId="320647FB" w14:textId="77777777" w:rsidR="00BC2770" w:rsidRDefault="00BC2770" w:rsidP="00BC2770">
      <w:pPr>
        <w:spacing w:before="100" w:beforeAutospacing="1" w:after="100" w:afterAutospacing="1"/>
        <w:jc w:val="both"/>
        <w:rPr>
          <w:rFonts w:ascii="Cambria" w:hAnsi="Cambria"/>
          <w:color w:val="000000" w:themeColor="text1"/>
          <w:lang w:eastAsia="fr-FR"/>
        </w:rPr>
      </w:pPr>
      <w:r>
        <w:rPr>
          <w:rFonts w:ascii="Cambria" w:hAnsi="Cambria"/>
          <w:b/>
          <w:bCs/>
          <w:color w:val="000000" w:themeColor="text1"/>
          <w:lang w:eastAsia="fr-FR"/>
        </w:rPr>
        <w:t xml:space="preserve">Les artisans participent au Festival Tahiti </w:t>
      </w:r>
      <w:proofErr w:type="spellStart"/>
      <w:r>
        <w:rPr>
          <w:rFonts w:ascii="Cambria" w:hAnsi="Cambria"/>
          <w:b/>
          <w:bCs/>
          <w:color w:val="000000" w:themeColor="text1"/>
          <w:lang w:eastAsia="fr-FR"/>
        </w:rPr>
        <w:t>ti’a</w:t>
      </w:r>
      <w:proofErr w:type="spellEnd"/>
      <w:r>
        <w:rPr>
          <w:rFonts w:ascii="Cambria" w:hAnsi="Cambria"/>
          <w:b/>
          <w:bCs/>
          <w:color w:val="000000" w:themeColor="text1"/>
          <w:lang w:eastAsia="fr-FR"/>
        </w:rPr>
        <w:t> mai</w:t>
      </w:r>
    </w:p>
    <w:p w14:paraId="36043237" w14:textId="77777777" w:rsidR="00BC2770" w:rsidRDefault="00BC2770" w:rsidP="00BC2770">
      <w:pPr>
        <w:spacing w:before="100" w:beforeAutospacing="1" w:after="100" w:afterAutospacing="1"/>
        <w:jc w:val="both"/>
        <w:rPr>
          <w:rFonts w:ascii="Cambria" w:hAnsi="Cambria"/>
          <w:lang w:eastAsia="fr-FR"/>
        </w:rPr>
      </w:pPr>
      <w:r>
        <w:rPr>
          <w:rFonts w:ascii="Cambria" w:hAnsi="Cambria"/>
          <w:lang w:eastAsia="fr-FR"/>
        </w:rPr>
        <w:t xml:space="preserve">Le secteur de l’artisanat traditionnel a été rudement éprouvé par la crise sanitaire, et les contraintes encore imposées récemment pouvaient limiter les prises de contact et les commandes, qui sont en général nombreuses pendant les expositions artisanales. Afin de compenser cette situation, le Service de l’artisanat traditionnel, sous l’égide du ministère de la Culture, a souhaité associer les artisans aux festivités du Tahiti </w:t>
      </w:r>
      <w:proofErr w:type="spellStart"/>
      <w:r>
        <w:rPr>
          <w:rFonts w:ascii="Cambria" w:hAnsi="Cambria"/>
          <w:lang w:eastAsia="fr-FR"/>
        </w:rPr>
        <w:t>ti’a</w:t>
      </w:r>
      <w:proofErr w:type="spellEnd"/>
      <w:r>
        <w:rPr>
          <w:rFonts w:ascii="Cambria" w:hAnsi="Cambria"/>
          <w:lang w:eastAsia="fr-FR"/>
        </w:rPr>
        <w:t xml:space="preserve"> mai, en proposant à chaque site partenaire de les accueillir pendant les prestations de chants et danses.</w:t>
      </w:r>
    </w:p>
    <w:p w14:paraId="5A072D23" w14:textId="77777777" w:rsidR="00BC2770" w:rsidRDefault="00BC2770" w:rsidP="00BC2770">
      <w:pPr>
        <w:spacing w:before="100" w:beforeAutospacing="1" w:after="100" w:afterAutospacing="1"/>
        <w:jc w:val="both"/>
        <w:rPr>
          <w:rFonts w:ascii="Cambria" w:hAnsi="Cambria"/>
          <w:lang w:eastAsia="fr-FR"/>
        </w:rPr>
      </w:pPr>
      <w:r>
        <w:rPr>
          <w:rFonts w:ascii="Cambria" w:hAnsi="Cambria"/>
          <w:lang w:eastAsia="fr-FR"/>
        </w:rPr>
        <w:t xml:space="preserve">Le Festival Tahiti </w:t>
      </w:r>
      <w:proofErr w:type="spellStart"/>
      <w:r>
        <w:rPr>
          <w:rFonts w:ascii="Cambria" w:hAnsi="Cambria"/>
          <w:lang w:eastAsia="fr-FR"/>
        </w:rPr>
        <w:t>ti’a</w:t>
      </w:r>
      <w:proofErr w:type="spellEnd"/>
      <w:r>
        <w:rPr>
          <w:rFonts w:ascii="Cambria" w:hAnsi="Cambria"/>
          <w:lang w:eastAsia="fr-FR"/>
        </w:rPr>
        <w:t xml:space="preserve"> mai se décline en effet cette année sur 4 lieux différents, où se produiront les groupes de chants et danses après leur passage sur </w:t>
      </w:r>
      <w:proofErr w:type="spellStart"/>
      <w:r>
        <w:rPr>
          <w:rFonts w:ascii="Cambria" w:hAnsi="Cambria"/>
          <w:lang w:eastAsia="fr-FR"/>
        </w:rPr>
        <w:t>To’at</w:t>
      </w:r>
      <w:r>
        <w:rPr>
          <w:rFonts w:ascii="Cambria" w:hAnsi="Cambria"/>
          <w:i/>
          <w:iCs/>
          <w:lang w:eastAsia="fr-FR"/>
        </w:rPr>
        <w:t>ā</w:t>
      </w:r>
      <w:proofErr w:type="spellEnd"/>
      <w:r>
        <w:rPr>
          <w:rFonts w:ascii="Cambria" w:hAnsi="Cambria"/>
          <w:lang w:eastAsia="fr-FR"/>
        </w:rPr>
        <w:t xml:space="preserve"> : deux sites du Pays (le marae </w:t>
      </w:r>
      <w:proofErr w:type="spellStart"/>
      <w:r>
        <w:rPr>
          <w:rFonts w:ascii="Cambria" w:hAnsi="Cambria"/>
          <w:lang w:eastAsia="fr-FR"/>
        </w:rPr>
        <w:t>Arahurahu</w:t>
      </w:r>
      <w:proofErr w:type="spellEnd"/>
      <w:r>
        <w:rPr>
          <w:rFonts w:ascii="Cambria" w:hAnsi="Cambria"/>
          <w:lang w:eastAsia="fr-FR"/>
        </w:rPr>
        <w:t xml:space="preserve"> et le site </w:t>
      </w:r>
      <w:proofErr w:type="spellStart"/>
      <w:r>
        <w:rPr>
          <w:rFonts w:ascii="Cambria" w:hAnsi="Cambria"/>
          <w:lang w:eastAsia="fr-FR"/>
        </w:rPr>
        <w:t>Nu’uroa</w:t>
      </w:r>
      <w:proofErr w:type="spellEnd"/>
      <w:r>
        <w:rPr>
          <w:rFonts w:ascii="Cambria" w:hAnsi="Cambria"/>
          <w:lang w:eastAsia="fr-FR"/>
        </w:rPr>
        <w:t xml:space="preserve"> dans les jardins du Musée) et deux communes (</w:t>
      </w:r>
      <w:proofErr w:type="spellStart"/>
      <w:r>
        <w:rPr>
          <w:rFonts w:ascii="Cambria" w:hAnsi="Cambria"/>
          <w:lang w:eastAsia="fr-FR"/>
        </w:rPr>
        <w:t>Mahina</w:t>
      </w:r>
      <w:proofErr w:type="spellEnd"/>
      <w:r>
        <w:rPr>
          <w:rFonts w:ascii="Cambria" w:hAnsi="Cambria"/>
          <w:lang w:eastAsia="fr-FR"/>
        </w:rPr>
        <w:t xml:space="preserve"> et </w:t>
      </w:r>
      <w:proofErr w:type="spellStart"/>
      <w:r>
        <w:rPr>
          <w:rFonts w:ascii="Cambria" w:hAnsi="Cambria"/>
          <w:lang w:eastAsia="fr-FR"/>
        </w:rPr>
        <w:t>Faa’a</w:t>
      </w:r>
      <w:proofErr w:type="spellEnd"/>
      <w:r>
        <w:rPr>
          <w:rFonts w:ascii="Cambria" w:hAnsi="Cambria"/>
          <w:lang w:eastAsia="fr-FR"/>
        </w:rPr>
        <w:t>). En concertation avec les organisateurs de ces événements, les artisans des communes concernées ont été sollicités sur une ou plusieurs soirées, et proposeront ainsi une variété de savoir-faire et de produits accessible aux spectateurs.</w:t>
      </w:r>
    </w:p>
    <w:p w14:paraId="605B8AA7" w14:textId="77777777" w:rsidR="00BC2770" w:rsidRDefault="00BC2770" w:rsidP="00BC2770">
      <w:pPr>
        <w:spacing w:before="100" w:beforeAutospacing="1" w:after="100" w:afterAutospacing="1"/>
        <w:jc w:val="both"/>
        <w:rPr>
          <w:rFonts w:ascii="Cambria" w:hAnsi="Cambria"/>
          <w:lang w:eastAsia="fr-FR"/>
        </w:rPr>
      </w:pPr>
      <w:r>
        <w:rPr>
          <w:rFonts w:ascii="Cambria" w:hAnsi="Cambria"/>
          <w:lang w:eastAsia="fr-FR"/>
        </w:rPr>
        <w:t>Le programme a pu être établi comme suit :</w:t>
      </w:r>
    </w:p>
    <w:p w14:paraId="32E31AEF" w14:textId="77777777" w:rsidR="00BC2770" w:rsidRDefault="00BC2770" w:rsidP="00BC2770">
      <w:pPr>
        <w:numPr>
          <w:ilvl w:val="0"/>
          <w:numId w:val="11"/>
        </w:numPr>
        <w:spacing w:before="100" w:beforeAutospacing="1" w:after="100" w:afterAutospacing="1"/>
        <w:jc w:val="both"/>
        <w:rPr>
          <w:rFonts w:ascii="Cambria" w:hAnsi="Cambria"/>
          <w:lang w:eastAsia="fr-FR"/>
        </w:rPr>
      </w:pPr>
      <w:proofErr w:type="spellStart"/>
      <w:r>
        <w:rPr>
          <w:rFonts w:ascii="Cambria" w:hAnsi="Cambria"/>
          <w:lang w:eastAsia="fr-FR"/>
        </w:rPr>
        <w:t>Mahina</w:t>
      </w:r>
      <w:proofErr w:type="spellEnd"/>
      <w:r>
        <w:rPr>
          <w:rFonts w:ascii="Cambria" w:hAnsi="Cambria"/>
          <w:lang w:eastAsia="fr-FR"/>
        </w:rPr>
        <w:t xml:space="preserve"> (Pointe Vénus) : du 9 au 17 juillet, 10 exposants installés sur la période</w:t>
      </w:r>
    </w:p>
    <w:p w14:paraId="4D8D1CBD" w14:textId="77777777" w:rsidR="00BC2770" w:rsidRDefault="00BC2770" w:rsidP="00BC2770">
      <w:pPr>
        <w:numPr>
          <w:ilvl w:val="0"/>
          <w:numId w:val="11"/>
        </w:numPr>
        <w:spacing w:before="100" w:beforeAutospacing="1" w:after="100" w:afterAutospacing="1"/>
        <w:jc w:val="both"/>
        <w:rPr>
          <w:rFonts w:ascii="Cambria" w:hAnsi="Cambria"/>
          <w:lang w:eastAsia="fr-FR"/>
        </w:rPr>
      </w:pPr>
      <w:r>
        <w:rPr>
          <w:rFonts w:ascii="Cambria" w:hAnsi="Cambria"/>
          <w:lang w:eastAsia="fr-FR"/>
        </w:rPr>
        <w:t xml:space="preserve">Marae </w:t>
      </w:r>
      <w:proofErr w:type="spellStart"/>
      <w:r>
        <w:rPr>
          <w:rFonts w:ascii="Cambria" w:hAnsi="Cambria"/>
          <w:lang w:eastAsia="fr-FR"/>
        </w:rPr>
        <w:t>Arahurahu</w:t>
      </w:r>
      <w:proofErr w:type="spellEnd"/>
      <w:r>
        <w:rPr>
          <w:rFonts w:ascii="Cambria" w:hAnsi="Cambria"/>
          <w:lang w:eastAsia="fr-FR"/>
        </w:rPr>
        <w:t> : 17 et 18 juillet, 24 et 25 juillet, 31 juillet et 1</w:t>
      </w:r>
      <w:r>
        <w:rPr>
          <w:rFonts w:ascii="Cambria" w:hAnsi="Cambria"/>
          <w:vertAlign w:val="superscript"/>
          <w:lang w:eastAsia="fr-FR"/>
        </w:rPr>
        <w:t>er</w:t>
      </w:r>
      <w:r>
        <w:rPr>
          <w:rFonts w:ascii="Cambria" w:hAnsi="Cambria"/>
          <w:lang w:eastAsia="fr-FR"/>
        </w:rPr>
        <w:t xml:space="preserve"> août, 5 exposants par weekend</w:t>
      </w:r>
    </w:p>
    <w:p w14:paraId="3994574D" w14:textId="77777777" w:rsidR="00BC2770" w:rsidRDefault="00BC2770" w:rsidP="00BC2770">
      <w:pPr>
        <w:numPr>
          <w:ilvl w:val="0"/>
          <w:numId w:val="11"/>
        </w:numPr>
        <w:spacing w:before="100" w:beforeAutospacing="1" w:after="100" w:afterAutospacing="1"/>
        <w:jc w:val="both"/>
        <w:rPr>
          <w:rFonts w:ascii="Cambria" w:hAnsi="Cambria"/>
          <w:lang w:eastAsia="fr-FR"/>
        </w:rPr>
      </w:pPr>
      <w:proofErr w:type="spellStart"/>
      <w:r>
        <w:rPr>
          <w:rFonts w:ascii="Cambria" w:hAnsi="Cambria"/>
          <w:lang w:eastAsia="fr-FR"/>
        </w:rPr>
        <w:t>Nu’uroa</w:t>
      </w:r>
      <w:proofErr w:type="spellEnd"/>
      <w:r>
        <w:rPr>
          <w:rFonts w:ascii="Cambria" w:hAnsi="Cambria"/>
          <w:lang w:eastAsia="fr-FR"/>
        </w:rPr>
        <w:t xml:space="preserve">, </w:t>
      </w:r>
      <w:proofErr w:type="gramStart"/>
      <w:r>
        <w:rPr>
          <w:rFonts w:ascii="Cambria" w:hAnsi="Cambria"/>
          <w:lang w:eastAsia="fr-FR"/>
        </w:rPr>
        <w:t>Musée</w:t>
      </w:r>
      <w:proofErr w:type="gramEnd"/>
      <w:r>
        <w:rPr>
          <w:rFonts w:ascii="Cambria" w:hAnsi="Cambria"/>
          <w:lang w:eastAsia="fr-FR"/>
        </w:rPr>
        <w:t xml:space="preserve"> de Tahiti et des Îles : 07 août, 4 exposants sur la journée</w:t>
      </w:r>
    </w:p>
    <w:p w14:paraId="0AE5FA3F" w14:textId="77777777" w:rsidR="00BC2770" w:rsidRDefault="00BC2770" w:rsidP="00BC2770">
      <w:pPr>
        <w:spacing w:before="100" w:beforeAutospacing="1" w:after="100" w:afterAutospacing="1"/>
        <w:jc w:val="both"/>
        <w:rPr>
          <w:rFonts w:ascii="Cambria" w:hAnsi="Cambria"/>
          <w:lang w:eastAsia="fr-FR"/>
        </w:rPr>
      </w:pPr>
      <w:r>
        <w:rPr>
          <w:rFonts w:ascii="Cambria" w:hAnsi="Cambria"/>
          <w:lang w:eastAsia="fr-FR"/>
        </w:rPr>
        <w:t>Au total, du 15 juillet au 7 août, 29 artisans participent à ce dispositif et mettent à l’honneur les richesses artisanales au côté des groupes de chants et danses.</w:t>
      </w:r>
    </w:p>
    <w:p w14:paraId="68BFFA16" w14:textId="77777777" w:rsidR="001B2D71" w:rsidRDefault="001B2D71" w:rsidP="00C11FC7">
      <w:pPr>
        <w:spacing w:before="100" w:beforeAutospacing="1" w:after="100" w:afterAutospacing="1"/>
        <w:jc w:val="both"/>
        <w:rPr>
          <w:rFonts w:ascii="Cambria" w:hAnsi="Cambria"/>
          <w:b/>
          <w:bCs/>
          <w:lang w:eastAsia="fr-FR"/>
        </w:rPr>
      </w:pPr>
    </w:p>
    <w:p w14:paraId="41803A0F" w14:textId="2CDB00F1" w:rsidR="00C11FC7" w:rsidRPr="00C11FC7" w:rsidRDefault="00C11FC7" w:rsidP="00C11FC7">
      <w:pPr>
        <w:spacing w:before="100" w:beforeAutospacing="1" w:after="100" w:afterAutospacing="1"/>
        <w:jc w:val="both"/>
        <w:rPr>
          <w:rFonts w:ascii="Cambria" w:hAnsi="Cambria"/>
          <w:lang w:eastAsia="fr-FR"/>
        </w:rPr>
      </w:pPr>
      <w:r w:rsidRPr="00C11FC7">
        <w:rPr>
          <w:rFonts w:ascii="Cambria" w:hAnsi="Cambria"/>
          <w:b/>
          <w:bCs/>
          <w:lang w:eastAsia="fr-FR"/>
        </w:rPr>
        <w:t>Evolution des conditions d’entrée en Polynésie française</w:t>
      </w:r>
    </w:p>
    <w:p w14:paraId="6F401C73" w14:textId="77777777" w:rsidR="00C11FC7" w:rsidRPr="00C11FC7" w:rsidRDefault="00C11FC7" w:rsidP="00C11FC7">
      <w:pPr>
        <w:spacing w:before="100" w:beforeAutospacing="1" w:after="100" w:afterAutospacing="1"/>
        <w:jc w:val="both"/>
        <w:rPr>
          <w:rFonts w:ascii="Cambria" w:hAnsi="Cambria"/>
          <w:lang w:eastAsia="fr-FR"/>
        </w:rPr>
      </w:pPr>
      <w:r w:rsidRPr="00C11FC7">
        <w:rPr>
          <w:rFonts w:ascii="Cambria" w:hAnsi="Cambria"/>
          <w:lang w:eastAsia="fr-FR"/>
        </w:rPr>
        <w:t>Le Conseil des ministres a pris un arrêté intégrant les modifications apportées à la règlementation nationale dans le cadre de la vaccination, et ce, afin de faciliter les déplacements entre la métropole et la Polynésie française.</w:t>
      </w:r>
    </w:p>
    <w:p w14:paraId="02EC45A1" w14:textId="57B58274" w:rsidR="00C11FC7" w:rsidRPr="00C11FC7" w:rsidRDefault="00C11FC7" w:rsidP="00C11FC7">
      <w:pPr>
        <w:spacing w:before="100" w:beforeAutospacing="1" w:after="100" w:afterAutospacing="1"/>
        <w:jc w:val="both"/>
        <w:rPr>
          <w:rFonts w:ascii="Cambria" w:hAnsi="Cambria"/>
          <w:lang w:eastAsia="fr-FR"/>
        </w:rPr>
      </w:pPr>
      <w:r w:rsidRPr="00C11FC7">
        <w:rPr>
          <w:rFonts w:ascii="Cambria" w:hAnsi="Cambria"/>
          <w:lang w:eastAsia="fr-FR"/>
        </w:rPr>
        <w:t>Ces modifications sont introduites au niveau des documents fixant le schéma vaccinal complet reconnu en Polynésie française.</w:t>
      </w:r>
      <w:r w:rsidR="001B2D71">
        <w:rPr>
          <w:rFonts w:ascii="Cambria" w:hAnsi="Cambria"/>
          <w:lang w:eastAsia="fr-FR"/>
        </w:rPr>
        <w:t xml:space="preserve"> </w:t>
      </w:r>
      <w:r w:rsidRPr="00C11FC7">
        <w:rPr>
          <w:rFonts w:ascii="Cambria" w:hAnsi="Cambria"/>
          <w:lang w:eastAsia="fr-FR"/>
        </w:rPr>
        <w:t>Ainsi, le schéma vaccinal est déclaré complet 7 jours après la dernière injection, au lieu de 14 jours. La possibilité de se faire vacciner par des doses de vaccins différents, mais relevant de la même technologie ARN messager (Pfizer et Moderna), est reconnue. La nouvelle appellation du vaccin Moderna est également introduite.</w:t>
      </w:r>
    </w:p>
    <w:p w14:paraId="3D37DBE6" w14:textId="6F4DA7BF" w:rsidR="00C11FC7" w:rsidRDefault="00C11FC7" w:rsidP="00C11FC7">
      <w:pPr>
        <w:spacing w:before="100" w:beforeAutospacing="1" w:after="100" w:afterAutospacing="1"/>
        <w:jc w:val="both"/>
        <w:rPr>
          <w:rFonts w:ascii="Cambria" w:hAnsi="Cambria"/>
          <w:lang w:eastAsia="fr-FR"/>
        </w:rPr>
      </w:pPr>
      <w:r w:rsidRPr="00C11FC7">
        <w:rPr>
          <w:rFonts w:ascii="Cambria" w:hAnsi="Cambria"/>
          <w:lang w:eastAsia="fr-FR"/>
        </w:rPr>
        <w:t>Enfin, la participation financière aux frais de repas dans les sites dédiés pendant la quarantaine pour les étudiants, les personnes revenant d’évacuation sanitaire et leur accompagnateur, est supprimée.</w:t>
      </w:r>
    </w:p>
    <w:p w14:paraId="11294CEA" w14:textId="77777777" w:rsidR="00C11FC7" w:rsidRPr="00C11FC7" w:rsidRDefault="00C11FC7" w:rsidP="00C11FC7">
      <w:pPr>
        <w:spacing w:before="100" w:beforeAutospacing="1" w:after="100" w:afterAutospacing="1"/>
        <w:jc w:val="both"/>
        <w:rPr>
          <w:rFonts w:ascii="Cambria" w:hAnsi="Cambria"/>
          <w:lang w:eastAsia="fr-FR"/>
        </w:rPr>
      </w:pPr>
    </w:p>
    <w:p w14:paraId="02A0692E" w14:textId="77777777" w:rsidR="00CD3CFE" w:rsidRPr="00A45BA4" w:rsidRDefault="00CD3CFE" w:rsidP="00CD3CFE">
      <w:pPr>
        <w:pStyle w:val="NormalWeb"/>
        <w:shd w:val="clear" w:color="auto" w:fill="FFFFFF"/>
        <w:spacing w:before="0" w:after="300"/>
        <w:jc w:val="both"/>
        <w:rPr>
          <w:rFonts w:ascii="Cambria" w:hAnsi="Cambria"/>
          <w:color w:val="191919"/>
        </w:rPr>
      </w:pPr>
      <w:r w:rsidRPr="00A45BA4">
        <w:rPr>
          <w:rStyle w:val="lev"/>
          <w:rFonts w:ascii="Cambria" w:hAnsi="Cambria"/>
          <w:color w:val="191919"/>
        </w:rPr>
        <w:t>Subventions de fonctionnement en faveur d’établissements publics d’enseignement de la Polynésie française</w:t>
      </w:r>
    </w:p>
    <w:p w14:paraId="5EEFBFE2" w14:textId="06315009" w:rsidR="00CD3CFE" w:rsidRPr="00A45BA4" w:rsidRDefault="00CD3CFE" w:rsidP="00CD3CFE">
      <w:pPr>
        <w:pStyle w:val="NormalWeb"/>
        <w:shd w:val="clear" w:color="auto" w:fill="FFFFFF"/>
        <w:spacing w:before="0" w:after="300"/>
        <w:jc w:val="both"/>
        <w:rPr>
          <w:rFonts w:ascii="Cambria" w:hAnsi="Cambria"/>
          <w:color w:val="191919"/>
        </w:rPr>
      </w:pPr>
      <w:r w:rsidRPr="00A45BA4">
        <w:rPr>
          <w:rFonts w:ascii="Cambria" w:hAnsi="Cambria"/>
          <w:color w:val="191919"/>
        </w:rPr>
        <w:t>Sur proposition de la ministre de l’Education, le Conseil des ministres a octroyé des subventions de fonctionnement en faveur d’établissements publics d’enseignement de la Polynésie française (EPEPF), selon les modalités suivantes</w:t>
      </w:r>
      <w:r w:rsidR="00BC2770">
        <w:rPr>
          <w:rFonts w:ascii="Cambria" w:hAnsi="Cambria"/>
          <w:color w:val="191919"/>
        </w:rPr>
        <w:t xml:space="preserve"> </w:t>
      </w:r>
      <w:r w:rsidRPr="00A45BA4">
        <w:rPr>
          <w:rFonts w:ascii="Cambria" w:hAnsi="Cambria"/>
          <w:color w:val="191919"/>
        </w:rPr>
        <w:t>:</w:t>
      </w:r>
    </w:p>
    <w:tbl>
      <w:tblPr>
        <w:tblW w:w="9205" w:type="dxa"/>
        <w:jc w:val="center"/>
        <w:tblCellMar>
          <w:left w:w="70" w:type="dxa"/>
          <w:right w:w="70" w:type="dxa"/>
        </w:tblCellMar>
        <w:tblLook w:val="04A0" w:firstRow="1" w:lastRow="0" w:firstColumn="1" w:lastColumn="0" w:noHBand="0" w:noVBand="1"/>
      </w:tblPr>
      <w:tblGrid>
        <w:gridCol w:w="2263"/>
        <w:gridCol w:w="4962"/>
        <w:gridCol w:w="1980"/>
      </w:tblGrid>
      <w:tr w:rsidR="00CD3CFE" w:rsidRPr="00A45BA4" w14:paraId="023B58AF" w14:textId="77777777" w:rsidTr="00781D6F">
        <w:trPr>
          <w:trHeight w:val="31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12775" w14:textId="77777777" w:rsidR="00CD3CFE" w:rsidRPr="00A45BA4" w:rsidRDefault="00CD3CFE" w:rsidP="008137E7">
            <w:pPr>
              <w:jc w:val="center"/>
              <w:rPr>
                <w:rFonts w:ascii="Cambria" w:hAnsi="Cambria"/>
                <w:b/>
                <w:bCs/>
                <w:color w:val="000000"/>
                <w:lang w:eastAsia="fr-FR"/>
              </w:rPr>
            </w:pPr>
            <w:r w:rsidRPr="00A45BA4">
              <w:rPr>
                <w:rFonts w:ascii="Cambria" w:hAnsi="Cambria"/>
                <w:b/>
                <w:bCs/>
                <w:color w:val="000000"/>
                <w:lang w:eastAsia="fr-FR"/>
              </w:rPr>
              <w:t>Bénéficiaire</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14:paraId="777382A0" w14:textId="77777777" w:rsidR="00CD3CFE" w:rsidRPr="00A45BA4" w:rsidRDefault="00CD3CFE" w:rsidP="008137E7">
            <w:pPr>
              <w:jc w:val="center"/>
              <w:rPr>
                <w:rFonts w:ascii="Cambria" w:hAnsi="Cambria"/>
                <w:b/>
                <w:bCs/>
                <w:color w:val="000000"/>
                <w:lang w:eastAsia="fr-FR"/>
              </w:rPr>
            </w:pPr>
            <w:r w:rsidRPr="00A45BA4">
              <w:rPr>
                <w:rFonts w:ascii="Cambria" w:hAnsi="Cambria"/>
                <w:b/>
                <w:bCs/>
                <w:color w:val="000000"/>
                <w:lang w:eastAsia="fr-FR"/>
              </w:rPr>
              <w:t>Objet de la subvention</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25672D23" w14:textId="77777777" w:rsidR="00CD3CFE" w:rsidRPr="00A45BA4" w:rsidRDefault="00CD3CFE" w:rsidP="008137E7">
            <w:pPr>
              <w:jc w:val="center"/>
              <w:rPr>
                <w:rFonts w:ascii="Cambria" w:hAnsi="Cambria"/>
                <w:b/>
                <w:bCs/>
                <w:color w:val="000000"/>
                <w:lang w:eastAsia="fr-FR"/>
              </w:rPr>
            </w:pPr>
            <w:r w:rsidRPr="00A45BA4">
              <w:rPr>
                <w:rFonts w:ascii="Cambria" w:hAnsi="Cambria"/>
                <w:b/>
                <w:bCs/>
                <w:color w:val="000000"/>
                <w:lang w:eastAsia="fr-FR"/>
              </w:rPr>
              <w:t xml:space="preserve">Montant en </w:t>
            </w:r>
            <w:proofErr w:type="spellStart"/>
            <w:r w:rsidRPr="00A45BA4">
              <w:rPr>
                <w:rFonts w:ascii="Cambria" w:hAnsi="Cambria"/>
                <w:b/>
                <w:bCs/>
                <w:color w:val="000000"/>
                <w:lang w:eastAsia="fr-FR"/>
              </w:rPr>
              <w:t>Fcfp</w:t>
            </w:r>
            <w:proofErr w:type="spellEnd"/>
          </w:p>
        </w:tc>
      </w:tr>
      <w:tr w:rsidR="00CD3CFE" w:rsidRPr="00A45BA4" w14:paraId="11274F7F" w14:textId="77777777" w:rsidTr="00781D6F">
        <w:trPr>
          <w:trHeight w:val="315"/>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9C5D132" w14:textId="77777777" w:rsidR="00CD3CFE" w:rsidRPr="00A45BA4" w:rsidRDefault="00CD3CFE" w:rsidP="008137E7">
            <w:pPr>
              <w:jc w:val="center"/>
              <w:rPr>
                <w:rFonts w:ascii="Cambria" w:hAnsi="Cambria"/>
                <w:color w:val="000000"/>
                <w:lang w:eastAsia="fr-FR"/>
              </w:rPr>
            </w:pPr>
            <w:r w:rsidRPr="00A45BA4">
              <w:rPr>
                <w:rFonts w:ascii="Cambria" w:hAnsi="Cambria"/>
                <w:color w:val="000000"/>
                <w:lang w:eastAsia="fr-FR"/>
              </w:rPr>
              <w:t>Collège de Atuona</w:t>
            </w:r>
          </w:p>
        </w:tc>
        <w:tc>
          <w:tcPr>
            <w:tcW w:w="4962" w:type="dxa"/>
            <w:tcBorders>
              <w:top w:val="nil"/>
              <w:left w:val="nil"/>
              <w:bottom w:val="single" w:sz="4" w:space="0" w:color="auto"/>
              <w:right w:val="single" w:sz="4" w:space="0" w:color="auto"/>
            </w:tcBorders>
            <w:shd w:val="clear" w:color="auto" w:fill="auto"/>
            <w:vAlign w:val="center"/>
            <w:hideMark/>
          </w:tcPr>
          <w:p w14:paraId="74F737AA" w14:textId="77777777" w:rsidR="00CD3CFE" w:rsidRPr="00A45BA4" w:rsidRDefault="00CD3CFE" w:rsidP="008137E7">
            <w:pPr>
              <w:jc w:val="both"/>
              <w:rPr>
                <w:rFonts w:ascii="Cambria" w:hAnsi="Cambria"/>
                <w:color w:val="000000"/>
                <w:lang w:eastAsia="fr-FR"/>
              </w:rPr>
            </w:pPr>
            <w:r w:rsidRPr="00A45BA4">
              <w:rPr>
                <w:rFonts w:ascii="Cambria" w:hAnsi="Cambria"/>
                <w:color w:val="000000"/>
                <w:lang w:eastAsia="fr-FR"/>
              </w:rPr>
              <w:t>L’acquisition de casiers pour les élèves</w:t>
            </w:r>
          </w:p>
        </w:tc>
        <w:tc>
          <w:tcPr>
            <w:tcW w:w="1980" w:type="dxa"/>
            <w:tcBorders>
              <w:top w:val="nil"/>
              <w:left w:val="nil"/>
              <w:bottom w:val="single" w:sz="4" w:space="0" w:color="auto"/>
              <w:right w:val="single" w:sz="4" w:space="0" w:color="auto"/>
            </w:tcBorders>
            <w:shd w:val="clear" w:color="auto" w:fill="auto"/>
            <w:vAlign w:val="center"/>
            <w:hideMark/>
          </w:tcPr>
          <w:p w14:paraId="4B1F770F" w14:textId="77777777" w:rsidR="00CD3CFE" w:rsidRPr="00A45BA4" w:rsidRDefault="00CD3CFE" w:rsidP="008137E7">
            <w:pPr>
              <w:jc w:val="right"/>
              <w:rPr>
                <w:rFonts w:ascii="Cambria" w:hAnsi="Cambria"/>
                <w:color w:val="000000"/>
                <w:lang w:eastAsia="fr-FR"/>
              </w:rPr>
            </w:pPr>
            <w:r w:rsidRPr="00A45BA4">
              <w:rPr>
                <w:rFonts w:ascii="Cambria" w:hAnsi="Cambria"/>
                <w:color w:val="000000"/>
                <w:lang w:eastAsia="fr-FR"/>
              </w:rPr>
              <w:t>5 434 558</w:t>
            </w:r>
          </w:p>
        </w:tc>
      </w:tr>
      <w:tr w:rsidR="00CD3CFE" w:rsidRPr="00A45BA4" w14:paraId="6A640D7E" w14:textId="77777777" w:rsidTr="00781D6F">
        <w:trPr>
          <w:trHeight w:val="315"/>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C2174D5" w14:textId="77777777" w:rsidR="00CD3CFE" w:rsidRPr="00A45BA4" w:rsidRDefault="00CD3CFE" w:rsidP="008137E7">
            <w:pPr>
              <w:jc w:val="center"/>
              <w:rPr>
                <w:rFonts w:ascii="Cambria" w:hAnsi="Cambria"/>
                <w:color w:val="000000"/>
                <w:lang w:eastAsia="fr-FR"/>
              </w:rPr>
            </w:pPr>
            <w:r w:rsidRPr="00A45BA4">
              <w:rPr>
                <w:rFonts w:ascii="Cambria" w:hAnsi="Cambria"/>
                <w:color w:val="000000"/>
                <w:lang w:eastAsia="fr-FR"/>
              </w:rPr>
              <w:t xml:space="preserve">Collège </w:t>
            </w:r>
            <w:proofErr w:type="spellStart"/>
            <w:r w:rsidRPr="00A45BA4">
              <w:rPr>
                <w:rFonts w:ascii="Cambria" w:hAnsi="Cambria"/>
                <w:color w:val="000000"/>
                <w:lang w:eastAsia="fr-FR"/>
              </w:rPr>
              <w:t>Tinomana</w:t>
            </w:r>
            <w:proofErr w:type="spellEnd"/>
            <w:r w:rsidRPr="00A45BA4">
              <w:rPr>
                <w:rFonts w:ascii="Cambria" w:hAnsi="Cambria"/>
                <w:color w:val="000000"/>
                <w:lang w:eastAsia="fr-FR"/>
              </w:rPr>
              <w:t xml:space="preserve"> </w:t>
            </w:r>
            <w:proofErr w:type="spellStart"/>
            <w:r w:rsidRPr="00A45BA4">
              <w:rPr>
                <w:rFonts w:ascii="Cambria" w:hAnsi="Cambria"/>
                <w:color w:val="000000"/>
                <w:lang w:eastAsia="fr-FR"/>
              </w:rPr>
              <w:t>Ebb</w:t>
            </w:r>
            <w:proofErr w:type="spellEnd"/>
            <w:r w:rsidRPr="00A45BA4">
              <w:rPr>
                <w:rFonts w:ascii="Cambria" w:hAnsi="Cambria"/>
                <w:color w:val="000000"/>
                <w:lang w:eastAsia="fr-FR"/>
              </w:rPr>
              <w:t xml:space="preserve"> de </w:t>
            </w:r>
            <w:proofErr w:type="spellStart"/>
            <w:r w:rsidRPr="00A45BA4">
              <w:rPr>
                <w:rFonts w:ascii="Cambria" w:hAnsi="Cambria"/>
                <w:color w:val="000000"/>
                <w:lang w:eastAsia="fr-FR"/>
              </w:rPr>
              <w:t>Teva</w:t>
            </w:r>
            <w:proofErr w:type="spellEnd"/>
            <w:r w:rsidRPr="00A45BA4">
              <w:rPr>
                <w:rFonts w:ascii="Cambria" w:hAnsi="Cambria"/>
                <w:color w:val="000000"/>
                <w:lang w:eastAsia="fr-FR"/>
              </w:rPr>
              <w:t xml:space="preserve"> I Uta</w:t>
            </w:r>
          </w:p>
        </w:tc>
        <w:tc>
          <w:tcPr>
            <w:tcW w:w="4962" w:type="dxa"/>
            <w:tcBorders>
              <w:top w:val="nil"/>
              <w:left w:val="nil"/>
              <w:bottom w:val="single" w:sz="4" w:space="0" w:color="auto"/>
              <w:right w:val="single" w:sz="4" w:space="0" w:color="auto"/>
            </w:tcBorders>
            <w:shd w:val="clear" w:color="auto" w:fill="auto"/>
            <w:vAlign w:val="center"/>
            <w:hideMark/>
          </w:tcPr>
          <w:p w14:paraId="1A8BE3FA" w14:textId="77777777" w:rsidR="00CD3CFE" w:rsidRPr="00A45BA4" w:rsidRDefault="00CD3CFE" w:rsidP="008137E7">
            <w:pPr>
              <w:jc w:val="both"/>
              <w:rPr>
                <w:rFonts w:ascii="Cambria" w:hAnsi="Cambria"/>
                <w:color w:val="000000"/>
                <w:lang w:eastAsia="fr-FR"/>
              </w:rPr>
            </w:pPr>
            <w:r w:rsidRPr="00A45BA4">
              <w:rPr>
                <w:rFonts w:ascii="Cambria" w:hAnsi="Cambria"/>
                <w:color w:val="000000"/>
                <w:lang w:eastAsia="fr-FR"/>
              </w:rPr>
              <w:t>L'installation d'alarme incendie dans les salles de sciences</w:t>
            </w:r>
          </w:p>
        </w:tc>
        <w:tc>
          <w:tcPr>
            <w:tcW w:w="1980" w:type="dxa"/>
            <w:tcBorders>
              <w:top w:val="nil"/>
              <w:left w:val="nil"/>
              <w:bottom w:val="single" w:sz="4" w:space="0" w:color="auto"/>
              <w:right w:val="single" w:sz="4" w:space="0" w:color="auto"/>
            </w:tcBorders>
            <w:shd w:val="clear" w:color="auto" w:fill="auto"/>
            <w:vAlign w:val="center"/>
            <w:hideMark/>
          </w:tcPr>
          <w:p w14:paraId="03B5A413" w14:textId="77777777" w:rsidR="00CD3CFE" w:rsidRPr="00A45BA4" w:rsidRDefault="00CD3CFE" w:rsidP="008137E7">
            <w:pPr>
              <w:jc w:val="right"/>
              <w:rPr>
                <w:rFonts w:ascii="Cambria" w:hAnsi="Cambria"/>
                <w:color w:val="000000"/>
                <w:lang w:eastAsia="fr-FR"/>
              </w:rPr>
            </w:pPr>
            <w:r w:rsidRPr="00A45BA4">
              <w:rPr>
                <w:rFonts w:ascii="Cambria" w:hAnsi="Cambria"/>
                <w:color w:val="000000"/>
                <w:lang w:eastAsia="fr-FR"/>
              </w:rPr>
              <w:t>304 876</w:t>
            </w:r>
          </w:p>
        </w:tc>
      </w:tr>
      <w:tr w:rsidR="00CD3CFE" w:rsidRPr="00A45BA4" w14:paraId="1365C3E8" w14:textId="77777777" w:rsidTr="00781D6F">
        <w:trPr>
          <w:trHeight w:val="315"/>
          <w:jc w:val="center"/>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1B669B81" w14:textId="77777777" w:rsidR="00CD3CFE" w:rsidRPr="00A45BA4" w:rsidRDefault="00CD3CFE" w:rsidP="008137E7">
            <w:pPr>
              <w:jc w:val="center"/>
              <w:rPr>
                <w:rFonts w:ascii="Cambria" w:hAnsi="Cambria"/>
                <w:color w:val="000000"/>
                <w:lang w:eastAsia="fr-FR"/>
              </w:rPr>
            </w:pPr>
            <w:r w:rsidRPr="00A45BA4">
              <w:rPr>
                <w:rFonts w:ascii="Cambria" w:hAnsi="Cambria"/>
                <w:color w:val="000000"/>
                <w:lang w:eastAsia="fr-FR"/>
              </w:rPr>
              <w:t>Lycée hôtelier de Tahiti</w:t>
            </w:r>
          </w:p>
        </w:tc>
        <w:tc>
          <w:tcPr>
            <w:tcW w:w="4962" w:type="dxa"/>
            <w:tcBorders>
              <w:top w:val="nil"/>
              <w:left w:val="nil"/>
              <w:bottom w:val="single" w:sz="4" w:space="0" w:color="auto"/>
              <w:right w:val="single" w:sz="4" w:space="0" w:color="auto"/>
            </w:tcBorders>
            <w:shd w:val="clear" w:color="auto" w:fill="auto"/>
            <w:vAlign w:val="center"/>
            <w:hideMark/>
          </w:tcPr>
          <w:p w14:paraId="4A685996" w14:textId="77777777" w:rsidR="00CD3CFE" w:rsidRPr="00A45BA4" w:rsidRDefault="00CD3CFE" w:rsidP="008137E7">
            <w:pPr>
              <w:jc w:val="both"/>
              <w:rPr>
                <w:rFonts w:ascii="Cambria" w:hAnsi="Cambria"/>
                <w:color w:val="000000"/>
                <w:lang w:eastAsia="fr-FR"/>
              </w:rPr>
            </w:pPr>
            <w:r w:rsidRPr="00A45BA4">
              <w:rPr>
                <w:rFonts w:ascii="Cambria" w:hAnsi="Cambria"/>
                <w:color w:val="000000"/>
                <w:lang w:eastAsia="fr-FR"/>
              </w:rPr>
              <w:t>Les frais de déplacement dans le cadre d'un stage de vendange dans le vignoble de Rangiroa</w:t>
            </w:r>
          </w:p>
        </w:tc>
        <w:tc>
          <w:tcPr>
            <w:tcW w:w="1980" w:type="dxa"/>
            <w:tcBorders>
              <w:top w:val="nil"/>
              <w:left w:val="nil"/>
              <w:bottom w:val="single" w:sz="4" w:space="0" w:color="auto"/>
              <w:right w:val="single" w:sz="4" w:space="0" w:color="auto"/>
            </w:tcBorders>
            <w:shd w:val="clear" w:color="auto" w:fill="auto"/>
            <w:vAlign w:val="center"/>
            <w:hideMark/>
          </w:tcPr>
          <w:p w14:paraId="2041B266" w14:textId="77777777" w:rsidR="00CD3CFE" w:rsidRPr="00A45BA4" w:rsidRDefault="00CD3CFE" w:rsidP="008137E7">
            <w:pPr>
              <w:jc w:val="right"/>
              <w:rPr>
                <w:rFonts w:ascii="Cambria" w:hAnsi="Cambria"/>
                <w:color w:val="000000"/>
                <w:lang w:eastAsia="fr-FR"/>
              </w:rPr>
            </w:pPr>
            <w:r w:rsidRPr="00A45BA4">
              <w:rPr>
                <w:rFonts w:ascii="Cambria" w:hAnsi="Cambria"/>
                <w:color w:val="000000"/>
                <w:lang w:eastAsia="fr-FR"/>
              </w:rPr>
              <w:t>708 436</w:t>
            </w:r>
          </w:p>
        </w:tc>
      </w:tr>
      <w:tr w:rsidR="00CD3CFE" w:rsidRPr="00A45BA4" w14:paraId="579BC460" w14:textId="77777777" w:rsidTr="00781D6F">
        <w:trPr>
          <w:trHeight w:val="315"/>
          <w:jc w:val="center"/>
        </w:trPr>
        <w:tc>
          <w:tcPr>
            <w:tcW w:w="2263" w:type="dxa"/>
            <w:vMerge/>
            <w:tcBorders>
              <w:top w:val="nil"/>
              <w:left w:val="single" w:sz="4" w:space="0" w:color="auto"/>
              <w:bottom w:val="single" w:sz="4" w:space="0" w:color="auto"/>
              <w:right w:val="single" w:sz="4" w:space="0" w:color="auto"/>
            </w:tcBorders>
            <w:vAlign w:val="center"/>
            <w:hideMark/>
          </w:tcPr>
          <w:p w14:paraId="42194E62" w14:textId="77777777" w:rsidR="00CD3CFE" w:rsidRPr="00A45BA4" w:rsidRDefault="00CD3CFE" w:rsidP="008137E7">
            <w:pPr>
              <w:jc w:val="center"/>
              <w:rPr>
                <w:rFonts w:ascii="Cambria" w:hAnsi="Cambria"/>
                <w:color w:val="000000"/>
                <w:lang w:eastAsia="fr-FR"/>
              </w:rPr>
            </w:pPr>
          </w:p>
        </w:tc>
        <w:tc>
          <w:tcPr>
            <w:tcW w:w="4962" w:type="dxa"/>
            <w:tcBorders>
              <w:top w:val="nil"/>
              <w:left w:val="nil"/>
              <w:bottom w:val="single" w:sz="4" w:space="0" w:color="auto"/>
              <w:right w:val="single" w:sz="4" w:space="0" w:color="auto"/>
            </w:tcBorders>
            <w:shd w:val="clear" w:color="auto" w:fill="auto"/>
            <w:vAlign w:val="center"/>
            <w:hideMark/>
          </w:tcPr>
          <w:p w14:paraId="5FE0DACB" w14:textId="77777777" w:rsidR="00CD3CFE" w:rsidRPr="00A45BA4" w:rsidRDefault="00CD3CFE" w:rsidP="008137E7">
            <w:pPr>
              <w:jc w:val="both"/>
              <w:rPr>
                <w:rFonts w:ascii="Cambria" w:hAnsi="Cambria"/>
                <w:color w:val="000000"/>
                <w:lang w:eastAsia="fr-FR"/>
              </w:rPr>
            </w:pPr>
            <w:r w:rsidRPr="00A45BA4">
              <w:rPr>
                <w:rFonts w:ascii="Cambria" w:hAnsi="Cambria"/>
                <w:color w:val="000000"/>
                <w:lang w:eastAsia="fr-FR"/>
              </w:rPr>
              <w:t>L'installation de serrures avec ouverture par carte</w:t>
            </w:r>
          </w:p>
        </w:tc>
        <w:tc>
          <w:tcPr>
            <w:tcW w:w="1980" w:type="dxa"/>
            <w:tcBorders>
              <w:top w:val="nil"/>
              <w:left w:val="nil"/>
              <w:bottom w:val="single" w:sz="4" w:space="0" w:color="auto"/>
              <w:right w:val="single" w:sz="4" w:space="0" w:color="auto"/>
            </w:tcBorders>
            <w:shd w:val="clear" w:color="auto" w:fill="auto"/>
            <w:vAlign w:val="center"/>
            <w:hideMark/>
          </w:tcPr>
          <w:p w14:paraId="50368BBD" w14:textId="77777777" w:rsidR="00CD3CFE" w:rsidRPr="00A45BA4" w:rsidRDefault="00CD3CFE" w:rsidP="008137E7">
            <w:pPr>
              <w:jc w:val="right"/>
              <w:rPr>
                <w:rFonts w:ascii="Cambria" w:hAnsi="Cambria"/>
                <w:color w:val="000000"/>
                <w:lang w:eastAsia="fr-FR"/>
              </w:rPr>
            </w:pPr>
            <w:r w:rsidRPr="00A45BA4">
              <w:rPr>
                <w:rFonts w:ascii="Cambria" w:hAnsi="Cambria"/>
                <w:color w:val="000000"/>
                <w:lang w:eastAsia="fr-FR"/>
              </w:rPr>
              <w:t>2 376 650</w:t>
            </w:r>
          </w:p>
        </w:tc>
      </w:tr>
      <w:tr w:rsidR="00CD3CFE" w:rsidRPr="00A45BA4" w14:paraId="110320B5" w14:textId="77777777" w:rsidTr="00781D6F">
        <w:trPr>
          <w:trHeight w:val="315"/>
          <w:jc w:val="center"/>
        </w:trPr>
        <w:tc>
          <w:tcPr>
            <w:tcW w:w="2263" w:type="dxa"/>
            <w:vMerge/>
            <w:tcBorders>
              <w:top w:val="nil"/>
              <w:left w:val="single" w:sz="4" w:space="0" w:color="auto"/>
              <w:bottom w:val="single" w:sz="4" w:space="0" w:color="auto"/>
              <w:right w:val="single" w:sz="4" w:space="0" w:color="auto"/>
            </w:tcBorders>
            <w:vAlign w:val="center"/>
            <w:hideMark/>
          </w:tcPr>
          <w:p w14:paraId="0DC9743D" w14:textId="77777777" w:rsidR="00CD3CFE" w:rsidRPr="00A45BA4" w:rsidRDefault="00CD3CFE" w:rsidP="008137E7">
            <w:pPr>
              <w:jc w:val="center"/>
              <w:rPr>
                <w:rFonts w:ascii="Cambria" w:hAnsi="Cambria"/>
                <w:color w:val="000000"/>
                <w:lang w:eastAsia="fr-FR"/>
              </w:rPr>
            </w:pPr>
          </w:p>
        </w:tc>
        <w:tc>
          <w:tcPr>
            <w:tcW w:w="4962" w:type="dxa"/>
            <w:tcBorders>
              <w:top w:val="nil"/>
              <w:left w:val="nil"/>
              <w:bottom w:val="single" w:sz="4" w:space="0" w:color="auto"/>
              <w:right w:val="single" w:sz="4" w:space="0" w:color="auto"/>
            </w:tcBorders>
            <w:shd w:val="clear" w:color="auto" w:fill="auto"/>
            <w:vAlign w:val="center"/>
            <w:hideMark/>
          </w:tcPr>
          <w:p w14:paraId="047D0814" w14:textId="77777777" w:rsidR="00CD3CFE" w:rsidRPr="00A45BA4" w:rsidRDefault="00CD3CFE" w:rsidP="008137E7">
            <w:pPr>
              <w:jc w:val="both"/>
              <w:rPr>
                <w:rFonts w:ascii="Cambria" w:hAnsi="Cambria"/>
                <w:color w:val="000000"/>
                <w:lang w:eastAsia="fr-FR"/>
              </w:rPr>
            </w:pPr>
            <w:r w:rsidRPr="00A45BA4">
              <w:rPr>
                <w:rFonts w:ascii="Cambria" w:hAnsi="Cambria"/>
                <w:color w:val="000000"/>
                <w:lang w:eastAsia="fr-FR"/>
              </w:rPr>
              <w:t>L'installation de ventilateurs à l'internat</w:t>
            </w:r>
          </w:p>
        </w:tc>
        <w:tc>
          <w:tcPr>
            <w:tcW w:w="1980" w:type="dxa"/>
            <w:tcBorders>
              <w:top w:val="nil"/>
              <w:left w:val="nil"/>
              <w:bottom w:val="single" w:sz="4" w:space="0" w:color="auto"/>
              <w:right w:val="single" w:sz="4" w:space="0" w:color="auto"/>
            </w:tcBorders>
            <w:shd w:val="clear" w:color="auto" w:fill="auto"/>
            <w:vAlign w:val="center"/>
            <w:hideMark/>
          </w:tcPr>
          <w:p w14:paraId="4BAB986B" w14:textId="77777777" w:rsidR="00CD3CFE" w:rsidRPr="00A45BA4" w:rsidRDefault="00CD3CFE" w:rsidP="008137E7">
            <w:pPr>
              <w:jc w:val="right"/>
              <w:rPr>
                <w:rFonts w:ascii="Cambria" w:hAnsi="Cambria"/>
                <w:color w:val="000000"/>
                <w:lang w:eastAsia="fr-FR"/>
              </w:rPr>
            </w:pPr>
            <w:r w:rsidRPr="00A45BA4">
              <w:rPr>
                <w:rFonts w:ascii="Cambria" w:hAnsi="Cambria"/>
                <w:color w:val="000000"/>
                <w:lang w:eastAsia="fr-FR"/>
              </w:rPr>
              <w:t>399 597</w:t>
            </w:r>
          </w:p>
        </w:tc>
      </w:tr>
      <w:tr w:rsidR="00CD3CFE" w:rsidRPr="00A45BA4" w14:paraId="179FA4CE" w14:textId="77777777" w:rsidTr="00781D6F">
        <w:trPr>
          <w:trHeight w:val="315"/>
          <w:jc w:val="center"/>
        </w:trPr>
        <w:tc>
          <w:tcPr>
            <w:tcW w:w="2263" w:type="dxa"/>
            <w:vMerge/>
            <w:tcBorders>
              <w:top w:val="nil"/>
              <w:left w:val="single" w:sz="4" w:space="0" w:color="auto"/>
              <w:bottom w:val="single" w:sz="4" w:space="0" w:color="auto"/>
              <w:right w:val="single" w:sz="4" w:space="0" w:color="auto"/>
            </w:tcBorders>
            <w:vAlign w:val="center"/>
            <w:hideMark/>
          </w:tcPr>
          <w:p w14:paraId="400A7F71" w14:textId="77777777" w:rsidR="00CD3CFE" w:rsidRPr="00A45BA4" w:rsidRDefault="00CD3CFE" w:rsidP="008137E7">
            <w:pPr>
              <w:jc w:val="center"/>
              <w:rPr>
                <w:rFonts w:ascii="Cambria" w:hAnsi="Cambria"/>
                <w:color w:val="000000"/>
                <w:lang w:eastAsia="fr-FR"/>
              </w:rPr>
            </w:pPr>
          </w:p>
        </w:tc>
        <w:tc>
          <w:tcPr>
            <w:tcW w:w="4962" w:type="dxa"/>
            <w:tcBorders>
              <w:top w:val="nil"/>
              <w:left w:val="nil"/>
              <w:bottom w:val="single" w:sz="4" w:space="0" w:color="auto"/>
              <w:right w:val="single" w:sz="4" w:space="0" w:color="auto"/>
            </w:tcBorders>
            <w:shd w:val="clear" w:color="auto" w:fill="auto"/>
            <w:vAlign w:val="center"/>
            <w:hideMark/>
          </w:tcPr>
          <w:p w14:paraId="6DC7FB06" w14:textId="77777777" w:rsidR="00CD3CFE" w:rsidRPr="00A45BA4" w:rsidRDefault="00CD3CFE" w:rsidP="008137E7">
            <w:pPr>
              <w:jc w:val="both"/>
              <w:rPr>
                <w:rFonts w:ascii="Cambria" w:hAnsi="Cambria"/>
                <w:color w:val="000000"/>
                <w:lang w:eastAsia="fr-FR"/>
              </w:rPr>
            </w:pPr>
            <w:r w:rsidRPr="00A45BA4">
              <w:rPr>
                <w:rFonts w:ascii="Cambria" w:hAnsi="Cambria"/>
                <w:color w:val="000000"/>
                <w:lang w:eastAsia="fr-FR"/>
              </w:rPr>
              <w:t>L'installation de la fibre optique dans les logements de fonction</w:t>
            </w:r>
          </w:p>
        </w:tc>
        <w:tc>
          <w:tcPr>
            <w:tcW w:w="1980" w:type="dxa"/>
            <w:tcBorders>
              <w:top w:val="nil"/>
              <w:left w:val="nil"/>
              <w:bottom w:val="single" w:sz="4" w:space="0" w:color="auto"/>
              <w:right w:val="single" w:sz="4" w:space="0" w:color="auto"/>
            </w:tcBorders>
            <w:shd w:val="clear" w:color="auto" w:fill="auto"/>
            <w:vAlign w:val="center"/>
            <w:hideMark/>
          </w:tcPr>
          <w:p w14:paraId="2BF60161" w14:textId="77777777" w:rsidR="00CD3CFE" w:rsidRPr="00A45BA4" w:rsidRDefault="00CD3CFE" w:rsidP="008137E7">
            <w:pPr>
              <w:jc w:val="right"/>
              <w:rPr>
                <w:rFonts w:ascii="Cambria" w:hAnsi="Cambria"/>
                <w:color w:val="000000"/>
                <w:lang w:eastAsia="fr-FR"/>
              </w:rPr>
            </w:pPr>
            <w:r w:rsidRPr="00A45BA4">
              <w:rPr>
                <w:rFonts w:ascii="Cambria" w:hAnsi="Cambria"/>
                <w:color w:val="000000"/>
                <w:lang w:eastAsia="fr-FR"/>
              </w:rPr>
              <w:t>429 334</w:t>
            </w:r>
          </w:p>
        </w:tc>
      </w:tr>
      <w:tr w:rsidR="00CD3CFE" w:rsidRPr="00A45BA4" w14:paraId="2FD5F0B6" w14:textId="77777777" w:rsidTr="00781D6F">
        <w:trPr>
          <w:trHeight w:val="315"/>
          <w:jc w:val="center"/>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62824003" w14:textId="77777777" w:rsidR="00CD3CFE" w:rsidRPr="00A45BA4" w:rsidRDefault="00CD3CFE" w:rsidP="008137E7">
            <w:pPr>
              <w:jc w:val="center"/>
              <w:rPr>
                <w:rFonts w:ascii="Cambria" w:hAnsi="Cambria"/>
                <w:color w:val="000000"/>
                <w:lang w:eastAsia="fr-FR"/>
              </w:rPr>
            </w:pPr>
            <w:r w:rsidRPr="00A45BA4">
              <w:rPr>
                <w:rFonts w:ascii="Cambria" w:hAnsi="Cambria"/>
                <w:color w:val="000000"/>
                <w:lang w:eastAsia="fr-FR"/>
              </w:rPr>
              <w:t xml:space="preserve">Lycée polyvalent de </w:t>
            </w:r>
            <w:proofErr w:type="spellStart"/>
            <w:r w:rsidRPr="00A45BA4">
              <w:rPr>
                <w:rFonts w:ascii="Cambria" w:hAnsi="Cambria"/>
                <w:color w:val="000000"/>
                <w:lang w:eastAsia="fr-FR"/>
              </w:rPr>
              <w:t>Taravao</w:t>
            </w:r>
            <w:proofErr w:type="spellEnd"/>
          </w:p>
        </w:tc>
        <w:tc>
          <w:tcPr>
            <w:tcW w:w="4962" w:type="dxa"/>
            <w:tcBorders>
              <w:top w:val="nil"/>
              <w:left w:val="nil"/>
              <w:bottom w:val="single" w:sz="4" w:space="0" w:color="auto"/>
              <w:right w:val="single" w:sz="4" w:space="0" w:color="auto"/>
            </w:tcBorders>
            <w:shd w:val="clear" w:color="auto" w:fill="auto"/>
            <w:vAlign w:val="center"/>
            <w:hideMark/>
          </w:tcPr>
          <w:p w14:paraId="39DE9060" w14:textId="77777777" w:rsidR="00CD3CFE" w:rsidRPr="00A45BA4" w:rsidRDefault="00CD3CFE" w:rsidP="008137E7">
            <w:pPr>
              <w:jc w:val="both"/>
              <w:rPr>
                <w:rFonts w:ascii="Cambria" w:hAnsi="Cambria"/>
                <w:color w:val="000000"/>
                <w:lang w:eastAsia="fr-FR"/>
              </w:rPr>
            </w:pPr>
            <w:r w:rsidRPr="00A45BA4">
              <w:rPr>
                <w:rFonts w:ascii="Cambria" w:hAnsi="Cambria"/>
                <w:color w:val="000000"/>
                <w:lang w:eastAsia="fr-FR"/>
              </w:rPr>
              <w:t>La mise en conformité d'une partie des installations électriques</w:t>
            </w:r>
          </w:p>
        </w:tc>
        <w:tc>
          <w:tcPr>
            <w:tcW w:w="1980" w:type="dxa"/>
            <w:tcBorders>
              <w:top w:val="nil"/>
              <w:left w:val="nil"/>
              <w:bottom w:val="single" w:sz="4" w:space="0" w:color="auto"/>
              <w:right w:val="single" w:sz="4" w:space="0" w:color="auto"/>
            </w:tcBorders>
            <w:shd w:val="clear" w:color="auto" w:fill="auto"/>
            <w:vAlign w:val="center"/>
            <w:hideMark/>
          </w:tcPr>
          <w:p w14:paraId="2A55922F" w14:textId="77777777" w:rsidR="00CD3CFE" w:rsidRPr="00A45BA4" w:rsidRDefault="00CD3CFE" w:rsidP="008137E7">
            <w:pPr>
              <w:jc w:val="right"/>
              <w:rPr>
                <w:rFonts w:ascii="Cambria" w:hAnsi="Cambria"/>
                <w:color w:val="000000"/>
                <w:lang w:eastAsia="fr-FR"/>
              </w:rPr>
            </w:pPr>
            <w:r w:rsidRPr="00A45BA4">
              <w:rPr>
                <w:rFonts w:ascii="Cambria" w:hAnsi="Cambria"/>
                <w:color w:val="000000"/>
                <w:lang w:eastAsia="fr-FR"/>
              </w:rPr>
              <w:t>2 654 459</w:t>
            </w:r>
          </w:p>
        </w:tc>
      </w:tr>
      <w:tr w:rsidR="00CD3CFE" w:rsidRPr="00A45BA4" w14:paraId="2270B298" w14:textId="77777777" w:rsidTr="00781D6F">
        <w:trPr>
          <w:trHeight w:val="315"/>
          <w:jc w:val="center"/>
        </w:trPr>
        <w:tc>
          <w:tcPr>
            <w:tcW w:w="2263" w:type="dxa"/>
            <w:vMerge/>
            <w:tcBorders>
              <w:top w:val="nil"/>
              <w:left w:val="single" w:sz="4" w:space="0" w:color="auto"/>
              <w:bottom w:val="single" w:sz="4" w:space="0" w:color="auto"/>
              <w:right w:val="single" w:sz="4" w:space="0" w:color="auto"/>
            </w:tcBorders>
            <w:vAlign w:val="center"/>
            <w:hideMark/>
          </w:tcPr>
          <w:p w14:paraId="3D805594" w14:textId="77777777" w:rsidR="00CD3CFE" w:rsidRPr="00A45BA4" w:rsidRDefault="00CD3CFE" w:rsidP="008137E7">
            <w:pPr>
              <w:jc w:val="both"/>
              <w:rPr>
                <w:rFonts w:ascii="Cambria" w:hAnsi="Cambria"/>
                <w:color w:val="000000"/>
                <w:lang w:eastAsia="fr-FR"/>
              </w:rPr>
            </w:pPr>
          </w:p>
        </w:tc>
        <w:tc>
          <w:tcPr>
            <w:tcW w:w="4962" w:type="dxa"/>
            <w:tcBorders>
              <w:top w:val="nil"/>
              <w:left w:val="nil"/>
              <w:bottom w:val="single" w:sz="4" w:space="0" w:color="auto"/>
              <w:right w:val="single" w:sz="4" w:space="0" w:color="auto"/>
            </w:tcBorders>
            <w:shd w:val="clear" w:color="auto" w:fill="auto"/>
            <w:vAlign w:val="center"/>
            <w:hideMark/>
          </w:tcPr>
          <w:p w14:paraId="7F5FD1F9" w14:textId="77777777" w:rsidR="00CD3CFE" w:rsidRPr="00A45BA4" w:rsidRDefault="00CD3CFE" w:rsidP="008137E7">
            <w:pPr>
              <w:jc w:val="both"/>
              <w:rPr>
                <w:rFonts w:ascii="Cambria" w:hAnsi="Cambria"/>
                <w:color w:val="000000"/>
                <w:lang w:eastAsia="fr-FR"/>
              </w:rPr>
            </w:pPr>
            <w:r w:rsidRPr="00A45BA4">
              <w:rPr>
                <w:rFonts w:ascii="Cambria" w:hAnsi="Cambria"/>
                <w:color w:val="000000"/>
                <w:lang w:eastAsia="fr-FR"/>
              </w:rPr>
              <w:t>La mission de lutte contre le décrochage scolaire (MLDS)</w:t>
            </w:r>
          </w:p>
        </w:tc>
        <w:tc>
          <w:tcPr>
            <w:tcW w:w="1980" w:type="dxa"/>
            <w:tcBorders>
              <w:top w:val="nil"/>
              <w:left w:val="nil"/>
              <w:bottom w:val="single" w:sz="4" w:space="0" w:color="auto"/>
              <w:right w:val="single" w:sz="4" w:space="0" w:color="auto"/>
            </w:tcBorders>
            <w:shd w:val="clear" w:color="auto" w:fill="auto"/>
            <w:vAlign w:val="center"/>
            <w:hideMark/>
          </w:tcPr>
          <w:p w14:paraId="1A073B0A" w14:textId="77777777" w:rsidR="00CD3CFE" w:rsidRPr="00A45BA4" w:rsidRDefault="00CD3CFE" w:rsidP="008137E7">
            <w:pPr>
              <w:jc w:val="right"/>
              <w:rPr>
                <w:rFonts w:ascii="Cambria" w:hAnsi="Cambria"/>
                <w:color w:val="000000"/>
                <w:lang w:eastAsia="fr-FR"/>
              </w:rPr>
            </w:pPr>
            <w:r w:rsidRPr="00A45BA4">
              <w:rPr>
                <w:rFonts w:ascii="Cambria" w:hAnsi="Cambria"/>
                <w:color w:val="000000"/>
                <w:lang w:eastAsia="fr-FR"/>
              </w:rPr>
              <w:t>4 476 000</w:t>
            </w:r>
          </w:p>
        </w:tc>
      </w:tr>
    </w:tbl>
    <w:p w14:paraId="58804164" w14:textId="77777777" w:rsidR="00CD3CFE" w:rsidRPr="00A45BA4" w:rsidRDefault="00CD3CFE" w:rsidP="00CD3CFE">
      <w:pPr>
        <w:jc w:val="both"/>
        <w:rPr>
          <w:rFonts w:ascii="Cambria" w:hAnsi="Cambria"/>
        </w:rPr>
      </w:pPr>
    </w:p>
    <w:p w14:paraId="4B5980CE" w14:textId="77777777" w:rsidR="00CD3CFE" w:rsidRDefault="00CD3CFE" w:rsidP="00CD3CFE">
      <w:pPr>
        <w:jc w:val="both"/>
        <w:rPr>
          <w:rFonts w:ascii="Cambria" w:hAnsi="Cambria"/>
          <w:color w:val="191919"/>
          <w:shd w:val="clear" w:color="auto" w:fill="FFFFFF"/>
        </w:rPr>
      </w:pPr>
      <w:r w:rsidRPr="00A45BA4">
        <w:rPr>
          <w:rFonts w:ascii="Cambria" w:hAnsi="Cambria"/>
          <w:color w:val="191919"/>
          <w:shd w:val="clear" w:color="auto" w:fill="FFFFFF"/>
        </w:rPr>
        <w:t>Par ailleurs, le Conseil des ministres a également approuvé plusieurs subventions en faveur d’établissements publics d’enseignement de la Polynésie française pour financer les actions menées au titre du fonds social collégien et lycéen (FSCL) et ce pour les établissements suivants :</w:t>
      </w:r>
    </w:p>
    <w:p w14:paraId="43AF32C1" w14:textId="77777777" w:rsidR="00CD3CFE" w:rsidRPr="00A45BA4" w:rsidRDefault="00CD3CFE" w:rsidP="00CD3CFE">
      <w:pPr>
        <w:jc w:val="both"/>
        <w:rPr>
          <w:rFonts w:ascii="Cambria" w:hAnsi="Cambria"/>
        </w:rPr>
      </w:pPr>
    </w:p>
    <w:tbl>
      <w:tblPr>
        <w:tblW w:w="9209" w:type="dxa"/>
        <w:jc w:val="center"/>
        <w:tblCellMar>
          <w:left w:w="70" w:type="dxa"/>
          <w:right w:w="70" w:type="dxa"/>
        </w:tblCellMar>
        <w:tblLook w:val="04A0" w:firstRow="1" w:lastRow="0" w:firstColumn="1" w:lastColumn="0" w:noHBand="0" w:noVBand="1"/>
      </w:tblPr>
      <w:tblGrid>
        <w:gridCol w:w="6983"/>
        <w:gridCol w:w="2226"/>
      </w:tblGrid>
      <w:tr w:rsidR="00CD3CFE" w:rsidRPr="00A45BA4" w14:paraId="5AEABEF6" w14:textId="77777777" w:rsidTr="00781D6F">
        <w:trPr>
          <w:trHeight w:val="315"/>
          <w:jc w:val="center"/>
        </w:trPr>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B00BD" w14:textId="77777777" w:rsidR="00CD3CFE" w:rsidRPr="00A45BA4" w:rsidRDefault="00CD3CFE" w:rsidP="008137E7">
            <w:pPr>
              <w:jc w:val="center"/>
              <w:rPr>
                <w:rFonts w:ascii="Cambria" w:hAnsi="Cambria"/>
                <w:b/>
                <w:bCs/>
                <w:color w:val="000000"/>
                <w:lang w:eastAsia="fr-FR"/>
              </w:rPr>
            </w:pPr>
            <w:r w:rsidRPr="00A45BA4">
              <w:rPr>
                <w:rFonts w:ascii="Cambria" w:hAnsi="Cambria"/>
                <w:b/>
                <w:bCs/>
                <w:color w:val="000000"/>
                <w:lang w:eastAsia="fr-FR"/>
              </w:rPr>
              <w:t>Bénéficiaire</w:t>
            </w:r>
          </w:p>
        </w:tc>
        <w:tc>
          <w:tcPr>
            <w:tcW w:w="2226" w:type="dxa"/>
            <w:tcBorders>
              <w:top w:val="single" w:sz="4" w:space="0" w:color="auto"/>
              <w:left w:val="nil"/>
              <w:bottom w:val="single" w:sz="4" w:space="0" w:color="auto"/>
              <w:right w:val="single" w:sz="4" w:space="0" w:color="auto"/>
            </w:tcBorders>
            <w:shd w:val="clear" w:color="auto" w:fill="auto"/>
            <w:vAlign w:val="center"/>
            <w:hideMark/>
          </w:tcPr>
          <w:p w14:paraId="79981857" w14:textId="77777777" w:rsidR="00CD3CFE" w:rsidRPr="00A45BA4" w:rsidRDefault="00CD3CFE" w:rsidP="008137E7">
            <w:pPr>
              <w:jc w:val="center"/>
              <w:rPr>
                <w:rFonts w:ascii="Cambria" w:hAnsi="Cambria"/>
                <w:b/>
                <w:bCs/>
                <w:color w:val="000000"/>
                <w:lang w:eastAsia="fr-FR"/>
              </w:rPr>
            </w:pPr>
            <w:r w:rsidRPr="00A45BA4">
              <w:rPr>
                <w:rFonts w:ascii="Cambria" w:hAnsi="Cambria"/>
                <w:b/>
                <w:bCs/>
                <w:color w:val="000000"/>
                <w:lang w:eastAsia="fr-FR"/>
              </w:rPr>
              <w:t xml:space="preserve">Montant en </w:t>
            </w:r>
            <w:proofErr w:type="spellStart"/>
            <w:r w:rsidRPr="00A45BA4">
              <w:rPr>
                <w:rFonts w:ascii="Cambria" w:hAnsi="Cambria"/>
                <w:b/>
                <w:bCs/>
                <w:color w:val="000000"/>
                <w:lang w:eastAsia="fr-FR"/>
              </w:rPr>
              <w:t>Fcfp</w:t>
            </w:r>
            <w:proofErr w:type="spellEnd"/>
          </w:p>
        </w:tc>
      </w:tr>
      <w:tr w:rsidR="00CD3CFE" w:rsidRPr="00A45BA4" w14:paraId="66BC3ED4" w14:textId="77777777" w:rsidTr="00781D6F">
        <w:trPr>
          <w:trHeight w:val="315"/>
          <w:jc w:val="center"/>
        </w:trPr>
        <w:tc>
          <w:tcPr>
            <w:tcW w:w="6983" w:type="dxa"/>
            <w:tcBorders>
              <w:top w:val="nil"/>
              <w:left w:val="single" w:sz="4" w:space="0" w:color="auto"/>
              <w:bottom w:val="single" w:sz="4" w:space="0" w:color="auto"/>
              <w:right w:val="single" w:sz="4" w:space="0" w:color="auto"/>
            </w:tcBorders>
            <w:shd w:val="clear" w:color="auto" w:fill="auto"/>
            <w:vAlign w:val="center"/>
            <w:hideMark/>
          </w:tcPr>
          <w:p w14:paraId="7AACB8DB" w14:textId="77777777" w:rsidR="00CD3CFE" w:rsidRPr="00A45BA4" w:rsidRDefault="00CD3CFE" w:rsidP="00781D6F">
            <w:pPr>
              <w:jc w:val="center"/>
              <w:rPr>
                <w:rFonts w:ascii="Cambria" w:hAnsi="Cambria"/>
                <w:color w:val="000000"/>
                <w:lang w:eastAsia="fr-FR"/>
              </w:rPr>
            </w:pPr>
            <w:r w:rsidRPr="00A45BA4">
              <w:rPr>
                <w:rFonts w:ascii="Cambria" w:hAnsi="Cambria"/>
                <w:color w:val="000000"/>
                <w:lang w:eastAsia="fr-FR"/>
              </w:rPr>
              <w:t>Collège de Fare - Huahine</w:t>
            </w:r>
          </w:p>
        </w:tc>
        <w:tc>
          <w:tcPr>
            <w:tcW w:w="2226" w:type="dxa"/>
            <w:tcBorders>
              <w:top w:val="nil"/>
              <w:left w:val="nil"/>
              <w:bottom w:val="single" w:sz="4" w:space="0" w:color="auto"/>
              <w:right w:val="single" w:sz="4" w:space="0" w:color="auto"/>
            </w:tcBorders>
            <w:shd w:val="clear" w:color="auto" w:fill="auto"/>
            <w:vAlign w:val="center"/>
            <w:hideMark/>
          </w:tcPr>
          <w:p w14:paraId="4F3CB36D" w14:textId="77777777" w:rsidR="00CD3CFE" w:rsidRPr="00A45BA4" w:rsidRDefault="00CD3CFE" w:rsidP="008137E7">
            <w:pPr>
              <w:jc w:val="center"/>
              <w:rPr>
                <w:rFonts w:ascii="Cambria" w:hAnsi="Cambria"/>
                <w:color w:val="000000"/>
                <w:lang w:eastAsia="fr-FR"/>
              </w:rPr>
            </w:pPr>
            <w:r w:rsidRPr="00A45BA4">
              <w:rPr>
                <w:rFonts w:ascii="Cambria" w:hAnsi="Cambria"/>
                <w:color w:val="000000"/>
                <w:lang w:eastAsia="fr-FR"/>
              </w:rPr>
              <w:t>4 051 400</w:t>
            </w:r>
          </w:p>
        </w:tc>
      </w:tr>
      <w:tr w:rsidR="00CD3CFE" w:rsidRPr="00A45BA4" w14:paraId="7214E27F" w14:textId="77777777" w:rsidTr="00781D6F">
        <w:trPr>
          <w:trHeight w:val="315"/>
          <w:jc w:val="center"/>
        </w:trPr>
        <w:tc>
          <w:tcPr>
            <w:tcW w:w="6983" w:type="dxa"/>
            <w:tcBorders>
              <w:top w:val="nil"/>
              <w:left w:val="single" w:sz="4" w:space="0" w:color="auto"/>
              <w:bottom w:val="single" w:sz="4" w:space="0" w:color="auto"/>
              <w:right w:val="single" w:sz="4" w:space="0" w:color="auto"/>
            </w:tcBorders>
            <w:shd w:val="clear" w:color="auto" w:fill="auto"/>
            <w:vAlign w:val="center"/>
            <w:hideMark/>
          </w:tcPr>
          <w:p w14:paraId="5EC329E0" w14:textId="77777777" w:rsidR="00CD3CFE" w:rsidRPr="00A45BA4" w:rsidRDefault="00CD3CFE" w:rsidP="00781D6F">
            <w:pPr>
              <w:jc w:val="center"/>
              <w:rPr>
                <w:rFonts w:ascii="Cambria" w:hAnsi="Cambria"/>
                <w:color w:val="000000"/>
                <w:lang w:eastAsia="fr-FR"/>
              </w:rPr>
            </w:pPr>
            <w:r w:rsidRPr="00A45BA4">
              <w:rPr>
                <w:rFonts w:ascii="Cambria" w:hAnsi="Cambria"/>
                <w:color w:val="000000"/>
                <w:lang w:eastAsia="fr-FR"/>
              </w:rPr>
              <w:t xml:space="preserve">Collège </w:t>
            </w:r>
            <w:proofErr w:type="spellStart"/>
            <w:r w:rsidRPr="00A45BA4">
              <w:rPr>
                <w:rFonts w:ascii="Cambria" w:hAnsi="Cambria"/>
                <w:color w:val="000000"/>
                <w:lang w:eastAsia="fr-FR"/>
              </w:rPr>
              <w:t>Maco-Tevane</w:t>
            </w:r>
            <w:proofErr w:type="spellEnd"/>
          </w:p>
        </w:tc>
        <w:tc>
          <w:tcPr>
            <w:tcW w:w="2226" w:type="dxa"/>
            <w:tcBorders>
              <w:top w:val="nil"/>
              <w:left w:val="nil"/>
              <w:bottom w:val="single" w:sz="4" w:space="0" w:color="auto"/>
              <w:right w:val="single" w:sz="4" w:space="0" w:color="auto"/>
            </w:tcBorders>
            <w:shd w:val="clear" w:color="auto" w:fill="auto"/>
            <w:vAlign w:val="center"/>
            <w:hideMark/>
          </w:tcPr>
          <w:p w14:paraId="002A4E92" w14:textId="77777777" w:rsidR="00CD3CFE" w:rsidRPr="00A45BA4" w:rsidRDefault="00CD3CFE" w:rsidP="008137E7">
            <w:pPr>
              <w:jc w:val="center"/>
              <w:rPr>
                <w:rFonts w:ascii="Cambria" w:hAnsi="Cambria"/>
                <w:color w:val="000000"/>
                <w:lang w:eastAsia="fr-FR"/>
              </w:rPr>
            </w:pPr>
            <w:r w:rsidRPr="00A45BA4">
              <w:rPr>
                <w:rFonts w:ascii="Cambria" w:hAnsi="Cambria"/>
                <w:color w:val="000000"/>
                <w:lang w:eastAsia="fr-FR"/>
              </w:rPr>
              <w:t>5 606 800</w:t>
            </w:r>
          </w:p>
        </w:tc>
      </w:tr>
      <w:tr w:rsidR="00CD3CFE" w:rsidRPr="00A45BA4" w14:paraId="03DE3187" w14:textId="77777777" w:rsidTr="00781D6F">
        <w:trPr>
          <w:trHeight w:val="315"/>
          <w:jc w:val="center"/>
        </w:trPr>
        <w:tc>
          <w:tcPr>
            <w:tcW w:w="6983" w:type="dxa"/>
            <w:tcBorders>
              <w:top w:val="nil"/>
              <w:left w:val="single" w:sz="4" w:space="0" w:color="auto"/>
              <w:bottom w:val="single" w:sz="4" w:space="0" w:color="auto"/>
              <w:right w:val="single" w:sz="4" w:space="0" w:color="auto"/>
            </w:tcBorders>
            <w:shd w:val="clear" w:color="auto" w:fill="auto"/>
            <w:vAlign w:val="center"/>
            <w:hideMark/>
          </w:tcPr>
          <w:p w14:paraId="26420977" w14:textId="77777777" w:rsidR="00CD3CFE" w:rsidRPr="00A45BA4" w:rsidRDefault="00CD3CFE" w:rsidP="00781D6F">
            <w:pPr>
              <w:jc w:val="center"/>
              <w:rPr>
                <w:rFonts w:ascii="Cambria" w:hAnsi="Cambria"/>
                <w:color w:val="000000"/>
                <w:lang w:eastAsia="fr-FR"/>
              </w:rPr>
            </w:pPr>
            <w:r w:rsidRPr="00A45BA4">
              <w:rPr>
                <w:rFonts w:ascii="Cambria" w:hAnsi="Cambria"/>
                <w:color w:val="000000"/>
                <w:lang w:eastAsia="fr-FR"/>
              </w:rPr>
              <w:t xml:space="preserve">Collège de </w:t>
            </w:r>
            <w:proofErr w:type="spellStart"/>
            <w:r w:rsidRPr="00A45BA4">
              <w:rPr>
                <w:rFonts w:ascii="Cambria" w:hAnsi="Cambria"/>
                <w:color w:val="000000"/>
                <w:lang w:eastAsia="fr-FR"/>
              </w:rPr>
              <w:t>Paopao</w:t>
            </w:r>
            <w:proofErr w:type="spellEnd"/>
            <w:r w:rsidRPr="00A45BA4">
              <w:rPr>
                <w:rFonts w:ascii="Cambria" w:hAnsi="Cambria"/>
                <w:color w:val="000000"/>
                <w:lang w:eastAsia="fr-FR"/>
              </w:rPr>
              <w:t xml:space="preserve"> - Moorea</w:t>
            </w:r>
          </w:p>
        </w:tc>
        <w:tc>
          <w:tcPr>
            <w:tcW w:w="2226" w:type="dxa"/>
            <w:tcBorders>
              <w:top w:val="nil"/>
              <w:left w:val="nil"/>
              <w:bottom w:val="single" w:sz="4" w:space="0" w:color="auto"/>
              <w:right w:val="single" w:sz="4" w:space="0" w:color="auto"/>
            </w:tcBorders>
            <w:shd w:val="clear" w:color="auto" w:fill="auto"/>
            <w:vAlign w:val="center"/>
            <w:hideMark/>
          </w:tcPr>
          <w:p w14:paraId="4E71EEAD" w14:textId="77777777" w:rsidR="00CD3CFE" w:rsidRPr="00A45BA4" w:rsidRDefault="00CD3CFE" w:rsidP="008137E7">
            <w:pPr>
              <w:jc w:val="center"/>
              <w:rPr>
                <w:rFonts w:ascii="Cambria" w:hAnsi="Cambria"/>
                <w:color w:val="000000"/>
                <w:lang w:eastAsia="fr-FR"/>
              </w:rPr>
            </w:pPr>
            <w:r w:rsidRPr="00A45BA4">
              <w:rPr>
                <w:rFonts w:ascii="Cambria" w:hAnsi="Cambria"/>
                <w:color w:val="000000"/>
                <w:lang w:eastAsia="fr-FR"/>
              </w:rPr>
              <w:t>3 352 500</w:t>
            </w:r>
          </w:p>
        </w:tc>
      </w:tr>
      <w:tr w:rsidR="00CD3CFE" w:rsidRPr="00A45BA4" w14:paraId="62933CD3" w14:textId="77777777" w:rsidTr="00781D6F">
        <w:trPr>
          <w:trHeight w:val="315"/>
          <w:jc w:val="center"/>
        </w:trPr>
        <w:tc>
          <w:tcPr>
            <w:tcW w:w="6983" w:type="dxa"/>
            <w:tcBorders>
              <w:top w:val="nil"/>
              <w:left w:val="single" w:sz="4" w:space="0" w:color="auto"/>
              <w:bottom w:val="single" w:sz="4" w:space="0" w:color="auto"/>
              <w:right w:val="single" w:sz="4" w:space="0" w:color="auto"/>
            </w:tcBorders>
            <w:shd w:val="clear" w:color="auto" w:fill="auto"/>
            <w:vAlign w:val="center"/>
            <w:hideMark/>
          </w:tcPr>
          <w:p w14:paraId="7E1EB0E0" w14:textId="77777777" w:rsidR="00CD3CFE" w:rsidRPr="00A45BA4" w:rsidRDefault="00CD3CFE" w:rsidP="00781D6F">
            <w:pPr>
              <w:jc w:val="center"/>
              <w:rPr>
                <w:rFonts w:ascii="Cambria" w:hAnsi="Cambria"/>
                <w:color w:val="000000"/>
                <w:lang w:eastAsia="fr-FR"/>
              </w:rPr>
            </w:pPr>
            <w:r w:rsidRPr="00A45BA4">
              <w:rPr>
                <w:rFonts w:ascii="Cambria" w:hAnsi="Cambria"/>
                <w:color w:val="000000"/>
                <w:lang w:eastAsia="fr-FR"/>
              </w:rPr>
              <w:t xml:space="preserve">Collège de </w:t>
            </w:r>
            <w:proofErr w:type="spellStart"/>
            <w:r w:rsidRPr="00A45BA4">
              <w:rPr>
                <w:rFonts w:ascii="Cambria" w:hAnsi="Cambria"/>
                <w:color w:val="000000"/>
                <w:lang w:eastAsia="fr-FR"/>
              </w:rPr>
              <w:t>Papara</w:t>
            </w:r>
            <w:proofErr w:type="spellEnd"/>
          </w:p>
        </w:tc>
        <w:tc>
          <w:tcPr>
            <w:tcW w:w="2226" w:type="dxa"/>
            <w:tcBorders>
              <w:top w:val="nil"/>
              <w:left w:val="nil"/>
              <w:bottom w:val="single" w:sz="4" w:space="0" w:color="auto"/>
              <w:right w:val="single" w:sz="4" w:space="0" w:color="auto"/>
            </w:tcBorders>
            <w:shd w:val="clear" w:color="auto" w:fill="auto"/>
            <w:vAlign w:val="center"/>
            <w:hideMark/>
          </w:tcPr>
          <w:p w14:paraId="7A748159" w14:textId="77777777" w:rsidR="00CD3CFE" w:rsidRPr="00A45BA4" w:rsidRDefault="00CD3CFE" w:rsidP="008137E7">
            <w:pPr>
              <w:jc w:val="center"/>
              <w:rPr>
                <w:rFonts w:ascii="Cambria" w:hAnsi="Cambria"/>
                <w:color w:val="000000"/>
                <w:lang w:eastAsia="fr-FR"/>
              </w:rPr>
            </w:pPr>
            <w:r w:rsidRPr="00A45BA4">
              <w:rPr>
                <w:rFonts w:ascii="Cambria" w:hAnsi="Cambria"/>
                <w:color w:val="000000"/>
                <w:lang w:eastAsia="fr-FR"/>
              </w:rPr>
              <w:t>5 391 600</w:t>
            </w:r>
          </w:p>
        </w:tc>
      </w:tr>
      <w:tr w:rsidR="00CD3CFE" w:rsidRPr="00A45BA4" w14:paraId="30788850" w14:textId="77777777" w:rsidTr="00781D6F">
        <w:trPr>
          <w:trHeight w:val="315"/>
          <w:jc w:val="center"/>
        </w:trPr>
        <w:tc>
          <w:tcPr>
            <w:tcW w:w="6983" w:type="dxa"/>
            <w:tcBorders>
              <w:top w:val="nil"/>
              <w:left w:val="single" w:sz="4" w:space="0" w:color="auto"/>
              <w:bottom w:val="single" w:sz="4" w:space="0" w:color="auto"/>
              <w:right w:val="single" w:sz="4" w:space="0" w:color="auto"/>
            </w:tcBorders>
            <w:shd w:val="clear" w:color="auto" w:fill="auto"/>
            <w:vAlign w:val="center"/>
            <w:hideMark/>
          </w:tcPr>
          <w:p w14:paraId="4591507B" w14:textId="77777777" w:rsidR="00CD3CFE" w:rsidRPr="00A45BA4" w:rsidRDefault="00CD3CFE" w:rsidP="00781D6F">
            <w:pPr>
              <w:jc w:val="center"/>
              <w:rPr>
                <w:rFonts w:ascii="Cambria" w:hAnsi="Cambria"/>
                <w:color w:val="000000"/>
                <w:lang w:eastAsia="fr-FR"/>
              </w:rPr>
            </w:pPr>
            <w:r w:rsidRPr="00A45BA4">
              <w:rPr>
                <w:rFonts w:ascii="Cambria" w:hAnsi="Cambria"/>
                <w:color w:val="000000"/>
                <w:lang w:eastAsia="fr-FR"/>
              </w:rPr>
              <w:t xml:space="preserve">Collège du </w:t>
            </w:r>
            <w:proofErr w:type="spellStart"/>
            <w:r w:rsidRPr="00A45BA4">
              <w:rPr>
                <w:rFonts w:ascii="Cambria" w:hAnsi="Cambria"/>
                <w:color w:val="000000"/>
                <w:lang w:eastAsia="fr-FR"/>
              </w:rPr>
              <w:t>Taaone</w:t>
            </w:r>
            <w:proofErr w:type="spellEnd"/>
            <w:r w:rsidRPr="00A45BA4">
              <w:rPr>
                <w:rFonts w:ascii="Cambria" w:hAnsi="Cambria"/>
                <w:color w:val="000000"/>
                <w:lang w:eastAsia="fr-FR"/>
              </w:rPr>
              <w:t xml:space="preserve"> - Pirae</w:t>
            </w:r>
          </w:p>
        </w:tc>
        <w:tc>
          <w:tcPr>
            <w:tcW w:w="2226" w:type="dxa"/>
            <w:tcBorders>
              <w:top w:val="nil"/>
              <w:left w:val="nil"/>
              <w:bottom w:val="single" w:sz="4" w:space="0" w:color="auto"/>
              <w:right w:val="single" w:sz="4" w:space="0" w:color="auto"/>
            </w:tcBorders>
            <w:shd w:val="clear" w:color="auto" w:fill="auto"/>
            <w:vAlign w:val="center"/>
            <w:hideMark/>
          </w:tcPr>
          <w:p w14:paraId="72C952C0" w14:textId="77777777" w:rsidR="00CD3CFE" w:rsidRPr="00A45BA4" w:rsidRDefault="00CD3CFE" w:rsidP="008137E7">
            <w:pPr>
              <w:jc w:val="center"/>
              <w:rPr>
                <w:rFonts w:ascii="Cambria" w:hAnsi="Cambria"/>
                <w:color w:val="000000"/>
                <w:lang w:eastAsia="fr-FR"/>
              </w:rPr>
            </w:pPr>
            <w:r w:rsidRPr="00A45BA4">
              <w:rPr>
                <w:rFonts w:ascii="Cambria" w:hAnsi="Cambria"/>
                <w:color w:val="000000"/>
                <w:lang w:eastAsia="fr-FR"/>
              </w:rPr>
              <w:t>3 500 400</w:t>
            </w:r>
          </w:p>
        </w:tc>
      </w:tr>
      <w:tr w:rsidR="00CD3CFE" w:rsidRPr="00A45BA4" w14:paraId="2CF92093" w14:textId="77777777" w:rsidTr="00781D6F">
        <w:trPr>
          <w:trHeight w:val="315"/>
          <w:jc w:val="center"/>
        </w:trPr>
        <w:tc>
          <w:tcPr>
            <w:tcW w:w="6983" w:type="dxa"/>
            <w:tcBorders>
              <w:top w:val="nil"/>
              <w:left w:val="single" w:sz="4" w:space="0" w:color="auto"/>
              <w:bottom w:val="single" w:sz="4" w:space="0" w:color="auto"/>
              <w:right w:val="single" w:sz="4" w:space="0" w:color="auto"/>
            </w:tcBorders>
            <w:shd w:val="clear" w:color="auto" w:fill="auto"/>
            <w:vAlign w:val="center"/>
            <w:hideMark/>
          </w:tcPr>
          <w:p w14:paraId="1B122295" w14:textId="77777777" w:rsidR="00CD3CFE" w:rsidRPr="00A45BA4" w:rsidRDefault="00CD3CFE" w:rsidP="00781D6F">
            <w:pPr>
              <w:jc w:val="center"/>
              <w:rPr>
                <w:rFonts w:ascii="Cambria" w:hAnsi="Cambria"/>
                <w:color w:val="000000"/>
                <w:lang w:eastAsia="fr-FR"/>
              </w:rPr>
            </w:pPr>
            <w:r w:rsidRPr="00A45BA4">
              <w:rPr>
                <w:rFonts w:ascii="Cambria" w:hAnsi="Cambria"/>
                <w:color w:val="000000"/>
                <w:lang w:eastAsia="fr-FR"/>
              </w:rPr>
              <w:t xml:space="preserve">Collège de </w:t>
            </w:r>
            <w:proofErr w:type="spellStart"/>
            <w:r w:rsidRPr="00A45BA4">
              <w:rPr>
                <w:rFonts w:ascii="Cambria" w:hAnsi="Cambria"/>
                <w:color w:val="000000"/>
                <w:lang w:eastAsia="fr-FR"/>
              </w:rPr>
              <w:t>Taravao</w:t>
            </w:r>
            <w:proofErr w:type="spellEnd"/>
          </w:p>
        </w:tc>
        <w:tc>
          <w:tcPr>
            <w:tcW w:w="2226" w:type="dxa"/>
            <w:tcBorders>
              <w:top w:val="nil"/>
              <w:left w:val="nil"/>
              <w:bottom w:val="single" w:sz="4" w:space="0" w:color="auto"/>
              <w:right w:val="single" w:sz="4" w:space="0" w:color="auto"/>
            </w:tcBorders>
            <w:shd w:val="clear" w:color="auto" w:fill="auto"/>
            <w:vAlign w:val="center"/>
            <w:hideMark/>
          </w:tcPr>
          <w:p w14:paraId="21C5667A" w14:textId="77777777" w:rsidR="00CD3CFE" w:rsidRPr="00A45BA4" w:rsidRDefault="00CD3CFE" w:rsidP="008137E7">
            <w:pPr>
              <w:jc w:val="center"/>
              <w:rPr>
                <w:rFonts w:ascii="Cambria" w:hAnsi="Cambria"/>
                <w:color w:val="000000"/>
                <w:lang w:eastAsia="fr-FR"/>
              </w:rPr>
            </w:pPr>
            <w:r w:rsidRPr="00A45BA4">
              <w:rPr>
                <w:rFonts w:ascii="Cambria" w:hAnsi="Cambria"/>
                <w:color w:val="000000"/>
                <w:lang w:eastAsia="fr-FR"/>
              </w:rPr>
              <w:t>4 136 400</w:t>
            </w:r>
          </w:p>
        </w:tc>
      </w:tr>
      <w:tr w:rsidR="00CD3CFE" w:rsidRPr="00A45BA4" w14:paraId="54750A4D" w14:textId="77777777" w:rsidTr="00781D6F">
        <w:trPr>
          <w:trHeight w:val="315"/>
          <w:jc w:val="center"/>
        </w:trPr>
        <w:tc>
          <w:tcPr>
            <w:tcW w:w="6983" w:type="dxa"/>
            <w:tcBorders>
              <w:top w:val="nil"/>
              <w:left w:val="single" w:sz="4" w:space="0" w:color="auto"/>
              <w:bottom w:val="single" w:sz="4" w:space="0" w:color="auto"/>
              <w:right w:val="single" w:sz="4" w:space="0" w:color="auto"/>
            </w:tcBorders>
            <w:shd w:val="clear" w:color="auto" w:fill="auto"/>
            <w:vAlign w:val="center"/>
            <w:hideMark/>
          </w:tcPr>
          <w:p w14:paraId="6C638177" w14:textId="77777777" w:rsidR="00CD3CFE" w:rsidRPr="00A45BA4" w:rsidRDefault="00CD3CFE" w:rsidP="00781D6F">
            <w:pPr>
              <w:jc w:val="center"/>
              <w:rPr>
                <w:rFonts w:ascii="Cambria" w:hAnsi="Cambria"/>
                <w:color w:val="000000"/>
                <w:lang w:eastAsia="fr-FR"/>
              </w:rPr>
            </w:pPr>
            <w:r w:rsidRPr="00A45BA4">
              <w:rPr>
                <w:rFonts w:ascii="Cambria" w:hAnsi="Cambria"/>
                <w:color w:val="000000"/>
                <w:lang w:eastAsia="fr-FR"/>
              </w:rPr>
              <w:t xml:space="preserve">Collège </w:t>
            </w:r>
            <w:proofErr w:type="spellStart"/>
            <w:r w:rsidRPr="00A45BA4">
              <w:rPr>
                <w:rFonts w:ascii="Cambria" w:hAnsi="Cambria"/>
                <w:color w:val="000000"/>
                <w:lang w:eastAsia="fr-FR"/>
              </w:rPr>
              <w:t>Tinomana</w:t>
            </w:r>
            <w:proofErr w:type="spellEnd"/>
            <w:r w:rsidRPr="00A45BA4">
              <w:rPr>
                <w:rFonts w:ascii="Cambria" w:hAnsi="Cambria"/>
                <w:color w:val="000000"/>
                <w:lang w:eastAsia="fr-FR"/>
              </w:rPr>
              <w:t xml:space="preserve"> </w:t>
            </w:r>
            <w:proofErr w:type="spellStart"/>
            <w:r w:rsidRPr="00A45BA4">
              <w:rPr>
                <w:rFonts w:ascii="Cambria" w:hAnsi="Cambria"/>
                <w:color w:val="000000"/>
                <w:lang w:eastAsia="fr-FR"/>
              </w:rPr>
              <w:t>Ebb</w:t>
            </w:r>
            <w:proofErr w:type="spellEnd"/>
            <w:r w:rsidRPr="00A45BA4">
              <w:rPr>
                <w:rFonts w:ascii="Cambria" w:hAnsi="Cambria"/>
                <w:color w:val="000000"/>
                <w:lang w:eastAsia="fr-FR"/>
              </w:rPr>
              <w:t xml:space="preserve"> de </w:t>
            </w:r>
            <w:proofErr w:type="spellStart"/>
            <w:r w:rsidRPr="00A45BA4">
              <w:rPr>
                <w:rFonts w:ascii="Cambria" w:hAnsi="Cambria"/>
                <w:color w:val="000000"/>
                <w:lang w:eastAsia="fr-FR"/>
              </w:rPr>
              <w:t>Teva</w:t>
            </w:r>
            <w:proofErr w:type="spellEnd"/>
            <w:r w:rsidRPr="00A45BA4">
              <w:rPr>
                <w:rFonts w:ascii="Cambria" w:hAnsi="Cambria"/>
                <w:color w:val="000000"/>
                <w:lang w:eastAsia="fr-FR"/>
              </w:rPr>
              <w:t xml:space="preserve"> I Uta</w:t>
            </w:r>
          </w:p>
        </w:tc>
        <w:tc>
          <w:tcPr>
            <w:tcW w:w="2226" w:type="dxa"/>
            <w:tcBorders>
              <w:top w:val="nil"/>
              <w:left w:val="nil"/>
              <w:bottom w:val="single" w:sz="4" w:space="0" w:color="auto"/>
              <w:right w:val="single" w:sz="4" w:space="0" w:color="auto"/>
            </w:tcBorders>
            <w:shd w:val="clear" w:color="auto" w:fill="auto"/>
            <w:vAlign w:val="center"/>
            <w:hideMark/>
          </w:tcPr>
          <w:p w14:paraId="406A98CF" w14:textId="77777777" w:rsidR="00CD3CFE" w:rsidRPr="00A45BA4" w:rsidRDefault="00CD3CFE" w:rsidP="008137E7">
            <w:pPr>
              <w:jc w:val="center"/>
              <w:rPr>
                <w:rFonts w:ascii="Cambria" w:hAnsi="Cambria"/>
                <w:color w:val="000000"/>
                <w:lang w:eastAsia="fr-FR"/>
              </w:rPr>
            </w:pPr>
            <w:r w:rsidRPr="00A45BA4">
              <w:rPr>
                <w:rFonts w:ascii="Cambria" w:hAnsi="Cambria"/>
                <w:color w:val="000000"/>
                <w:lang w:eastAsia="fr-FR"/>
              </w:rPr>
              <w:t>3 179 700</w:t>
            </w:r>
          </w:p>
        </w:tc>
      </w:tr>
      <w:tr w:rsidR="00CD3CFE" w:rsidRPr="00A45BA4" w14:paraId="3B073C53" w14:textId="77777777" w:rsidTr="00781D6F">
        <w:trPr>
          <w:trHeight w:val="315"/>
          <w:jc w:val="center"/>
        </w:trPr>
        <w:tc>
          <w:tcPr>
            <w:tcW w:w="6983" w:type="dxa"/>
            <w:tcBorders>
              <w:top w:val="nil"/>
              <w:left w:val="single" w:sz="4" w:space="0" w:color="auto"/>
              <w:bottom w:val="single" w:sz="4" w:space="0" w:color="auto"/>
              <w:right w:val="single" w:sz="4" w:space="0" w:color="auto"/>
            </w:tcBorders>
            <w:shd w:val="clear" w:color="auto" w:fill="auto"/>
            <w:vAlign w:val="center"/>
            <w:hideMark/>
          </w:tcPr>
          <w:p w14:paraId="2919024B" w14:textId="77777777" w:rsidR="00CD3CFE" w:rsidRPr="00A45BA4" w:rsidRDefault="00CD3CFE" w:rsidP="00781D6F">
            <w:pPr>
              <w:jc w:val="center"/>
              <w:rPr>
                <w:rFonts w:ascii="Cambria" w:hAnsi="Cambria"/>
                <w:color w:val="000000"/>
                <w:lang w:eastAsia="fr-FR"/>
              </w:rPr>
            </w:pPr>
            <w:r w:rsidRPr="00A45BA4">
              <w:rPr>
                <w:rFonts w:ascii="Cambria" w:hAnsi="Cambria"/>
                <w:color w:val="000000"/>
                <w:lang w:eastAsia="fr-FR"/>
              </w:rPr>
              <w:t xml:space="preserve">Collège de </w:t>
            </w:r>
            <w:proofErr w:type="spellStart"/>
            <w:r w:rsidRPr="00A45BA4">
              <w:rPr>
                <w:rFonts w:ascii="Cambria" w:hAnsi="Cambria"/>
                <w:color w:val="000000"/>
                <w:lang w:eastAsia="fr-FR"/>
              </w:rPr>
              <w:t>Hakahau</w:t>
            </w:r>
            <w:proofErr w:type="spellEnd"/>
            <w:r w:rsidRPr="00A45BA4">
              <w:rPr>
                <w:rFonts w:ascii="Cambria" w:hAnsi="Cambria"/>
                <w:color w:val="000000"/>
                <w:lang w:eastAsia="fr-FR"/>
              </w:rPr>
              <w:t xml:space="preserve"> - </w:t>
            </w:r>
            <w:proofErr w:type="spellStart"/>
            <w:r w:rsidRPr="00A45BA4">
              <w:rPr>
                <w:rFonts w:ascii="Cambria" w:hAnsi="Cambria"/>
                <w:color w:val="000000"/>
                <w:lang w:eastAsia="fr-FR"/>
              </w:rPr>
              <w:t>Ua</w:t>
            </w:r>
            <w:proofErr w:type="spellEnd"/>
            <w:r w:rsidRPr="00A45BA4">
              <w:rPr>
                <w:rFonts w:ascii="Cambria" w:hAnsi="Cambria"/>
                <w:color w:val="000000"/>
                <w:lang w:eastAsia="fr-FR"/>
              </w:rPr>
              <w:t xml:space="preserve"> Pou</w:t>
            </w:r>
          </w:p>
        </w:tc>
        <w:tc>
          <w:tcPr>
            <w:tcW w:w="2226" w:type="dxa"/>
            <w:tcBorders>
              <w:top w:val="nil"/>
              <w:left w:val="nil"/>
              <w:bottom w:val="single" w:sz="4" w:space="0" w:color="auto"/>
              <w:right w:val="single" w:sz="4" w:space="0" w:color="auto"/>
            </w:tcBorders>
            <w:shd w:val="clear" w:color="auto" w:fill="auto"/>
            <w:vAlign w:val="center"/>
            <w:hideMark/>
          </w:tcPr>
          <w:p w14:paraId="3F79B450" w14:textId="77777777" w:rsidR="00CD3CFE" w:rsidRPr="00A45BA4" w:rsidRDefault="00CD3CFE" w:rsidP="008137E7">
            <w:pPr>
              <w:jc w:val="center"/>
              <w:rPr>
                <w:rFonts w:ascii="Cambria" w:hAnsi="Cambria"/>
                <w:color w:val="000000"/>
                <w:lang w:eastAsia="fr-FR"/>
              </w:rPr>
            </w:pPr>
            <w:r w:rsidRPr="00A45BA4">
              <w:rPr>
                <w:rFonts w:ascii="Cambria" w:hAnsi="Cambria"/>
                <w:color w:val="000000"/>
                <w:lang w:eastAsia="fr-FR"/>
              </w:rPr>
              <w:t>4 279 000</w:t>
            </w:r>
          </w:p>
        </w:tc>
      </w:tr>
      <w:tr w:rsidR="00CD3CFE" w:rsidRPr="00A45BA4" w14:paraId="4264CDF7" w14:textId="77777777" w:rsidTr="00781D6F">
        <w:trPr>
          <w:trHeight w:val="315"/>
          <w:jc w:val="center"/>
        </w:trPr>
        <w:tc>
          <w:tcPr>
            <w:tcW w:w="6983" w:type="dxa"/>
            <w:tcBorders>
              <w:top w:val="nil"/>
              <w:left w:val="single" w:sz="4" w:space="0" w:color="auto"/>
              <w:bottom w:val="single" w:sz="4" w:space="0" w:color="auto"/>
              <w:right w:val="single" w:sz="4" w:space="0" w:color="auto"/>
            </w:tcBorders>
            <w:shd w:val="clear" w:color="auto" w:fill="auto"/>
            <w:vAlign w:val="center"/>
            <w:hideMark/>
          </w:tcPr>
          <w:p w14:paraId="1FA21F23" w14:textId="77777777" w:rsidR="00CD3CFE" w:rsidRPr="00A45BA4" w:rsidRDefault="00CD3CFE" w:rsidP="00781D6F">
            <w:pPr>
              <w:jc w:val="center"/>
              <w:rPr>
                <w:rFonts w:ascii="Cambria" w:hAnsi="Cambria"/>
                <w:color w:val="000000"/>
                <w:lang w:eastAsia="fr-FR"/>
              </w:rPr>
            </w:pPr>
            <w:r w:rsidRPr="00A45BA4">
              <w:rPr>
                <w:rFonts w:ascii="Cambria" w:hAnsi="Cambria"/>
                <w:color w:val="000000"/>
                <w:lang w:eastAsia="fr-FR"/>
              </w:rPr>
              <w:t xml:space="preserve">Lycée polyvalent </w:t>
            </w:r>
            <w:proofErr w:type="spellStart"/>
            <w:r w:rsidRPr="00A45BA4">
              <w:rPr>
                <w:rFonts w:ascii="Cambria" w:hAnsi="Cambria"/>
                <w:color w:val="000000"/>
                <w:lang w:eastAsia="fr-FR"/>
              </w:rPr>
              <w:t>Ihi-tea</w:t>
            </w:r>
            <w:proofErr w:type="spellEnd"/>
            <w:r w:rsidRPr="00A45BA4">
              <w:rPr>
                <w:rFonts w:ascii="Cambria" w:hAnsi="Cambria"/>
                <w:color w:val="000000"/>
                <w:lang w:eastAsia="fr-FR"/>
              </w:rPr>
              <w:t xml:space="preserve"> no </w:t>
            </w:r>
            <w:proofErr w:type="spellStart"/>
            <w:r w:rsidRPr="00A45BA4">
              <w:rPr>
                <w:rFonts w:ascii="Cambria" w:hAnsi="Cambria"/>
                <w:color w:val="000000"/>
                <w:lang w:eastAsia="fr-FR"/>
              </w:rPr>
              <w:t>Vavau</w:t>
            </w:r>
            <w:proofErr w:type="spellEnd"/>
          </w:p>
        </w:tc>
        <w:tc>
          <w:tcPr>
            <w:tcW w:w="2226" w:type="dxa"/>
            <w:tcBorders>
              <w:top w:val="nil"/>
              <w:left w:val="nil"/>
              <w:bottom w:val="single" w:sz="4" w:space="0" w:color="auto"/>
              <w:right w:val="single" w:sz="4" w:space="0" w:color="auto"/>
            </w:tcBorders>
            <w:shd w:val="clear" w:color="auto" w:fill="auto"/>
            <w:vAlign w:val="center"/>
            <w:hideMark/>
          </w:tcPr>
          <w:p w14:paraId="2991332B" w14:textId="77777777" w:rsidR="00CD3CFE" w:rsidRPr="00A45BA4" w:rsidRDefault="00CD3CFE" w:rsidP="008137E7">
            <w:pPr>
              <w:jc w:val="center"/>
              <w:rPr>
                <w:rFonts w:ascii="Cambria" w:hAnsi="Cambria"/>
                <w:color w:val="000000"/>
                <w:lang w:eastAsia="fr-FR"/>
              </w:rPr>
            </w:pPr>
            <w:r w:rsidRPr="00A45BA4">
              <w:rPr>
                <w:rFonts w:ascii="Cambria" w:hAnsi="Cambria"/>
                <w:color w:val="000000"/>
                <w:lang w:eastAsia="fr-FR"/>
              </w:rPr>
              <w:t>3 940 600</w:t>
            </w:r>
          </w:p>
        </w:tc>
      </w:tr>
      <w:tr w:rsidR="00CD3CFE" w:rsidRPr="00A45BA4" w14:paraId="1FF0BBBE" w14:textId="77777777" w:rsidTr="00781D6F">
        <w:trPr>
          <w:trHeight w:val="315"/>
          <w:jc w:val="center"/>
        </w:trPr>
        <w:tc>
          <w:tcPr>
            <w:tcW w:w="6983" w:type="dxa"/>
            <w:tcBorders>
              <w:top w:val="nil"/>
              <w:left w:val="single" w:sz="4" w:space="0" w:color="auto"/>
              <w:bottom w:val="single" w:sz="4" w:space="0" w:color="auto"/>
              <w:right w:val="single" w:sz="4" w:space="0" w:color="auto"/>
            </w:tcBorders>
            <w:shd w:val="clear" w:color="auto" w:fill="auto"/>
            <w:vAlign w:val="center"/>
            <w:hideMark/>
          </w:tcPr>
          <w:p w14:paraId="303E524D" w14:textId="77777777" w:rsidR="00CD3CFE" w:rsidRPr="00A45BA4" w:rsidRDefault="00CD3CFE" w:rsidP="00781D6F">
            <w:pPr>
              <w:jc w:val="center"/>
              <w:rPr>
                <w:rFonts w:ascii="Cambria" w:hAnsi="Cambria"/>
                <w:color w:val="000000"/>
                <w:lang w:eastAsia="fr-FR"/>
              </w:rPr>
            </w:pPr>
            <w:r w:rsidRPr="00A45BA4">
              <w:rPr>
                <w:rFonts w:ascii="Cambria" w:hAnsi="Cambria"/>
                <w:color w:val="000000"/>
                <w:lang w:eastAsia="fr-FR"/>
              </w:rPr>
              <w:t>Lycée d'</w:t>
            </w:r>
            <w:proofErr w:type="spellStart"/>
            <w:r w:rsidRPr="00A45BA4">
              <w:rPr>
                <w:rFonts w:ascii="Cambria" w:hAnsi="Cambria"/>
                <w:color w:val="000000"/>
                <w:lang w:eastAsia="fr-FR"/>
              </w:rPr>
              <w:t>Uturoa</w:t>
            </w:r>
            <w:proofErr w:type="spellEnd"/>
            <w:r w:rsidRPr="00A45BA4">
              <w:rPr>
                <w:rFonts w:ascii="Cambria" w:hAnsi="Cambria"/>
                <w:color w:val="000000"/>
                <w:lang w:eastAsia="fr-FR"/>
              </w:rPr>
              <w:t xml:space="preserve"> - Raiatea</w:t>
            </w:r>
          </w:p>
        </w:tc>
        <w:tc>
          <w:tcPr>
            <w:tcW w:w="2226" w:type="dxa"/>
            <w:tcBorders>
              <w:top w:val="nil"/>
              <w:left w:val="nil"/>
              <w:bottom w:val="single" w:sz="4" w:space="0" w:color="auto"/>
              <w:right w:val="single" w:sz="4" w:space="0" w:color="auto"/>
            </w:tcBorders>
            <w:shd w:val="clear" w:color="auto" w:fill="auto"/>
            <w:vAlign w:val="center"/>
            <w:hideMark/>
          </w:tcPr>
          <w:p w14:paraId="61E81815" w14:textId="77777777" w:rsidR="00CD3CFE" w:rsidRPr="00A45BA4" w:rsidRDefault="00CD3CFE" w:rsidP="008137E7">
            <w:pPr>
              <w:jc w:val="center"/>
              <w:rPr>
                <w:rFonts w:ascii="Cambria" w:hAnsi="Cambria"/>
                <w:color w:val="000000"/>
                <w:lang w:eastAsia="fr-FR"/>
              </w:rPr>
            </w:pPr>
            <w:r w:rsidRPr="00A45BA4">
              <w:rPr>
                <w:rFonts w:ascii="Cambria" w:hAnsi="Cambria"/>
                <w:color w:val="000000"/>
                <w:lang w:eastAsia="fr-FR"/>
              </w:rPr>
              <w:t>3 600 400</w:t>
            </w:r>
          </w:p>
        </w:tc>
      </w:tr>
      <w:tr w:rsidR="00CD3CFE" w:rsidRPr="00A45BA4" w14:paraId="191C6CA7" w14:textId="77777777" w:rsidTr="00781D6F">
        <w:trPr>
          <w:trHeight w:val="315"/>
          <w:jc w:val="center"/>
        </w:trPr>
        <w:tc>
          <w:tcPr>
            <w:tcW w:w="6983" w:type="dxa"/>
            <w:tcBorders>
              <w:top w:val="nil"/>
              <w:left w:val="single" w:sz="4" w:space="0" w:color="auto"/>
              <w:bottom w:val="single" w:sz="4" w:space="0" w:color="auto"/>
              <w:right w:val="single" w:sz="4" w:space="0" w:color="auto"/>
            </w:tcBorders>
            <w:shd w:val="clear" w:color="auto" w:fill="auto"/>
            <w:vAlign w:val="center"/>
            <w:hideMark/>
          </w:tcPr>
          <w:p w14:paraId="715F20E4" w14:textId="77777777" w:rsidR="00CD3CFE" w:rsidRPr="00A45BA4" w:rsidRDefault="00CD3CFE" w:rsidP="00781D6F">
            <w:pPr>
              <w:jc w:val="center"/>
              <w:rPr>
                <w:rFonts w:ascii="Cambria" w:hAnsi="Cambria"/>
                <w:color w:val="000000"/>
                <w:lang w:eastAsia="fr-FR"/>
              </w:rPr>
            </w:pPr>
            <w:r w:rsidRPr="00A45BA4">
              <w:rPr>
                <w:rFonts w:ascii="Cambria" w:hAnsi="Cambria"/>
                <w:color w:val="000000"/>
                <w:lang w:eastAsia="fr-FR"/>
              </w:rPr>
              <w:t>Lycée Paul-Gauguin</w:t>
            </w:r>
          </w:p>
        </w:tc>
        <w:tc>
          <w:tcPr>
            <w:tcW w:w="2226" w:type="dxa"/>
            <w:tcBorders>
              <w:top w:val="nil"/>
              <w:left w:val="nil"/>
              <w:bottom w:val="single" w:sz="4" w:space="0" w:color="auto"/>
              <w:right w:val="single" w:sz="4" w:space="0" w:color="auto"/>
            </w:tcBorders>
            <w:shd w:val="clear" w:color="auto" w:fill="auto"/>
            <w:vAlign w:val="center"/>
            <w:hideMark/>
          </w:tcPr>
          <w:p w14:paraId="697DC5DC" w14:textId="77777777" w:rsidR="00CD3CFE" w:rsidRPr="00A45BA4" w:rsidRDefault="00CD3CFE" w:rsidP="008137E7">
            <w:pPr>
              <w:jc w:val="center"/>
              <w:rPr>
                <w:rFonts w:ascii="Cambria" w:hAnsi="Cambria"/>
                <w:color w:val="000000"/>
                <w:lang w:eastAsia="fr-FR"/>
              </w:rPr>
            </w:pPr>
            <w:r w:rsidRPr="00A45BA4">
              <w:rPr>
                <w:rFonts w:ascii="Cambria" w:hAnsi="Cambria"/>
                <w:color w:val="000000"/>
                <w:lang w:eastAsia="fr-FR"/>
              </w:rPr>
              <w:t>3 093 300</w:t>
            </w:r>
          </w:p>
        </w:tc>
      </w:tr>
      <w:tr w:rsidR="00CD3CFE" w:rsidRPr="00A45BA4" w14:paraId="3EF5DC40" w14:textId="77777777" w:rsidTr="00781D6F">
        <w:trPr>
          <w:trHeight w:val="315"/>
          <w:jc w:val="center"/>
        </w:trPr>
        <w:tc>
          <w:tcPr>
            <w:tcW w:w="6983" w:type="dxa"/>
            <w:tcBorders>
              <w:top w:val="nil"/>
              <w:left w:val="single" w:sz="4" w:space="0" w:color="auto"/>
              <w:bottom w:val="single" w:sz="4" w:space="0" w:color="auto"/>
              <w:right w:val="single" w:sz="4" w:space="0" w:color="auto"/>
            </w:tcBorders>
            <w:shd w:val="clear" w:color="auto" w:fill="auto"/>
            <w:vAlign w:val="center"/>
            <w:hideMark/>
          </w:tcPr>
          <w:p w14:paraId="72811370" w14:textId="77777777" w:rsidR="00CD3CFE" w:rsidRPr="00A45BA4" w:rsidRDefault="00CD3CFE" w:rsidP="00781D6F">
            <w:pPr>
              <w:jc w:val="center"/>
              <w:rPr>
                <w:rFonts w:ascii="Cambria" w:hAnsi="Cambria"/>
                <w:color w:val="000000"/>
                <w:lang w:eastAsia="fr-FR"/>
              </w:rPr>
            </w:pPr>
            <w:r w:rsidRPr="00A45BA4">
              <w:rPr>
                <w:rFonts w:ascii="Cambria" w:hAnsi="Cambria"/>
                <w:color w:val="000000"/>
                <w:lang w:eastAsia="fr-FR"/>
              </w:rPr>
              <w:t xml:space="preserve">Lycée </w:t>
            </w:r>
            <w:proofErr w:type="spellStart"/>
            <w:r w:rsidRPr="00A45BA4">
              <w:rPr>
                <w:rFonts w:ascii="Cambria" w:hAnsi="Cambria"/>
                <w:color w:val="000000"/>
                <w:lang w:eastAsia="fr-FR"/>
              </w:rPr>
              <w:t>Tuianu</w:t>
            </w:r>
            <w:proofErr w:type="spellEnd"/>
            <w:r w:rsidRPr="00A45BA4">
              <w:rPr>
                <w:rFonts w:ascii="Cambria" w:hAnsi="Cambria"/>
                <w:color w:val="000000"/>
                <w:lang w:eastAsia="fr-FR"/>
              </w:rPr>
              <w:t xml:space="preserve"> Le </w:t>
            </w:r>
            <w:proofErr w:type="spellStart"/>
            <w:r w:rsidRPr="00A45BA4">
              <w:rPr>
                <w:rFonts w:ascii="Cambria" w:hAnsi="Cambria"/>
                <w:color w:val="000000"/>
                <w:lang w:eastAsia="fr-FR"/>
              </w:rPr>
              <w:t>Gayic</w:t>
            </w:r>
            <w:proofErr w:type="spellEnd"/>
          </w:p>
        </w:tc>
        <w:tc>
          <w:tcPr>
            <w:tcW w:w="2226" w:type="dxa"/>
            <w:tcBorders>
              <w:top w:val="nil"/>
              <w:left w:val="nil"/>
              <w:bottom w:val="single" w:sz="4" w:space="0" w:color="auto"/>
              <w:right w:val="single" w:sz="4" w:space="0" w:color="auto"/>
            </w:tcBorders>
            <w:shd w:val="clear" w:color="auto" w:fill="auto"/>
            <w:vAlign w:val="center"/>
            <w:hideMark/>
          </w:tcPr>
          <w:p w14:paraId="5CD3A88C" w14:textId="77777777" w:rsidR="00CD3CFE" w:rsidRPr="00A45BA4" w:rsidRDefault="00CD3CFE" w:rsidP="008137E7">
            <w:pPr>
              <w:jc w:val="center"/>
              <w:rPr>
                <w:rFonts w:ascii="Cambria" w:hAnsi="Cambria"/>
                <w:color w:val="000000"/>
                <w:lang w:eastAsia="fr-FR"/>
              </w:rPr>
            </w:pPr>
            <w:r w:rsidRPr="00A45BA4">
              <w:rPr>
                <w:rFonts w:ascii="Cambria" w:hAnsi="Cambria"/>
                <w:color w:val="000000"/>
                <w:lang w:eastAsia="fr-FR"/>
              </w:rPr>
              <w:t>3 737 100</w:t>
            </w:r>
          </w:p>
        </w:tc>
      </w:tr>
      <w:tr w:rsidR="00CD3CFE" w:rsidRPr="00A45BA4" w14:paraId="5D2581F4" w14:textId="77777777" w:rsidTr="00781D6F">
        <w:trPr>
          <w:trHeight w:val="315"/>
          <w:jc w:val="center"/>
        </w:trPr>
        <w:tc>
          <w:tcPr>
            <w:tcW w:w="6983" w:type="dxa"/>
            <w:tcBorders>
              <w:top w:val="nil"/>
              <w:left w:val="single" w:sz="4" w:space="0" w:color="auto"/>
              <w:bottom w:val="single" w:sz="4" w:space="0" w:color="auto"/>
              <w:right w:val="single" w:sz="4" w:space="0" w:color="auto"/>
            </w:tcBorders>
            <w:shd w:val="clear" w:color="auto" w:fill="auto"/>
            <w:vAlign w:val="center"/>
            <w:hideMark/>
          </w:tcPr>
          <w:p w14:paraId="790F5179" w14:textId="77777777" w:rsidR="00CD3CFE" w:rsidRPr="00A45BA4" w:rsidRDefault="00CD3CFE" w:rsidP="00781D6F">
            <w:pPr>
              <w:jc w:val="center"/>
              <w:rPr>
                <w:rFonts w:ascii="Cambria" w:hAnsi="Cambria"/>
                <w:color w:val="000000"/>
                <w:lang w:eastAsia="fr-FR"/>
              </w:rPr>
            </w:pPr>
            <w:r w:rsidRPr="00A45BA4">
              <w:rPr>
                <w:rFonts w:ascii="Cambria" w:hAnsi="Cambria"/>
                <w:color w:val="000000"/>
                <w:lang w:eastAsia="fr-FR"/>
              </w:rPr>
              <w:t>Lycée hôtelier de Tahiti</w:t>
            </w:r>
          </w:p>
        </w:tc>
        <w:tc>
          <w:tcPr>
            <w:tcW w:w="2226" w:type="dxa"/>
            <w:tcBorders>
              <w:top w:val="nil"/>
              <w:left w:val="nil"/>
              <w:bottom w:val="single" w:sz="4" w:space="0" w:color="auto"/>
              <w:right w:val="single" w:sz="4" w:space="0" w:color="auto"/>
            </w:tcBorders>
            <w:shd w:val="clear" w:color="auto" w:fill="auto"/>
            <w:vAlign w:val="center"/>
            <w:hideMark/>
          </w:tcPr>
          <w:p w14:paraId="5BB58112" w14:textId="77777777" w:rsidR="00CD3CFE" w:rsidRPr="00A45BA4" w:rsidRDefault="00CD3CFE" w:rsidP="008137E7">
            <w:pPr>
              <w:jc w:val="center"/>
              <w:rPr>
                <w:rFonts w:ascii="Cambria" w:hAnsi="Cambria"/>
                <w:color w:val="000000"/>
                <w:lang w:eastAsia="fr-FR"/>
              </w:rPr>
            </w:pPr>
            <w:r w:rsidRPr="00A45BA4">
              <w:rPr>
                <w:rFonts w:ascii="Cambria" w:hAnsi="Cambria"/>
                <w:color w:val="000000"/>
                <w:lang w:eastAsia="fr-FR"/>
              </w:rPr>
              <w:t>6 271 200</w:t>
            </w:r>
          </w:p>
        </w:tc>
      </w:tr>
      <w:tr w:rsidR="00CD3CFE" w:rsidRPr="00A45BA4" w14:paraId="02F5D502" w14:textId="77777777" w:rsidTr="00781D6F">
        <w:trPr>
          <w:trHeight w:val="315"/>
          <w:jc w:val="center"/>
        </w:trPr>
        <w:tc>
          <w:tcPr>
            <w:tcW w:w="6983" w:type="dxa"/>
            <w:tcBorders>
              <w:top w:val="nil"/>
              <w:left w:val="single" w:sz="4" w:space="0" w:color="auto"/>
              <w:bottom w:val="single" w:sz="4" w:space="0" w:color="auto"/>
              <w:right w:val="single" w:sz="4" w:space="0" w:color="auto"/>
            </w:tcBorders>
            <w:shd w:val="clear" w:color="auto" w:fill="auto"/>
            <w:vAlign w:val="center"/>
            <w:hideMark/>
          </w:tcPr>
          <w:p w14:paraId="02F7557F" w14:textId="77777777" w:rsidR="00CD3CFE" w:rsidRPr="00A45BA4" w:rsidRDefault="00CD3CFE" w:rsidP="00781D6F">
            <w:pPr>
              <w:jc w:val="center"/>
              <w:rPr>
                <w:rFonts w:ascii="Cambria" w:hAnsi="Cambria"/>
                <w:color w:val="000000"/>
                <w:lang w:eastAsia="fr-FR"/>
              </w:rPr>
            </w:pPr>
            <w:r w:rsidRPr="00A45BA4">
              <w:rPr>
                <w:rFonts w:ascii="Cambria" w:hAnsi="Cambria"/>
                <w:color w:val="000000"/>
                <w:lang w:eastAsia="fr-FR"/>
              </w:rPr>
              <w:t xml:space="preserve">Lycée professionnel de </w:t>
            </w:r>
            <w:proofErr w:type="spellStart"/>
            <w:r w:rsidRPr="00A45BA4">
              <w:rPr>
                <w:rFonts w:ascii="Cambria" w:hAnsi="Cambria"/>
                <w:color w:val="000000"/>
                <w:lang w:eastAsia="fr-FR"/>
              </w:rPr>
              <w:t>Faa'a</w:t>
            </w:r>
            <w:proofErr w:type="spellEnd"/>
          </w:p>
        </w:tc>
        <w:tc>
          <w:tcPr>
            <w:tcW w:w="2226" w:type="dxa"/>
            <w:tcBorders>
              <w:top w:val="nil"/>
              <w:left w:val="nil"/>
              <w:bottom w:val="single" w:sz="4" w:space="0" w:color="auto"/>
              <w:right w:val="single" w:sz="4" w:space="0" w:color="auto"/>
            </w:tcBorders>
            <w:shd w:val="clear" w:color="auto" w:fill="auto"/>
            <w:vAlign w:val="center"/>
            <w:hideMark/>
          </w:tcPr>
          <w:p w14:paraId="6597932B" w14:textId="77777777" w:rsidR="00CD3CFE" w:rsidRPr="00A45BA4" w:rsidRDefault="00CD3CFE" w:rsidP="008137E7">
            <w:pPr>
              <w:jc w:val="center"/>
              <w:rPr>
                <w:rFonts w:ascii="Cambria" w:hAnsi="Cambria"/>
                <w:color w:val="000000"/>
                <w:lang w:eastAsia="fr-FR"/>
              </w:rPr>
            </w:pPr>
            <w:r w:rsidRPr="00A45BA4">
              <w:rPr>
                <w:rFonts w:ascii="Cambria" w:hAnsi="Cambria"/>
                <w:color w:val="000000"/>
                <w:lang w:eastAsia="fr-FR"/>
              </w:rPr>
              <w:t>4 114 500</w:t>
            </w:r>
          </w:p>
        </w:tc>
      </w:tr>
      <w:tr w:rsidR="00CD3CFE" w:rsidRPr="00A45BA4" w14:paraId="268568D2" w14:textId="77777777" w:rsidTr="00781D6F">
        <w:trPr>
          <w:trHeight w:val="315"/>
          <w:jc w:val="center"/>
        </w:trPr>
        <w:tc>
          <w:tcPr>
            <w:tcW w:w="6983" w:type="dxa"/>
            <w:tcBorders>
              <w:top w:val="nil"/>
              <w:left w:val="single" w:sz="4" w:space="0" w:color="auto"/>
              <w:bottom w:val="single" w:sz="4" w:space="0" w:color="auto"/>
              <w:right w:val="single" w:sz="4" w:space="0" w:color="auto"/>
            </w:tcBorders>
            <w:shd w:val="clear" w:color="auto" w:fill="auto"/>
            <w:vAlign w:val="center"/>
            <w:hideMark/>
          </w:tcPr>
          <w:p w14:paraId="2BF965ED" w14:textId="77777777" w:rsidR="00CD3CFE" w:rsidRPr="00A45BA4" w:rsidRDefault="00CD3CFE" w:rsidP="00781D6F">
            <w:pPr>
              <w:jc w:val="center"/>
              <w:rPr>
                <w:rFonts w:ascii="Cambria" w:hAnsi="Cambria"/>
                <w:color w:val="000000"/>
                <w:lang w:eastAsia="fr-FR"/>
              </w:rPr>
            </w:pPr>
            <w:r w:rsidRPr="00A45BA4">
              <w:rPr>
                <w:rFonts w:ascii="Cambria" w:hAnsi="Cambria"/>
                <w:color w:val="000000"/>
                <w:lang w:eastAsia="fr-FR"/>
              </w:rPr>
              <w:t xml:space="preserve">Lycée polyvalent de </w:t>
            </w:r>
            <w:proofErr w:type="spellStart"/>
            <w:r w:rsidRPr="00A45BA4">
              <w:rPr>
                <w:rFonts w:ascii="Cambria" w:hAnsi="Cambria"/>
                <w:color w:val="000000"/>
                <w:lang w:eastAsia="fr-FR"/>
              </w:rPr>
              <w:t>Taravao</w:t>
            </w:r>
            <w:proofErr w:type="spellEnd"/>
          </w:p>
        </w:tc>
        <w:tc>
          <w:tcPr>
            <w:tcW w:w="2226" w:type="dxa"/>
            <w:tcBorders>
              <w:top w:val="nil"/>
              <w:left w:val="nil"/>
              <w:bottom w:val="single" w:sz="4" w:space="0" w:color="auto"/>
              <w:right w:val="single" w:sz="4" w:space="0" w:color="auto"/>
            </w:tcBorders>
            <w:shd w:val="clear" w:color="auto" w:fill="auto"/>
            <w:vAlign w:val="center"/>
            <w:hideMark/>
          </w:tcPr>
          <w:p w14:paraId="19C7F16C" w14:textId="77777777" w:rsidR="00CD3CFE" w:rsidRPr="00A45BA4" w:rsidRDefault="00CD3CFE" w:rsidP="008137E7">
            <w:pPr>
              <w:jc w:val="center"/>
              <w:rPr>
                <w:rFonts w:ascii="Cambria" w:hAnsi="Cambria"/>
                <w:color w:val="000000"/>
                <w:lang w:eastAsia="fr-FR"/>
              </w:rPr>
            </w:pPr>
            <w:r w:rsidRPr="00A45BA4">
              <w:rPr>
                <w:rFonts w:ascii="Cambria" w:hAnsi="Cambria"/>
                <w:color w:val="000000"/>
                <w:lang w:eastAsia="fr-FR"/>
              </w:rPr>
              <w:t>4 707 000</w:t>
            </w:r>
          </w:p>
        </w:tc>
      </w:tr>
      <w:tr w:rsidR="00CD3CFE" w:rsidRPr="00A45BA4" w14:paraId="41A3C780" w14:textId="77777777" w:rsidTr="00781D6F">
        <w:trPr>
          <w:trHeight w:val="315"/>
          <w:jc w:val="center"/>
        </w:trPr>
        <w:tc>
          <w:tcPr>
            <w:tcW w:w="6983" w:type="dxa"/>
            <w:tcBorders>
              <w:top w:val="nil"/>
              <w:left w:val="single" w:sz="4" w:space="0" w:color="auto"/>
              <w:bottom w:val="single" w:sz="4" w:space="0" w:color="auto"/>
              <w:right w:val="single" w:sz="4" w:space="0" w:color="auto"/>
            </w:tcBorders>
            <w:shd w:val="clear" w:color="auto" w:fill="auto"/>
            <w:vAlign w:val="center"/>
            <w:hideMark/>
          </w:tcPr>
          <w:p w14:paraId="6712F6AF" w14:textId="77777777" w:rsidR="00CD3CFE" w:rsidRPr="00A45BA4" w:rsidRDefault="00CD3CFE" w:rsidP="00781D6F">
            <w:pPr>
              <w:jc w:val="center"/>
              <w:rPr>
                <w:rFonts w:ascii="Cambria" w:hAnsi="Cambria"/>
                <w:color w:val="000000"/>
                <w:lang w:eastAsia="fr-FR"/>
              </w:rPr>
            </w:pPr>
            <w:r w:rsidRPr="00A45BA4">
              <w:rPr>
                <w:rFonts w:ascii="Cambria" w:hAnsi="Cambria"/>
                <w:color w:val="000000"/>
                <w:lang w:eastAsia="fr-FR"/>
              </w:rPr>
              <w:lastRenderedPageBreak/>
              <w:t xml:space="preserve">Lycée Diadème, Te Tara O </w:t>
            </w:r>
            <w:proofErr w:type="spellStart"/>
            <w:r w:rsidRPr="00A45BA4">
              <w:rPr>
                <w:rFonts w:ascii="Cambria" w:hAnsi="Cambria"/>
                <w:color w:val="000000"/>
                <w:lang w:eastAsia="fr-FR"/>
              </w:rPr>
              <w:t>Maiao</w:t>
            </w:r>
            <w:proofErr w:type="spellEnd"/>
          </w:p>
        </w:tc>
        <w:tc>
          <w:tcPr>
            <w:tcW w:w="2226" w:type="dxa"/>
            <w:tcBorders>
              <w:top w:val="nil"/>
              <w:left w:val="nil"/>
              <w:bottom w:val="single" w:sz="4" w:space="0" w:color="auto"/>
              <w:right w:val="single" w:sz="4" w:space="0" w:color="auto"/>
            </w:tcBorders>
            <w:shd w:val="clear" w:color="auto" w:fill="auto"/>
            <w:vAlign w:val="center"/>
            <w:hideMark/>
          </w:tcPr>
          <w:p w14:paraId="5D8E92D4" w14:textId="77777777" w:rsidR="00CD3CFE" w:rsidRPr="00A45BA4" w:rsidRDefault="00CD3CFE" w:rsidP="00781D6F">
            <w:pPr>
              <w:jc w:val="center"/>
              <w:rPr>
                <w:rFonts w:ascii="Cambria" w:hAnsi="Cambria"/>
                <w:color w:val="000000"/>
                <w:lang w:eastAsia="fr-FR"/>
              </w:rPr>
            </w:pPr>
            <w:r w:rsidRPr="00A45BA4">
              <w:rPr>
                <w:rFonts w:ascii="Cambria" w:hAnsi="Cambria"/>
                <w:color w:val="000000"/>
                <w:lang w:eastAsia="fr-FR"/>
              </w:rPr>
              <w:t>3 594 100</w:t>
            </w:r>
          </w:p>
        </w:tc>
      </w:tr>
    </w:tbl>
    <w:p w14:paraId="43295656" w14:textId="77777777" w:rsidR="00CD3CFE" w:rsidRPr="00A45BA4" w:rsidRDefault="00CD3CFE" w:rsidP="00CD3CFE">
      <w:pPr>
        <w:jc w:val="both"/>
        <w:rPr>
          <w:rFonts w:ascii="Cambria" w:hAnsi="Cambria"/>
        </w:rPr>
      </w:pPr>
    </w:p>
    <w:p w14:paraId="1D7B9A23" w14:textId="77777777" w:rsidR="00E47F6B" w:rsidRDefault="00E47F6B" w:rsidP="00E47F6B">
      <w:pPr>
        <w:jc w:val="both"/>
        <w:rPr>
          <w:rFonts w:ascii="Cambria" w:hAnsi="Cambria"/>
          <w:b/>
          <w:bCs/>
        </w:rPr>
      </w:pPr>
    </w:p>
    <w:p w14:paraId="5B154CFA" w14:textId="2686D3E4" w:rsidR="00E47F6B" w:rsidRDefault="00E47F6B" w:rsidP="00E47F6B">
      <w:pPr>
        <w:jc w:val="both"/>
        <w:rPr>
          <w:rFonts w:ascii="Cambria" w:hAnsi="Cambria"/>
          <w:b/>
          <w:bCs/>
          <w:lang w:eastAsia="en-US"/>
        </w:rPr>
      </w:pPr>
      <w:r>
        <w:rPr>
          <w:rFonts w:ascii="Cambria" w:hAnsi="Cambria"/>
          <w:b/>
          <w:bCs/>
        </w:rPr>
        <w:t>Subventions de fonctionnement et d’exploitation en faveur des Directions des enseignements privés Catholique, Protestant et Adventiste, et de Te Pu O Te Mata Ora</w:t>
      </w:r>
    </w:p>
    <w:p w14:paraId="5B36E970" w14:textId="77777777" w:rsidR="00E47F6B" w:rsidRDefault="00E47F6B" w:rsidP="00E47F6B">
      <w:pPr>
        <w:jc w:val="both"/>
        <w:rPr>
          <w:rFonts w:ascii="Cambria" w:hAnsi="Cambria"/>
        </w:rPr>
      </w:pPr>
    </w:p>
    <w:p w14:paraId="64A646A0" w14:textId="13C9F518" w:rsidR="00E47F6B" w:rsidRDefault="00E47F6B" w:rsidP="00E47F6B">
      <w:pPr>
        <w:jc w:val="both"/>
        <w:rPr>
          <w:rFonts w:ascii="Cambria" w:hAnsi="Cambria"/>
        </w:rPr>
      </w:pPr>
      <w:r>
        <w:rPr>
          <w:rFonts w:ascii="Cambria" w:hAnsi="Cambria"/>
        </w:rPr>
        <w:t xml:space="preserve">Le Conseil des ministres a octroyé des subventions forfaitaires de fonctionnement et d’exploitation en faveur des Directions des enseignements privés Catholique, Protestant et Adventiste et </w:t>
      </w:r>
      <w:r w:rsidR="00F6473C">
        <w:rPr>
          <w:rFonts w:ascii="Cambria" w:hAnsi="Cambria"/>
        </w:rPr>
        <w:t>au</w:t>
      </w:r>
      <w:r>
        <w:rPr>
          <w:rFonts w:ascii="Cambria" w:hAnsi="Cambria"/>
        </w:rPr>
        <w:t xml:space="preserve"> centre de formation Te Pu O Te Mata Ora pour l’exercice 2021.</w:t>
      </w:r>
    </w:p>
    <w:p w14:paraId="59F05944" w14:textId="77777777" w:rsidR="00E47F6B" w:rsidRDefault="00E47F6B" w:rsidP="00E47F6B">
      <w:pPr>
        <w:jc w:val="both"/>
        <w:rPr>
          <w:rFonts w:ascii="Cambria" w:hAnsi="Cambria"/>
        </w:rPr>
      </w:pPr>
    </w:p>
    <w:p w14:paraId="749D6A2E" w14:textId="77777777" w:rsidR="00E47F6B" w:rsidRDefault="00E47F6B" w:rsidP="00E47F6B">
      <w:pPr>
        <w:jc w:val="both"/>
        <w:rPr>
          <w:rFonts w:ascii="Cambria" w:hAnsi="Cambria"/>
        </w:rPr>
      </w:pPr>
      <w:r>
        <w:rPr>
          <w:rFonts w:ascii="Cambria" w:hAnsi="Cambria"/>
        </w:rPr>
        <w:t>Ces subventions portent notamment sur les compléments de rémunération des personnels de direction et de secrétariat des écoles du 1</w:t>
      </w:r>
      <w:r>
        <w:rPr>
          <w:rFonts w:ascii="Cambria" w:hAnsi="Cambria"/>
          <w:vertAlign w:val="superscript"/>
        </w:rPr>
        <w:t>er</w:t>
      </w:r>
      <w:r>
        <w:rPr>
          <w:rFonts w:ascii="Cambria" w:hAnsi="Cambria"/>
        </w:rPr>
        <w:t xml:space="preserve"> degré, des personnels affectés aux services pédagogiques, d’aide sociale et de psychologie, des personnels affectés aux services pédagogique et numérique, des personnels affectés aux services à l’élève et à la famille (psychologie, aide sociale et santé scolaire) et des personnels des internats et foyers accueillant des élèves scolarisés dans des établissements de l’Education Nationale ou de l’Enseignement Agricole dans le cadre de la convention du 1</w:t>
      </w:r>
      <w:r>
        <w:rPr>
          <w:rFonts w:ascii="Cambria" w:hAnsi="Cambria"/>
          <w:vertAlign w:val="superscript"/>
        </w:rPr>
        <w:t>er</w:t>
      </w:r>
      <w:r>
        <w:rPr>
          <w:rFonts w:ascii="Cambria" w:hAnsi="Cambria"/>
        </w:rPr>
        <w:t xml:space="preserve"> septembre 2017 modifiée, sur les rapports entre la Polynésie française et les Enseignements Privés Catholique, Protestant et Adventiste sous contrat d’association avec l’Etat.</w:t>
      </w:r>
    </w:p>
    <w:p w14:paraId="55FF56CD" w14:textId="77777777" w:rsidR="00E47F6B" w:rsidRDefault="00E47F6B" w:rsidP="00E47F6B">
      <w:pPr>
        <w:jc w:val="both"/>
        <w:rPr>
          <w:rFonts w:ascii="Cambria" w:hAnsi="Cambria"/>
        </w:rPr>
      </w:pPr>
    </w:p>
    <w:p w14:paraId="3FB1EC7C" w14:textId="77C61DBD" w:rsidR="00E47F6B" w:rsidRDefault="00E47F6B" w:rsidP="00E47F6B">
      <w:pPr>
        <w:jc w:val="both"/>
        <w:rPr>
          <w:rFonts w:ascii="Cambria" w:hAnsi="Cambria"/>
        </w:rPr>
      </w:pPr>
      <w:r>
        <w:rPr>
          <w:rFonts w:ascii="Cambria" w:hAnsi="Cambria"/>
        </w:rPr>
        <w:t xml:space="preserve">Dans ce cadre, les subventions octroyées ont été respectivement de 310 300 000 </w:t>
      </w:r>
      <w:proofErr w:type="spellStart"/>
      <w:r>
        <w:rPr>
          <w:rFonts w:ascii="Cambria" w:hAnsi="Cambria"/>
        </w:rPr>
        <w:t>Fcfp</w:t>
      </w:r>
      <w:proofErr w:type="spellEnd"/>
      <w:r>
        <w:rPr>
          <w:rFonts w:ascii="Cambria" w:hAnsi="Cambria"/>
        </w:rPr>
        <w:t xml:space="preserve"> pour la DEC (Direction de l’enseignement privé Catholique), de 78 169</w:t>
      </w:r>
      <w:r w:rsidR="00F6473C">
        <w:rPr>
          <w:rFonts w:ascii="Cambria" w:hAnsi="Cambria"/>
        </w:rPr>
        <w:t> </w:t>
      </w:r>
      <w:r>
        <w:rPr>
          <w:rFonts w:ascii="Cambria" w:hAnsi="Cambria"/>
        </w:rPr>
        <w:t>760</w:t>
      </w:r>
      <w:r w:rsidR="00F6473C">
        <w:rPr>
          <w:rFonts w:ascii="Cambria" w:hAnsi="Cambria"/>
        </w:rPr>
        <w:t xml:space="preserve"> </w:t>
      </w:r>
      <w:proofErr w:type="spellStart"/>
      <w:r w:rsidR="00F6473C">
        <w:rPr>
          <w:rFonts w:ascii="Cambria" w:hAnsi="Cambria"/>
        </w:rPr>
        <w:t>Fcfp</w:t>
      </w:r>
      <w:proofErr w:type="spellEnd"/>
      <w:r>
        <w:rPr>
          <w:rFonts w:ascii="Cambria" w:hAnsi="Cambria"/>
        </w:rPr>
        <w:t xml:space="preserve">, pour la Direction de l’enseignement privé protestant, et de 11 millions </w:t>
      </w:r>
      <w:proofErr w:type="spellStart"/>
      <w:r>
        <w:rPr>
          <w:rFonts w:ascii="Cambria" w:hAnsi="Cambria"/>
        </w:rPr>
        <w:t>Fcfp</w:t>
      </w:r>
      <w:proofErr w:type="spellEnd"/>
      <w:r>
        <w:rPr>
          <w:rFonts w:ascii="Cambria" w:hAnsi="Cambria"/>
        </w:rPr>
        <w:t xml:space="preserve"> pour la Direction de l’enseignement privé adventiste. </w:t>
      </w:r>
    </w:p>
    <w:p w14:paraId="27CA2E1C" w14:textId="77777777" w:rsidR="00E47F6B" w:rsidRDefault="00E47F6B" w:rsidP="00E47F6B">
      <w:pPr>
        <w:jc w:val="both"/>
        <w:rPr>
          <w:rFonts w:ascii="Cambria" w:hAnsi="Cambria"/>
        </w:rPr>
      </w:pPr>
    </w:p>
    <w:p w14:paraId="1257B294" w14:textId="77777777" w:rsidR="00E47F6B" w:rsidRDefault="00E47F6B" w:rsidP="00E47F6B">
      <w:pPr>
        <w:jc w:val="both"/>
        <w:rPr>
          <w:rFonts w:ascii="Cambria" w:hAnsi="Cambria"/>
        </w:rPr>
      </w:pPr>
      <w:r>
        <w:rPr>
          <w:rFonts w:ascii="Cambria" w:hAnsi="Cambria"/>
        </w:rPr>
        <w:t xml:space="preserve">En outre, une subvention de 9 188 544 </w:t>
      </w:r>
      <w:proofErr w:type="spellStart"/>
      <w:r>
        <w:rPr>
          <w:rFonts w:ascii="Cambria" w:hAnsi="Cambria"/>
        </w:rPr>
        <w:t>Fcfp</w:t>
      </w:r>
      <w:proofErr w:type="spellEnd"/>
      <w:r>
        <w:rPr>
          <w:rFonts w:ascii="Cambria" w:hAnsi="Cambria"/>
        </w:rPr>
        <w:t xml:space="preserve"> a été accordée au centre Te Pu O Te Mata Ora pour la formation continue des enseignants. </w:t>
      </w:r>
    </w:p>
    <w:p w14:paraId="496A9967" w14:textId="77777777" w:rsidR="00E47F6B" w:rsidRDefault="00E47F6B" w:rsidP="00E47F6B">
      <w:pPr>
        <w:jc w:val="both"/>
        <w:rPr>
          <w:rFonts w:ascii="Cambria" w:hAnsi="Cambria"/>
        </w:rPr>
      </w:pPr>
    </w:p>
    <w:p w14:paraId="198BE2C1" w14:textId="77777777" w:rsidR="00E47F6B" w:rsidRDefault="00E47F6B" w:rsidP="00E47F6B">
      <w:pPr>
        <w:jc w:val="both"/>
        <w:rPr>
          <w:rFonts w:ascii="Cambria" w:hAnsi="Cambria"/>
        </w:rPr>
      </w:pPr>
      <w:r>
        <w:rPr>
          <w:rFonts w:ascii="Cambria" w:hAnsi="Cambria"/>
        </w:rPr>
        <w:t xml:space="preserve">Le montant total des subventions octroyées en faveur des Directions des enseignements privés Catholique, Protestant et Adventiste, et du centre de formation Te Pu O Te Mata Ora, s’élève à 408 658 304 </w:t>
      </w:r>
      <w:proofErr w:type="spellStart"/>
      <w:r>
        <w:rPr>
          <w:rFonts w:ascii="Cambria" w:hAnsi="Cambria"/>
        </w:rPr>
        <w:t>Fcfp</w:t>
      </w:r>
      <w:proofErr w:type="spellEnd"/>
      <w:r>
        <w:rPr>
          <w:rFonts w:ascii="Cambria" w:hAnsi="Cambria"/>
        </w:rPr>
        <w:t xml:space="preserve">. </w:t>
      </w:r>
    </w:p>
    <w:p w14:paraId="4A4CE2AA" w14:textId="77777777" w:rsidR="00CD3CFE" w:rsidRDefault="00CD3CFE" w:rsidP="00392575">
      <w:pPr>
        <w:pStyle w:val="NormalWeb"/>
        <w:jc w:val="both"/>
        <w:rPr>
          <w:rFonts w:ascii="Cambria" w:hAnsi="Cambria"/>
        </w:rPr>
      </w:pPr>
    </w:p>
    <w:p w14:paraId="3F6CF078" w14:textId="77777777" w:rsidR="00392575" w:rsidRDefault="00392575" w:rsidP="00392575">
      <w:pPr>
        <w:pStyle w:val="NormalWeb"/>
        <w:jc w:val="both"/>
        <w:rPr>
          <w:rFonts w:ascii="Cambria" w:hAnsi="Cambria"/>
        </w:rPr>
      </w:pPr>
    </w:p>
    <w:p w14:paraId="78E0A985" w14:textId="643CE110" w:rsidR="00B97C80" w:rsidRPr="00964474" w:rsidRDefault="00625270" w:rsidP="000A19DF">
      <w:pPr>
        <w:jc w:val="center"/>
        <w:rPr>
          <w:rFonts w:ascii="Cambria" w:hAnsi="Cambria" w:cs="Century Schoolbook"/>
        </w:rPr>
      </w:pPr>
      <w:r w:rsidRPr="00964474">
        <w:rPr>
          <w:rFonts w:ascii="Cambria" w:hAnsi="Cambria" w:cs="Century Schoolbook"/>
        </w:rPr>
        <w:t>-o-o-o-o-o-</w:t>
      </w:r>
    </w:p>
    <w:sectPr w:rsidR="00B97C80" w:rsidRPr="00964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E3E1A"/>
    <w:multiLevelType w:val="multilevel"/>
    <w:tmpl w:val="450EBF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F377AFA"/>
    <w:multiLevelType w:val="hybridMultilevel"/>
    <w:tmpl w:val="F67A6EEE"/>
    <w:lvl w:ilvl="0" w:tplc="BE7041F6">
      <w:numFmt w:val="bullet"/>
      <w:lvlText w:val="-"/>
      <w:lvlJc w:val="left"/>
      <w:pPr>
        <w:ind w:left="360" w:hanging="360"/>
      </w:pPr>
      <w:rPr>
        <w:rFonts w:ascii="Cambria" w:eastAsia="Calibri"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3" w15:restartNumberingAfterBreak="0">
    <w:nsid w:val="387A4F48"/>
    <w:multiLevelType w:val="multilevel"/>
    <w:tmpl w:val="94DADB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BD10ADE"/>
    <w:multiLevelType w:val="multilevel"/>
    <w:tmpl w:val="4D80B1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6A91361"/>
    <w:multiLevelType w:val="multilevel"/>
    <w:tmpl w:val="38C677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F283CB6"/>
    <w:multiLevelType w:val="multilevel"/>
    <w:tmpl w:val="C3A04EC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1DB663B"/>
    <w:multiLevelType w:val="multilevel"/>
    <w:tmpl w:val="3EC80B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1E4381F"/>
    <w:multiLevelType w:val="hybridMultilevel"/>
    <w:tmpl w:val="9C20E0D0"/>
    <w:lvl w:ilvl="0" w:tplc="89342556">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9A24179"/>
    <w:multiLevelType w:val="multilevel"/>
    <w:tmpl w:val="8B969328"/>
    <w:lvl w:ilvl="0">
      <w:start w:val="1"/>
      <w:numFmt w:val="none"/>
      <w:pStyle w:val="-ActeArticlecontenuGEDA"/>
      <w:lvlText w:val=" "/>
      <w:lvlJc w:val="left"/>
      <w:pPr>
        <w:tabs>
          <w:tab w:val="num" w:pos="360"/>
        </w:tabs>
        <w:ind w:left="340" w:hanging="340"/>
      </w:pPr>
    </w:lvl>
    <w:lvl w:ilvl="1">
      <w:start w:val="1"/>
      <w:numFmt w:val="none"/>
      <w:lvlText w:val=" "/>
      <w:lvlJc w:val="left"/>
      <w:pPr>
        <w:tabs>
          <w:tab w:val="num" w:pos="700"/>
        </w:tabs>
        <w:ind w:left="680" w:hanging="34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abstractNum w:abstractNumId="10" w15:restartNumberingAfterBreak="0">
    <w:nsid w:val="6C5137FE"/>
    <w:multiLevelType w:val="multilevel"/>
    <w:tmpl w:val="8C12FB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77AA0C32"/>
    <w:multiLevelType w:val="multilevel"/>
    <w:tmpl w:val="34C2420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7B6A6537"/>
    <w:multiLevelType w:val="multilevel"/>
    <w:tmpl w:val="6134678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2"/>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7"/>
  </w:num>
  <w:num w:numId="6">
    <w:abstractNumId w:val="8"/>
  </w:num>
  <w:num w:numId="7">
    <w:abstractNumId w:val="10"/>
  </w:num>
  <w:num w:numId="8">
    <w:abstractNumId w:val="0"/>
  </w:num>
  <w:num w:numId="9">
    <w:abstractNumId w:val="3"/>
  </w:num>
  <w:num w:numId="10">
    <w:abstractNumId w:val="4"/>
  </w:num>
  <w:num w:numId="11">
    <w:abstractNumId w:val="12"/>
  </w:num>
  <w:num w:numId="12">
    <w:abstractNumId w:val="6"/>
  </w:num>
  <w:num w:numId="1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70"/>
    <w:rsid w:val="0000058C"/>
    <w:rsid w:val="00004213"/>
    <w:rsid w:val="00062C36"/>
    <w:rsid w:val="00067B39"/>
    <w:rsid w:val="000A19DF"/>
    <w:rsid w:val="000C153E"/>
    <w:rsid w:val="000E490F"/>
    <w:rsid w:val="000F4C48"/>
    <w:rsid w:val="001019EF"/>
    <w:rsid w:val="0010365C"/>
    <w:rsid w:val="0011437E"/>
    <w:rsid w:val="001657A7"/>
    <w:rsid w:val="00197F24"/>
    <w:rsid w:val="001A441F"/>
    <w:rsid w:val="001A6384"/>
    <w:rsid w:val="001B2D71"/>
    <w:rsid w:val="001B5671"/>
    <w:rsid w:val="001B6B39"/>
    <w:rsid w:val="001F01FD"/>
    <w:rsid w:val="00203E06"/>
    <w:rsid w:val="002073E8"/>
    <w:rsid w:val="002234A0"/>
    <w:rsid w:val="00261798"/>
    <w:rsid w:val="00263FAF"/>
    <w:rsid w:val="002659FD"/>
    <w:rsid w:val="002D2429"/>
    <w:rsid w:val="002D2F1A"/>
    <w:rsid w:val="00303F47"/>
    <w:rsid w:val="00315CE8"/>
    <w:rsid w:val="00324C73"/>
    <w:rsid w:val="00336845"/>
    <w:rsid w:val="00357E00"/>
    <w:rsid w:val="003766AB"/>
    <w:rsid w:val="00392575"/>
    <w:rsid w:val="003A785E"/>
    <w:rsid w:val="003E32DC"/>
    <w:rsid w:val="003E7569"/>
    <w:rsid w:val="003F24CA"/>
    <w:rsid w:val="00410ECC"/>
    <w:rsid w:val="004128F4"/>
    <w:rsid w:val="004178CE"/>
    <w:rsid w:val="004268C8"/>
    <w:rsid w:val="00453068"/>
    <w:rsid w:val="00464602"/>
    <w:rsid w:val="0047255C"/>
    <w:rsid w:val="0048276D"/>
    <w:rsid w:val="004A0B38"/>
    <w:rsid w:val="004A28D6"/>
    <w:rsid w:val="004A2D7B"/>
    <w:rsid w:val="004B00A1"/>
    <w:rsid w:val="004C71F3"/>
    <w:rsid w:val="004F1350"/>
    <w:rsid w:val="004F4E5C"/>
    <w:rsid w:val="00522EA0"/>
    <w:rsid w:val="00524E73"/>
    <w:rsid w:val="005314A8"/>
    <w:rsid w:val="00570711"/>
    <w:rsid w:val="00590A68"/>
    <w:rsid w:val="0059364C"/>
    <w:rsid w:val="005F3BE8"/>
    <w:rsid w:val="005F535E"/>
    <w:rsid w:val="0060389A"/>
    <w:rsid w:val="00617820"/>
    <w:rsid w:val="00625270"/>
    <w:rsid w:val="006676A1"/>
    <w:rsid w:val="0068337E"/>
    <w:rsid w:val="0068570C"/>
    <w:rsid w:val="00685D29"/>
    <w:rsid w:val="0068678A"/>
    <w:rsid w:val="00690ED4"/>
    <w:rsid w:val="006B2D1A"/>
    <w:rsid w:val="006C3C9F"/>
    <w:rsid w:val="006C3CC1"/>
    <w:rsid w:val="006E6DA1"/>
    <w:rsid w:val="006F7FD4"/>
    <w:rsid w:val="00720225"/>
    <w:rsid w:val="00731EBA"/>
    <w:rsid w:val="00744496"/>
    <w:rsid w:val="00750891"/>
    <w:rsid w:val="00754E86"/>
    <w:rsid w:val="00772188"/>
    <w:rsid w:val="00781D6F"/>
    <w:rsid w:val="007A5E09"/>
    <w:rsid w:val="007A6A5E"/>
    <w:rsid w:val="007E133D"/>
    <w:rsid w:val="007E1C32"/>
    <w:rsid w:val="007E62B3"/>
    <w:rsid w:val="008056CD"/>
    <w:rsid w:val="00807CE3"/>
    <w:rsid w:val="00814C48"/>
    <w:rsid w:val="00820BBC"/>
    <w:rsid w:val="00822589"/>
    <w:rsid w:val="008809BE"/>
    <w:rsid w:val="008823C5"/>
    <w:rsid w:val="00887E90"/>
    <w:rsid w:val="008900C4"/>
    <w:rsid w:val="00890177"/>
    <w:rsid w:val="008946C5"/>
    <w:rsid w:val="008C03E9"/>
    <w:rsid w:val="008D4C19"/>
    <w:rsid w:val="008E0300"/>
    <w:rsid w:val="008E2E81"/>
    <w:rsid w:val="00902AD0"/>
    <w:rsid w:val="00916876"/>
    <w:rsid w:val="00920D6D"/>
    <w:rsid w:val="009263A2"/>
    <w:rsid w:val="0094375D"/>
    <w:rsid w:val="00964474"/>
    <w:rsid w:val="009646E6"/>
    <w:rsid w:val="00966231"/>
    <w:rsid w:val="009744ED"/>
    <w:rsid w:val="00986E2E"/>
    <w:rsid w:val="009A0D8B"/>
    <w:rsid w:val="009E34ED"/>
    <w:rsid w:val="009E7DA0"/>
    <w:rsid w:val="00A00B63"/>
    <w:rsid w:val="00A12C80"/>
    <w:rsid w:val="00A1301D"/>
    <w:rsid w:val="00A534C1"/>
    <w:rsid w:val="00A66B6A"/>
    <w:rsid w:val="00A670A7"/>
    <w:rsid w:val="00A751A0"/>
    <w:rsid w:val="00A83348"/>
    <w:rsid w:val="00A90C15"/>
    <w:rsid w:val="00AA1585"/>
    <w:rsid w:val="00AB5AD0"/>
    <w:rsid w:val="00AD364D"/>
    <w:rsid w:val="00AD4D7B"/>
    <w:rsid w:val="00AE0A7B"/>
    <w:rsid w:val="00B05F97"/>
    <w:rsid w:val="00B22E99"/>
    <w:rsid w:val="00B2325C"/>
    <w:rsid w:val="00B31D2D"/>
    <w:rsid w:val="00B33E76"/>
    <w:rsid w:val="00B34C72"/>
    <w:rsid w:val="00B35075"/>
    <w:rsid w:val="00B7240B"/>
    <w:rsid w:val="00B81E7B"/>
    <w:rsid w:val="00B9245A"/>
    <w:rsid w:val="00B97C80"/>
    <w:rsid w:val="00BB77F0"/>
    <w:rsid w:val="00BC2770"/>
    <w:rsid w:val="00BD2018"/>
    <w:rsid w:val="00BE1F42"/>
    <w:rsid w:val="00BF6854"/>
    <w:rsid w:val="00C069A5"/>
    <w:rsid w:val="00C11FC7"/>
    <w:rsid w:val="00C257B4"/>
    <w:rsid w:val="00C2611A"/>
    <w:rsid w:val="00C41BF8"/>
    <w:rsid w:val="00C6114E"/>
    <w:rsid w:val="00C76AD5"/>
    <w:rsid w:val="00C80BBF"/>
    <w:rsid w:val="00C945C0"/>
    <w:rsid w:val="00CB73CF"/>
    <w:rsid w:val="00CC01A4"/>
    <w:rsid w:val="00CD3117"/>
    <w:rsid w:val="00CD3CFE"/>
    <w:rsid w:val="00D13D49"/>
    <w:rsid w:val="00D1539E"/>
    <w:rsid w:val="00D22A2D"/>
    <w:rsid w:val="00D410EC"/>
    <w:rsid w:val="00D5697C"/>
    <w:rsid w:val="00D64937"/>
    <w:rsid w:val="00D91BC5"/>
    <w:rsid w:val="00D92064"/>
    <w:rsid w:val="00DA7916"/>
    <w:rsid w:val="00DC0835"/>
    <w:rsid w:val="00E03ED5"/>
    <w:rsid w:val="00E226B8"/>
    <w:rsid w:val="00E40188"/>
    <w:rsid w:val="00E47F6B"/>
    <w:rsid w:val="00E51A6D"/>
    <w:rsid w:val="00F06F61"/>
    <w:rsid w:val="00F07947"/>
    <w:rsid w:val="00F14D09"/>
    <w:rsid w:val="00F35395"/>
    <w:rsid w:val="00F530C1"/>
    <w:rsid w:val="00F6473C"/>
    <w:rsid w:val="00F767F2"/>
    <w:rsid w:val="00F81704"/>
    <w:rsid w:val="00F84689"/>
    <w:rsid w:val="00F90A62"/>
    <w:rsid w:val="00FB3F7A"/>
    <w:rsid w:val="00FC0BA3"/>
    <w:rsid w:val="00FD7003"/>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1"/>
      </w:numPr>
      <w:tabs>
        <w:tab w:val="num" w:pos="360"/>
      </w:tabs>
      <w:spacing w:before="180"/>
      <w:ind w:left="283" w:hanging="283"/>
      <w:outlineLvl w:val="7"/>
    </w:pPr>
    <w:rPr>
      <w:rFonts w:ascii="Times New Roman" w:eastAsia="Times New Roman" w:hAnsi="Times New Roman" w:cs="Arial"/>
      <w:i w:val="0"/>
      <w:iCs w:val="0"/>
      <w:color w:val="auto"/>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semiHidden/>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uiPriority w:val="34"/>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LettreSuiteORefPJGEDA">
    <w:name w:val="- Lettre:Suite O/Ref/PJ GEDA"/>
    <w:rsid w:val="00F767F2"/>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DiversLigneinvisibleGEDA">
    <w:name w:val="- Divers:Ligne invisible   GEDA"/>
    <w:rsid w:val="002D2F1A"/>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character" w:styleId="Accentuation">
    <w:name w:val="Emphasis"/>
    <w:basedOn w:val="Policepardfaut"/>
    <w:uiPriority w:val="20"/>
    <w:qFormat/>
    <w:rsid w:val="00FB3F7A"/>
    <w:rPr>
      <w:i/>
      <w:iCs/>
    </w:rPr>
  </w:style>
  <w:style w:type="character" w:styleId="lev">
    <w:name w:val="Strong"/>
    <w:basedOn w:val="Policepardfaut"/>
    <w:uiPriority w:val="22"/>
    <w:qFormat/>
    <w:rsid w:val="00FB3F7A"/>
    <w:rPr>
      <w:b/>
      <w:bCs/>
    </w:rPr>
  </w:style>
  <w:style w:type="paragraph" w:customStyle="1" w:styleId="-ActeArticlecontenuGEDA">
    <w:name w:val="- Acte:Article (contenu)           GEDA"/>
    <w:rsid w:val="000A19DF"/>
    <w:pPr>
      <w:numPr>
        <w:numId w:val="2"/>
      </w:numPr>
      <w:spacing w:before="60" w:after="0" w:line="240" w:lineRule="auto"/>
      <w:jc w:val="both"/>
    </w:pPr>
    <w:rPr>
      <w:rFonts w:ascii="Times New Roman" w:eastAsia="Times New Roman" w:hAnsi="Times New Roman" w:cs="Times New Roman"/>
      <w:sz w:val="24"/>
      <w:szCs w:val="20"/>
      <w:lang w:eastAsia="fr-FR"/>
    </w:rPr>
  </w:style>
  <w:style w:type="paragraph" w:customStyle="1" w:styleId="-LettrePJGEDA">
    <w:name w:val="- Lettre:P.J.                  GEDA"/>
    <w:basedOn w:val="Normal"/>
    <w:rsid w:val="009A0D8B"/>
    <w:pPr>
      <w:overflowPunct w:val="0"/>
      <w:autoSpaceDE w:val="0"/>
      <w:autoSpaceDN w:val="0"/>
      <w:spacing w:before="80"/>
      <w:ind w:left="851" w:hanging="851"/>
      <w:jc w:val="both"/>
    </w:pPr>
    <w:rPr>
      <w:rFonts w:eastAsiaTheme="minorHAns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6713">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54808881">
      <w:bodyDiv w:val="1"/>
      <w:marLeft w:val="0"/>
      <w:marRight w:val="0"/>
      <w:marTop w:val="0"/>
      <w:marBottom w:val="0"/>
      <w:divBdr>
        <w:top w:val="none" w:sz="0" w:space="0" w:color="auto"/>
        <w:left w:val="none" w:sz="0" w:space="0" w:color="auto"/>
        <w:bottom w:val="none" w:sz="0" w:space="0" w:color="auto"/>
        <w:right w:val="none" w:sz="0" w:space="0" w:color="auto"/>
      </w:divBdr>
    </w:div>
    <w:div w:id="160126642">
      <w:bodyDiv w:val="1"/>
      <w:marLeft w:val="0"/>
      <w:marRight w:val="0"/>
      <w:marTop w:val="0"/>
      <w:marBottom w:val="0"/>
      <w:divBdr>
        <w:top w:val="none" w:sz="0" w:space="0" w:color="auto"/>
        <w:left w:val="none" w:sz="0" w:space="0" w:color="auto"/>
        <w:bottom w:val="none" w:sz="0" w:space="0" w:color="auto"/>
        <w:right w:val="none" w:sz="0" w:space="0" w:color="auto"/>
      </w:divBdr>
    </w:div>
    <w:div w:id="217860453">
      <w:bodyDiv w:val="1"/>
      <w:marLeft w:val="0"/>
      <w:marRight w:val="0"/>
      <w:marTop w:val="0"/>
      <w:marBottom w:val="0"/>
      <w:divBdr>
        <w:top w:val="none" w:sz="0" w:space="0" w:color="auto"/>
        <w:left w:val="none" w:sz="0" w:space="0" w:color="auto"/>
        <w:bottom w:val="none" w:sz="0" w:space="0" w:color="auto"/>
        <w:right w:val="none" w:sz="0" w:space="0" w:color="auto"/>
      </w:divBdr>
    </w:div>
    <w:div w:id="222177411">
      <w:bodyDiv w:val="1"/>
      <w:marLeft w:val="0"/>
      <w:marRight w:val="0"/>
      <w:marTop w:val="0"/>
      <w:marBottom w:val="0"/>
      <w:divBdr>
        <w:top w:val="none" w:sz="0" w:space="0" w:color="auto"/>
        <w:left w:val="none" w:sz="0" w:space="0" w:color="auto"/>
        <w:bottom w:val="none" w:sz="0" w:space="0" w:color="auto"/>
        <w:right w:val="none" w:sz="0" w:space="0" w:color="auto"/>
      </w:divBdr>
    </w:div>
    <w:div w:id="232742166">
      <w:bodyDiv w:val="1"/>
      <w:marLeft w:val="0"/>
      <w:marRight w:val="0"/>
      <w:marTop w:val="0"/>
      <w:marBottom w:val="0"/>
      <w:divBdr>
        <w:top w:val="none" w:sz="0" w:space="0" w:color="auto"/>
        <w:left w:val="none" w:sz="0" w:space="0" w:color="auto"/>
        <w:bottom w:val="none" w:sz="0" w:space="0" w:color="auto"/>
        <w:right w:val="none" w:sz="0" w:space="0" w:color="auto"/>
      </w:divBdr>
    </w:div>
    <w:div w:id="270287424">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306201898">
      <w:bodyDiv w:val="1"/>
      <w:marLeft w:val="0"/>
      <w:marRight w:val="0"/>
      <w:marTop w:val="0"/>
      <w:marBottom w:val="0"/>
      <w:divBdr>
        <w:top w:val="none" w:sz="0" w:space="0" w:color="auto"/>
        <w:left w:val="none" w:sz="0" w:space="0" w:color="auto"/>
        <w:bottom w:val="none" w:sz="0" w:space="0" w:color="auto"/>
        <w:right w:val="none" w:sz="0" w:space="0" w:color="auto"/>
      </w:divBdr>
    </w:div>
    <w:div w:id="376391571">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440272318">
      <w:bodyDiv w:val="1"/>
      <w:marLeft w:val="0"/>
      <w:marRight w:val="0"/>
      <w:marTop w:val="0"/>
      <w:marBottom w:val="0"/>
      <w:divBdr>
        <w:top w:val="none" w:sz="0" w:space="0" w:color="auto"/>
        <w:left w:val="none" w:sz="0" w:space="0" w:color="auto"/>
        <w:bottom w:val="none" w:sz="0" w:space="0" w:color="auto"/>
        <w:right w:val="none" w:sz="0" w:space="0" w:color="auto"/>
      </w:divBdr>
    </w:div>
    <w:div w:id="486365690">
      <w:bodyDiv w:val="1"/>
      <w:marLeft w:val="0"/>
      <w:marRight w:val="0"/>
      <w:marTop w:val="0"/>
      <w:marBottom w:val="0"/>
      <w:divBdr>
        <w:top w:val="none" w:sz="0" w:space="0" w:color="auto"/>
        <w:left w:val="none" w:sz="0" w:space="0" w:color="auto"/>
        <w:bottom w:val="none" w:sz="0" w:space="0" w:color="auto"/>
        <w:right w:val="none" w:sz="0" w:space="0" w:color="auto"/>
      </w:divBdr>
    </w:div>
    <w:div w:id="543635543">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590898163">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713964874">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938217331">
      <w:bodyDiv w:val="1"/>
      <w:marLeft w:val="0"/>
      <w:marRight w:val="0"/>
      <w:marTop w:val="0"/>
      <w:marBottom w:val="0"/>
      <w:divBdr>
        <w:top w:val="none" w:sz="0" w:space="0" w:color="auto"/>
        <w:left w:val="none" w:sz="0" w:space="0" w:color="auto"/>
        <w:bottom w:val="none" w:sz="0" w:space="0" w:color="auto"/>
        <w:right w:val="none" w:sz="0" w:space="0" w:color="auto"/>
      </w:divBdr>
    </w:div>
    <w:div w:id="1056663679">
      <w:bodyDiv w:val="1"/>
      <w:marLeft w:val="0"/>
      <w:marRight w:val="0"/>
      <w:marTop w:val="0"/>
      <w:marBottom w:val="0"/>
      <w:divBdr>
        <w:top w:val="none" w:sz="0" w:space="0" w:color="auto"/>
        <w:left w:val="none" w:sz="0" w:space="0" w:color="auto"/>
        <w:bottom w:val="none" w:sz="0" w:space="0" w:color="auto"/>
        <w:right w:val="none" w:sz="0" w:space="0" w:color="auto"/>
      </w:divBdr>
    </w:div>
    <w:div w:id="1075009944">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081566439">
      <w:bodyDiv w:val="1"/>
      <w:marLeft w:val="0"/>
      <w:marRight w:val="0"/>
      <w:marTop w:val="0"/>
      <w:marBottom w:val="0"/>
      <w:divBdr>
        <w:top w:val="none" w:sz="0" w:space="0" w:color="auto"/>
        <w:left w:val="none" w:sz="0" w:space="0" w:color="auto"/>
        <w:bottom w:val="none" w:sz="0" w:space="0" w:color="auto"/>
        <w:right w:val="none" w:sz="0" w:space="0" w:color="auto"/>
      </w:divBdr>
    </w:div>
    <w:div w:id="1096169284">
      <w:bodyDiv w:val="1"/>
      <w:marLeft w:val="0"/>
      <w:marRight w:val="0"/>
      <w:marTop w:val="0"/>
      <w:marBottom w:val="0"/>
      <w:divBdr>
        <w:top w:val="none" w:sz="0" w:space="0" w:color="auto"/>
        <w:left w:val="none" w:sz="0" w:space="0" w:color="auto"/>
        <w:bottom w:val="none" w:sz="0" w:space="0" w:color="auto"/>
        <w:right w:val="none" w:sz="0" w:space="0" w:color="auto"/>
      </w:divBdr>
    </w:div>
    <w:div w:id="1124694408">
      <w:bodyDiv w:val="1"/>
      <w:marLeft w:val="0"/>
      <w:marRight w:val="0"/>
      <w:marTop w:val="0"/>
      <w:marBottom w:val="0"/>
      <w:divBdr>
        <w:top w:val="none" w:sz="0" w:space="0" w:color="auto"/>
        <w:left w:val="none" w:sz="0" w:space="0" w:color="auto"/>
        <w:bottom w:val="none" w:sz="0" w:space="0" w:color="auto"/>
        <w:right w:val="none" w:sz="0" w:space="0" w:color="auto"/>
      </w:divBdr>
    </w:div>
    <w:div w:id="1127239226">
      <w:bodyDiv w:val="1"/>
      <w:marLeft w:val="0"/>
      <w:marRight w:val="0"/>
      <w:marTop w:val="0"/>
      <w:marBottom w:val="0"/>
      <w:divBdr>
        <w:top w:val="none" w:sz="0" w:space="0" w:color="auto"/>
        <w:left w:val="none" w:sz="0" w:space="0" w:color="auto"/>
        <w:bottom w:val="none" w:sz="0" w:space="0" w:color="auto"/>
        <w:right w:val="none" w:sz="0" w:space="0" w:color="auto"/>
      </w:divBdr>
    </w:div>
    <w:div w:id="1170564898">
      <w:bodyDiv w:val="1"/>
      <w:marLeft w:val="0"/>
      <w:marRight w:val="0"/>
      <w:marTop w:val="0"/>
      <w:marBottom w:val="0"/>
      <w:divBdr>
        <w:top w:val="none" w:sz="0" w:space="0" w:color="auto"/>
        <w:left w:val="none" w:sz="0" w:space="0" w:color="auto"/>
        <w:bottom w:val="none" w:sz="0" w:space="0" w:color="auto"/>
        <w:right w:val="none" w:sz="0" w:space="0" w:color="auto"/>
      </w:divBdr>
    </w:div>
    <w:div w:id="1175074497">
      <w:bodyDiv w:val="1"/>
      <w:marLeft w:val="0"/>
      <w:marRight w:val="0"/>
      <w:marTop w:val="0"/>
      <w:marBottom w:val="0"/>
      <w:divBdr>
        <w:top w:val="none" w:sz="0" w:space="0" w:color="auto"/>
        <w:left w:val="none" w:sz="0" w:space="0" w:color="auto"/>
        <w:bottom w:val="none" w:sz="0" w:space="0" w:color="auto"/>
        <w:right w:val="none" w:sz="0" w:space="0" w:color="auto"/>
      </w:divBdr>
    </w:div>
    <w:div w:id="1193953773">
      <w:bodyDiv w:val="1"/>
      <w:marLeft w:val="0"/>
      <w:marRight w:val="0"/>
      <w:marTop w:val="0"/>
      <w:marBottom w:val="0"/>
      <w:divBdr>
        <w:top w:val="none" w:sz="0" w:space="0" w:color="auto"/>
        <w:left w:val="none" w:sz="0" w:space="0" w:color="auto"/>
        <w:bottom w:val="none" w:sz="0" w:space="0" w:color="auto"/>
        <w:right w:val="none" w:sz="0" w:space="0" w:color="auto"/>
      </w:divBdr>
    </w:div>
    <w:div w:id="1216425957">
      <w:bodyDiv w:val="1"/>
      <w:marLeft w:val="0"/>
      <w:marRight w:val="0"/>
      <w:marTop w:val="0"/>
      <w:marBottom w:val="0"/>
      <w:divBdr>
        <w:top w:val="none" w:sz="0" w:space="0" w:color="auto"/>
        <w:left w:val="none" w:sz="0" w:space="0" w:color="auto"/>
        <w:bottom w:val="none" w:sz="0" w:space="0" w:color="auto"/>
        <w:right w:val="none" w:sz="0" w:space="0" w:color="auto"/>
      </w:divBdr>
    </w:div>
    <w:div w:id="1244292563">
      <w:bodyDiv w:val="1"/>
      <w:marLeft w:val="0"/>
      <w:marRight w:val="0"/>
      <w:marTop w:val="0"/>
      <w:marBottom w:val="0"/>
      <w:divBdr>
        <w:top w:val="none" w:sz="0" w:space="0" w:color="auto"/>
        <w:left w:val="none" w:sz="0" w:space="0" w:color="auto"/>
        <w:bottom w:val="none" w:sz="0" w:space="0" w:color="auto"/>
        <w:right w:val="none" w:sz="0" w:space="0" w:color="auto"/>
      </w:divBdr>
    </w:div>
    <w:div w:id="1252275512">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54588088">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98030329">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315455006">
      <w:bodyDiv w:val="1"/>
      <w:marLeft w:val="0"/>
      <w:marRight w:val="0"/>
      <w:marTop w:val="0"/>
      <w:marBottom w:val="0"/>
      <w:divBdr>
        <w:top w:val="none" w:sz="0" w:space="0" w:color="auto"/>
        <w:left w:val="none" w:sz="0" w:space="0" w:color="auto"/>
        <w:bottom w:val="none" w:sz="0" w:space="0" w:color="auto"/>
        <w:right w:val="none" w:sz="0" w:space="0" w:color="auto"/>
      </w:divBdr>
    </w:div>
    <w:div w:id="1342270720">
      <w:bodyDiv w:val="1"/>
      <w:marLeft w:val="0"/>
      <w:marRight w:val="0"/>
      <w:marTop w:val="0"/>
      <w:marBottom w:val="0"/>
      <w:divBdr>
        <w:top w:val="none" w:sz="0" w:space="0" w:color="auto"/>
        <w:left w:val="none" w:sz="0" w:space="0" w:color="auto"/>
        <w:bottom w:val="none" w:sz="0" w:space="0" w:color="auto"/>
        <w:right w:val="none" w:sz="0" w:space="0" w:color="auto"/>
      </w:divBdr>
    </w:div>
    <w:div w:id="1403334966">
      <w:bodyDiv w:val="1"/>
      <w:marLeft w:val="0"/>
      <w:marRight w:val="0"/>
      <w:marTop w:val="0"/>
      <w:marBottom w:val="0"/>
      <w:divBdr>
        <w:top w:val="none" w:sz="0" w:space="0" w:color="auto"/>
        <w:left w:val="none" w:sz="0" w:space="0" w:color="auto"/>
        <w:bottom w:val="none" w:sz="0" w:space="0" w:color="auto"/>
        <w:right w:val="none" w:sz="0" w:space="0" w:color="auto"/>
      </w:divBdr>
    </w:div>
    <w:div w:id="1422682463">
      <w:bodyDiv w:val="1"/>
      <w:marLeft w:val="0"/>
      <w:marRight w:val="0"/>
      <w:marTop w:val="0"/>
      <w:marBottom w:val="0"/>
      <w:divBdr>
        <w:top w:val="none" w:sz="0" w:space="0" w:color="auto"/>
        <w:left w:val="none" w:sz="0" w:space="0" w:color="auto"/>
        <w:bottom w:val="none" w:sz="0" w:space="0" w:color="auto"/>
        <w:right w:val="none" w:sz="0" w:space="0" w:color="auto"/>
      </w:divBdr>
    </w:div>
    <w:div w:id="1426731468">
      <w:bodyDiv w:val="1"/>
      <w:marLeft w:val="0"/>
      <w:marRight w:val="0"/>
      <w:marTop w:val="0"/>
      <w:marBottom w:val="0"/>
      <w:divBdr>
        <w:top w:val="none" w:sz="0" w:space="0" w:color="auto"/>
        <w:left w:val="none" w:sz="0" w:space="0" w:color="auto"/>
        <w:bottom w:val="none" w:sz="0" w:space="0" w:color="auto"/>
        <w:right w:val="none" w:sz="0" w:space="0" w:color="auto"/>
      </w:divBdr>
    </w:div>
    <w:div w:id="1480686739">
      <w:bodyDiv w:val="1"/>
      <w:marLeft w:val="0"/>
      <w:marRight w:val="0"/>
      <w:marTop w:val="0"/>
      <w:marBottom w:val="0"/>
      <w:divBdr>
        <w:top w:val="none" w:sz="0" w:space="0" w:color="auto"/>
        <w:left w:val="none" w:sz="0" w:space="0" w:color="auto"/>
        <w:bottom w:val="none" w:sz="0" w:space="0" w:color="auto"/>
        <w:right w:val="none" w:sz="0" w:space="0" w:color="auto"/>
      </w:divBdr>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515146373">
      <w:bodyDiv w:val="1"/>
      <w:marLeft w:val="0"/>
      <w:marRight w:val="0"/>
      <w:marTop w:val="0"/>
      <w:marBottom w:val="0"/>
      <w:divBdr>
        <w:top w:val="none" w:sz="0" w:space="0" w:color="auto"/>
        <w:left w:val="none" w:sz="0" w:space="0" w:color="auto"/>
        <w:bottom w:val="none" w:sz="0" w:space="0" w:color="auto"/>
        <w:right w:val="none" w:sz="0" w:space="0" w:color="auto"/>
      </w:divBdr>
    </w:div>
    <w:div w:id="1602028066">
      <w:bodyDiv w:val="1"/>
      <w:marLeft w:val="0"/>
      <w:marRight w:val="0"/>
      <w:marTop w:val="0"/>
      <w:marBottom w:val="0"/>
      <w:divBdr>
        <w:top w:val="none" w:sz="0" w:space="0" w:color="auto"/>
        <w:left w:val="none" w:sz="0" w:space="0" w:color="auto"/>
        <w:bottom w:val="none" w:sz="0" w:space="0" w:color="auto"/>
        <w:right w:val="none" w:sz="0" w:space="0" w:color="auto"/>
      </w:divBdr>
    </w:div>
    <w:div w:id="1627928423">
      <w:bodyDiv w:val="1"/>
      <w:marLeft w:val="0"/>
      <w:marRight w:val="0"/>
      <w:marTop w:val="0"/>
      <w:marBottom w:val="0"/>
      <w:divBdr>
        <w:top w:val="none" w:sz="0" w:space="0" w:color="auto"/>
        <w:left w:val="none" w:sz="0" w:space="0" w:color="auto"/>
        <w:bottom w:val="none" w:sz="0" w:space="0" w:color="auto"/>
        <w:right w:val="none" w:sz="0" w:space="0" w:color="auto"/>
      </w:divBdr>
    </w:div>
    <w:div w:id="1698041056">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816684034">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1868906191">
      <w:bodyDiv w:val="1"/>
      <w:marLeft w:val="0"/>
      <w:marRight w:val="0"/>
      <w:marTop w:val="0"/>
      <w:marBottom w:val="0"/>
      <w:divBdr>
        <w:top w:val="none" w:sz="0" w:space="0" w:color="auto"/>
        <w:left w:val="none" w:sz="0" w:space="0" w:color="auto"/>
        <w:bottom w:val="none" w:sz="0" w:space="0" w:color="auto"/>
        <w:right w:val="none" w:sz="0" w:space="0" w:color="auto"/>
      </w:divBdr>
    </w:div>
    <w:div w:id="1999336603">
      <w:bodyDiv w:val="1"/>
      <w:marLeft w:val="0"/>
      <w:marRight w:val="0"/>
      <w:marTop w:val="0"/>
      <w:marBottom w:val="0"/>
      <w:divBdr>
        <w:top w:val="none" w:sz="0" w:space="0" w:color="auto"/>
        <w:left w:val="none" w:sz="0" w:space="0" w:color="auto"/>
        <w:bottom w:val="none" w:sz="0" w:space="0" w:color="auto"/>
        <w:right w:val="none" w:sz="0" w:space="0" w:color="auto"/>
      </w:divBdr>
    </w:div>
    <w:div w:id="2062902917">
      <w:bodyDiv w:val="1"/>
      <w:marLeft w:val="0"/>
      <w:marRight w:val="0"/>
      <w:marTop w:val="0"/>
      <w:marBottom w:val="0"/>
      <w:divBdr>
        <w:top w:val="none" w:sz="0" w:space="0" w:color="auto"/>
        <w:left w:val="none" w:sz="0" w:space="0" w:color="auto"/>
        <w:bottom w:val="none" w:sz="0" w:space="0" w:color="auto"/>
        <w:right w:val="none" w:sz="0" w:space="0" w:color="auto"/>
      </w:divBdr>
    </w:div>
    <w:div w:id="2109503078">
      <w:bodyDiv w:val="1"/>
      <w:marLeft w:val="0"/>
      <w:marRight w:val="0"/>
      <w:marTop w:val="0"/>
      <w:marBottom w:val="0"/>
      <w:divBdr>
        <w:top w:val="none" w:sz="0" w:space="0" w:color="auto"/>
        <w:left w:val="none" w:sz="0" w:space="0" w:color="auto"/>
        <w:bottom w:val="none" w:sz="0" w:space="0" w:color="auto"/>
        <w:right w:val="none" w:sz="0" w:space="0" w:color="auto"/>
      </w:divBdr>
    </w:div>
    <w:div w:id="2116173771">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AEB45-EB0C-45B3-8C33-56D9CD6B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2659</Words>
  <Characters>14628</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Thibault TM. MARAIS</cp:lastModifiedBy>
  <cp:revision>2</cp:revision>
  <dcterms:created xsi:type="dcterms:W3CDTF">2021-07-22T01:26:00Z</dcterms:created>
  <dcterms:modified xsi:type="dcterms:W3CDTF">2021-07-22T01:26:00Z</dcterms:modified>
</cp:coreProperties>
</file>