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291D" w14:textId="1ED98B4F" w:rsidR="001C2450" w:rsidRDefault="001C2450" w:rsidP="008B7631">
      <w:pPr>
        <w:pStyle w:val="Date"/>
        <w:spacing w:after="0" w:line="240" w:lineRule="auto"/>
        <w:jc w:val="left"/>
        <w:rPr>
          <w:rFonts w:ascii="Times New Roman" w:hAnsi="Times New Roman"/>
          <w:b/>
          <w:sz w:val="28"/>
          <w:szCs w:val="28"/>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7891"/>
      </w:tblGrid>
      <w:tr w:rsidR="001C2450" w14:paraId="21888AEC" w14:textId="77777777" w:rsidTr="0085522F">
        <w:tc>
          <w:tcPr>
            <w:tcW w:w="5169" w:type="dxa"/>
          </w:tcPr>
          <w:p w14:paraId="62F03241" w14:textId="61C3F0A7" w:rsidR="001C2450" w:rsidRDefault="001C2450" w:rsidP="00DC68E4">
            <w:pPr>
              <w:pStyle w:val="Date"/>
              <w:spacing w:after="0" w:line="240" w:lineRule="auto"/>
              <w:jc w:val="left"/>
              <w:rPr>
                <w:rFonts w:ascii="Times New Roman" w:hAnsi="Times New Roman"/>
                <w:b/>
                <w:sz w:val="28"/>
                <w:szCs w:val="28"/>
              </w:rPr>
            </w:pPr>
            <w:r w:rsidRPr="00DC68E4">
              <w:rPr>
                <w:rFonts w:ascii="Times New Roman" w:hAnsi="Times New Roman"/>
                <w:b/>
                <w:noProof/>
                <w:sz w:val="28"/>
                <w:szCs w:val="28"/>
                <w:lang w:eastAsia="fr-FR"/>
              </w:rPr>
              <w:drawing>
                <wp:inline distT="0" distB="0" distL="0" distR="0" wp14:anchorId="34F41BBF" wp14:editId="770A78A2">
                  <wp:extent cx="1250950" cy="1100675"/>
                  <wp:effectExtent l="0" t="0" r="6350" b="4445"/>
                  <wp:docPr id="5" name="Imag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jpg"/>
                          <pic:cNvPicPr>
                            <a:picLocks noChangeAspect="1"/>
                          </pic:cNvPicPr>
                        </pic:nvPicPr>
                        <pic:blipFill>
                          <a:blip r:embed="rId8"/>
                          <a:stretch>
                            <a:fillRect/>
                          </a:stretch>
                        </pic:blipFill>
                        <pic:spPr>
                          <a:xfrm>
                            <a:off x="0" y="0"/>
                            <a:ext cx="1258024" cy="1106899"/>
                          </a:xfrm>
                          <a:prstGeom prst="rect">
                            <a:avLst/>
                          </a:prstGeom>
                        </pic:spPr>
                      </pic:pic>
                    </a:graphicData>
                  </a:graphic>
                </wp:inline>
              </w:drawing>
            </w:r>
          </w:p>
        </w:tc>
        <w:tc>
          <w:tcPr>
            <w:tcW w:w="5169" w:type="dxa"/>
          </w:tcPr>
          <w:p w14:paraId="5FC6A2B9" w14:textId="4A8461B7" w:rsidR="001C2450" w:rsidRDefault="00EC731F" w:rsidP="001C2450">
            <w:pPr>
              <w:pStyle w:val="Date"/>
              <w:spacing w:after="0" w:line="240" w:lineRule="auto"/>
              <w:jc w:val="right"/>
              <w:rPr>
                <w:rFonts w:ascii="Times New Roman" w:hAnsi="Times New Roman"/>
                <w:b/>
                <w:sz w:val="28"/>
                <w:szCs w:val="28"/>
              </w:rPr>
            </w:pPr>
            <w:r w:rsidRPr="00DC68E4">
              <w:rPr>
                <w:rFonts w:ascii="Times New Roman" w:hAnsi="Times New Roman"/>
                <w:b/>
                <w:noProof/>
                <w:sz w:val="28"/>
                <w:szCs w:val="28"/>
                <w:lang w:eastAsia="fr-FR"/>
              </w:rPr>
              <w:drawing>
                <wp:inline distT="0" distB="0" distL="0" distR="0" wp14:anchorId="53A57887" wp14:editId="6EB80A17">
                  <wp:extent cx="4933313" cy="1148862"/>
                  <wp:effectExtent l="0" t="0" r="1270" b="0"/>
                  <wp:docPr id="7" name="Image 5" descr="10403440_797001427021301_12308386144346992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10403440_797001427021301_1230838614434699225_n.jpg"/>
                          <pic:cNvPicPr>
                            <a:picLocks noChangeAspect="1"/>
                          </pic:cNvPicPr>
                        </pic:nvPicPr>
                        <pic:blipFill>
                          <a:blip r:embed="rId9"/>
                          <a:stretch>
                            <a:fillRect/>
                          </a:stretch>
                        </pic:blipFill>
                        <pic:spPr>
                          <a:xfrm>
                            <a:off x="0" y="0"/>
                            <a:ext cx="4950970" cy="1152974"/>
                          </a:xfrm>
                          <a:prstGeom prst="rect">
                            <a:avLst/>
                          </a:prstGeom>
                        </pic:spPr>
                      </pic:pic>
                    </a:graphicData>
                  </a:graphic>
                </wp:inline>
              </w:drawing>
            </w:r>
          </w:p>
          <w:p w14:paraId="3A321D39" w14:textId="77777777" w:rsidR="007B5D44" w:rsidRDefault="007B5D44" w:rsidP="007B5D44">
            <w:pPr>
              <w:rPr>
                <w:b/>
                <w:spacing w:val="-5"/>
                <w:sz w:val="28"/>
                <w:szCs w:val="28"/>
                <w:lang w:eastAsia="en-US"/>
              </w:rPr>
            </w:pPr>
          </w:p>
          <w:p w14:paraId="33C4D768" w14:textId="4E751E4E" w:rsidR="007B5D44" w:rsidRPr="007B5D44" w:rsidRDefault="007B5D44" w:rsidP="007B5D44">
            <w:pPr>
              <w:tabs>
                <w:tab w:val="left" w:pos="3535"/>
              </w:tabs>
              <w:rPr>
                <w:lang w:eastAsia="en-US"/>
              </w:rPr>
            </w:pPr>
            <w:r>
              <w:rPr>
                <w:lang w:eastAsia="en-US"/>
              </w:rPr>
              <w:tab/>
            </w:r>
          </w:p>
        </w:tc>
      </w:tr>
    </w:tbl>
    <w:p w14:paraId="4B15945A" w14:textId="637294FA" w:rsidR="002F1D26" w:rsidRDefault="002F1D26" w:rsidP="00DC68E4">
      <w:pPr>
        <w:pStyle w:val="Date"/>
        <w:spacing w:after="0" w:line="240" w:lineRule="auto"/>
        <w:ind w:hanging="142"/>
        <w:jc w:val="left"/>
        <w:rPr>
          <w:rFonts w:ascii="Times New Roman" w:hAnsi="Times New Roman"/>
          <w:b/>
          <w:sz w:val="28"/>
          <w:szCs w:val="28"/>
        </w:rPr>
      </w:pPr>
    </w:p>
    <w:p w14:paraId="15E91A2A" w14:textId="77777777" w:rsidR="002F1D26" w:rsidRDefault="002F1D26" w:rsidP="002F1D26">
      <w:pPr>
        <w:rPr>
          <w:lang w:eastAsia="en-US"/>
        </w:rPr>
      </w:pPr>
    </w:p>
    <w:p w14:paraId="2A9D6C17" w14:textId="77777777" w:rsidR="0081675C" w:rsidRDefault="0081675C" w:rsidP="00C96D4B">
      <w:pPr>
        <w:pStyle w:val="Date"/>
        <w:spacing w:after="0" w:line="240" w:lineRule="auto"/>
        <w:outlineLvl w:val="0"/>
        <w:rPr>
          <w:rFonts w:ascii="Cambria" w:hAnsi="Cambria"/>
          <w:b/>
          <w:sz w:val="88"/>
          <w:szCs w:val="88"/>
        </w:rPr>
      </w:pPr>
    </w:p>
    <w:p w14:paraId="200810E6" w14:textId="42677BBB" w:rsidR="00515F33" w:rsidRDefault="00515F33" w:rsidP="00944032">
      <w:pPr>
        <w:pStyle w:val="Date"/>
        <w:spacing w:after="0" w:line="240" w:lineRule="auto"/>
        <w:ind w:hanging="142"/>
        <w:jc w:val="center"/>
        <w:outlineLvl w:val="0"/>
        <w:rPr>
          <w:rFonts w:ascii="Cambria" w:hAnsi="Cambria"/>
          <w:b/>
          <w:sz w:val="56"/>
          <w:szCs w:val="56"/>
        </w:rPr>
      </w:pPr>
    </w:p>
    <w:p w14:paraId="17029E23" w14:textId="77777777" w:rsidR="007B5D44" w:rsidRPr="007B5D44" w:rsidRDefault="007B5D44" w:rsidP="007B5D44">
      <w:pPr>
        <w:rPr>
          <w:lang w:eastAsia="en-US"/>
        </w:rPr>
      </w:pPr>
    </w:p>
    <w:p w14:paraId="1BA8F56D" w14:textId="3BDC2306" w:rsidR="00AC0969" w:rsidRDefault="00AC0969" w:rsidP="00AC0969">
      <w:pPr>
        <w:rPr>
          <w:lang w:eastAsia="en-US"/>
        </w:rPr>
      </w:pPr>
    </w:p>
    <w:p w14:paraId="07388183" w14:textId="1DCD3A63" w:rsidR="00AC0969" w:rsidRDefault="00AC0969" w:rsidP="00AC0969">
      <w:pPr>
        <w:rPr>
          <w:lang w:eastAsia="en-US"/>
        </w:rPr>
      </w:pPr>
    </w:p>
    <w:p w14:paraId="6545997E" w14:textId="77777777" w:rsidR="00AC0969" w:rsidRPr="00AC0969" w:rsidRDefault="00AC0969" w:rsidP="00AC0969">
      <w:pPr>
        <w:rPr>
          <w:lang w:eastAsia="en-US"/>
        </w:rPr>
      </w:pPr>
    </w:p>
    <w:p w14:paraId="2BD66314" w14:textId="77777777" w:rsidR="00535F9D" w:rsidRPr="00AE0028" w:rsidRDefault="00535F9D" w:rsidP="00535F9D">
      <w:pPr>
        <w:pStyle w:val="Date"/>
        <w:spacing w:after="0" w:line="240" w:lineRule="auto"/>
        <w:jc w:val="center"/>
        <w:outlineLvl w:val="0"/>
        <w:rPr>
          <w:rFonts w:ascii="Cambria" w:hAnsi="Cambria"/>
          <w:b/>
          <w:sz w:val="56"/>
          <w:szCs w:val="56"/>
        </w:rPr>
      </w:pPr>
      <w:r>
        <w:rPr>
          <w:rFonts w:ascii="Cambria" w:hAnsi="Cambria"/>
          <w:b/>
          <w:sz w:val="56"/>
          <w:szCs w:val="56"/>
        </w:rPr>
        <w:t>DOSSIER DE C</w:t>
      </w:r>
      <w:r w:rsidRPr="00482D5C">
        <w:rPr>
          <w:rFonts w:ascii="Cambria" w:hAnsi="Cambria"/>
          <w:b/>
          <w:sz w:val="56"/>
          <w:szCs w:val="56"/>
        </w:rPr>
        <w:t>ONFERENCE DE PRESSE</w:t>
      </w:r>
    </w:p>
    <w:p w14:paraId="5AA3B953" w14:textId="77777777" w:rsidR="00535F9D" w:rsidRPr="00482D5C" w:rsidRDefault="00535F9D" w:rsidP="00535F9D">
      <w:pPr>
        <w:widowControl w:val="0"/>
        <w:autoSpaceDE w:val="0"/>
        <w:autoSpaceDN w:val="0"/>
        <w:adjustRightInd w:val="0"/>
        <w:spacing w:before="120"/>
        <w:jc w:val="center"/>
        <w:rPr>
          <w:rFonts w:ascii="Cambria" w:hAnsi="Cambria" w:cs="Georgia"/>
          <w:b/>
          <w:bCs/>
          <w:i/>
          <w:sz w:val="40"/>
          <w:szCs w:val="40"/>
        </w:rPr>
      </w:pPr>
      <w:r>
        <w:rPr>
          <w:rFonts w:ascii="Cambria" w:hAnsi="Cambria" w:cs="Georgia"/>
          <w:b/>
          <w:bCs/>
          <w:i/>
          <w:sz w:val="40"/>
          <w:szCs w:val="40"/>
        </w:rPr>
        <w:t xml:space="preserve">Lundi 28 juin 2021 </w:t>
      </w:r>
      <w:r w:rsidRPr="00482D5C">
        <w:rPr>
          <w:rFonts w:ascii="Cambria" w:hAnsi="Cambria" w:cs="Georgia"/>
          <w:b/>
          <w:bCs/>
          <w:i/>
          <w:sz w:val="40"/>
          <w:szCs w:val="40"/>
        </w:rPr>
        <w:t xml:space="preserve">à </w:t>
      </w:r>
      <w:r>
        <w:rPr>
          <w:rFonts w:ascii="Cambria" w:hAnsi="Cambria" w:cs="Georgia"/>
          <w:b/>
          <w:bCs/>
          <w:i/>
          <w:sz w:val="40"/>
          <w:szCs w:val="40"/>
        </w:rPr>
        <w:t>9h00</w:t>
      </w:r>
    </w:p>
    <w:p w14:paraId="560994CB" w14:textId="77777777" w:rsidR="00535F9D" w:rsidRDefault="00535F9D" w:rsidP="00535F9D">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r>
        <w:rPr>
          <w:rFonts w:ascii="Cambria" w:hAnsi="Cambria" w:cs="Georgia"/>
          <w:b/>
          <w:bCs/>
          <w:i/>
          <w:color w:val="000000" w:themeColor="text1"/>
          <w:sz w:val="32"/>
          <w:szCs w:val="32"/>
        </w:rPr>
        <w:t>à</w:t>
      </w:r>
      <w:r w:rsidRPr="00515F33">
        <w:rPr>
          <w:rFonts w:ascii="Cambria" w:hAnsi="Cambria" w:cs="Georgia"/>
          <w:b/>
          <w:bCs/>
          <w:i/>
          <w:color w:val="000000" w:themeColor="text1"/>
          <w:sz w:val="32"/>
          <w:szCs w:val="32"/>
        </w:rPr>
        <w:t xml:space="preserve"> PAMATA’I</w:t>
      </w:r>
    </w:p>
    <w:p w14:paraId="489E2250" w14:textId="77777777" w:rsidR="00535F9D" w:rsidRDefault="00535F9D" w:rsidP="00535F9D">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p>
    <w:p w14:paraId="7597267C" w14:textId="77777777" w:rsidR="00535F9D" w:rsidRDefault="00535F9D" w:rsidP="00535F9D">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p>
    <w:p w14:paraId="42AC5191" w14:textId="77777777" w:rsidR="00535F9D" w:rsidRDefault="00535F9D" w:rsidP="00535F9D">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p>
    <w:tbl>
      <w:tblPr>
        <w:tblStyle w:val="Grilledutableau"/>
        <w:tblW w:w="0" w:type="auto"/>
        <w:tblInd w:w="63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926"/>
      </w:tblGrid>
      <w:tr w:rsidR="00535F9D" w14:paraId="30C8E042" w14:textId="77777777" w:rsidTr="00535F9D">
        <w:tc>
          <w:tcPr>
            <w:tcW w:w="8926" w:type="dxa"/>
          </w:tcPr>
          <w:p w14:paraId="67C1FE84" w14:textId="77777777" w:rsidR="00535F9D" w:rsidRPr="00535F9D" w:rsidRDefault="00535F9D" w:rsidP="00644A92">
            <w:pPr>
              <w:tabs>
                <w:tab w:val="left" w:pos="456"/>
              </w:tabs>
              <w:spacing w:before="240" w:after="240"/>
              <w:rPr>
                <w:b/>
                <w:color w:val="FF0000"/>
                <w:sz w:val="28"/>
                <w:szCs w:val="28"/>
              </w:rPr>
            </w:pPr>
            <w:r w:rsidRPr="00535F9D">
              <w:rPr>
                <w:b/>
                <w:color w:val="FF0000"/>
                <w:sz w:val="28"/>
                <w:szCs w:val="28"/>
              </w:rPr>
              <w:t>I –</w:t>
            </w:r>
            <w:r w:rsidRPr="00535F9D">
              <w:rPr>
                <w:b/>
                <w:color w:val="FF0000"/>
                <w:sz w:val="28"/>
                <w:szCs w:val="28"/>
              </w:rPr>
              <w:tab/>
              <w:t xml:space="preserve">REKO TIKA : REACTION ET EXPLICATIONS </w:t>
            </w:r>
          </w:p>
          <w:p w14:paraId="184DFBCD" w14:textId="77777777" w:rsidR="00535F9D" w:rsidRPr="00535F9D" w:rsidRDefault="00535F9D" w:rsidP="00644A92">
            <w:pPr>
              <w:tabs>
                <w:tab w:val="left" w:pos="456"/>
              </w:tabs>
              <w:spacing w:before="100" w:beforeAutospacing="1" w:after="240"/>
              <w:jc w:val="both"/>
              <w:rPr>
                <w:b/>
                <w:color w:val="FF0000"/>
                <w:sz w:val="28"/>
                <w:szCs w:val="28"/>
              </w:rPr>
            </w:pPr>
            <w:r w:rsidRPr="00535F9D">
              <w:rPr>
                <w:b/>
                <w:color w:val="FF0000"/>
                <w:sz w:val="28"/>
                <w:szCs w:val="28"/>
              </w:rPr>
              <w:t>II –</w:t>
            </w:r>
            <w:r w:rsidRPr="00535F9D">
              <w:rPr>
                <w:b/>
                <w:color w:val="FF0000"/>
                <w:sz w:val="28"/>
                <w:szCs w:val="28"/>
              </w:rPr>
              <w:tab/>
              <w:t>COMMEMORATION DU 02 JUILLET : « ALDEBARAN » 55 ANS</w:t>
            </w:r>
          </w:p>
          <w:p w14:paraId="02C1A5E4" w14:textId="77777777" w:rsidR="00535F9D" w:rsidRPr="00535F9D" w:rsidRDefault="00535F9D" w:rsidP="00644A92">
            <w:pPr>
              <w:tabs>
                <w:tab w:val="left" w:pos="456"/>
                <w:tab w:val="left" w:pos="5387"/>
              </w:tabs>
              <w:jc w:val="both"/>
              <w:rPr>
                <w:b/>
                <w:color w:val="FF0000"/>
                <w:sz w:val="28"/>
                <w:szCs w:val="28"/>
              </w:rPr>
            </w:pPr>
            <w:r w:rsidRPr="00535F9D">
              <w:rPr>
                <w:b/>
                <w:color w:val="FF0000"/>
                <w:sz w:val="28"/>
                <w:szCs w:val="28"/>
              </w:rPr>
              <w:t xml:space="preserve">III –MANIFESTATION DU 17 JUILLET : « CENTAURE »  </w:t>
            </w:r>
          </w:p>
          <w:p w14:paraId="5A05DB11" w14:textId="77777777" w:rsidR="00535F9D" w:rsidRPr="00535F9D" w:rsidRDefault="00535F9D" w:rsidP="00644A92">
            <w:pPr>
              <w:tabs>
                <w:tab w:val="left" w:pos="456"/>
                <w:tab w:val="left" w:pos="5387"/>
              </w:tabs>
              <w:jc w:val="both"/>
              <w:rPr>
                <w:b/>
                <w:color w:val="FF0000"/>
                <w:sz w:val="28"/>
                <w:szCs w:val="28"/>
              </w:rPr>
            </w:pPr>
            <w:r w:rsidRPr="00535F9D">
              <w:rPr>
                <w:b/>
                <w:color w:val="FF0000"/>
                <w:sz w:val="28"/>
                <w:szCs w:val="28"/>
              </w:rPr>
              <w:tab/>
              <w:t>100 000 HABITANTS PRESUMES CONTAMINES</w:t>
            </w:r>
          </w:p>
          <w:p w14:paraId="2DB200B5" w14:textId="77777777" w:rsidR="00535F9D" w:rsidRPr="00535F9D" w:rsidRDefault="00535F9D" w:rsidP="00644A92">
            <w:pPr>
              <w:tabs>
                <w:tab w:val="left" w:pos="456"/>
              </w:tabs>
              <w:spacing w:before="100" w:beforeAutospacing="1" w:after="240"/>
              <w:ind w:left="31"/>
              <w:jc w:val="both"/>
              <w:rPr>
                <w:b/>
                <w:color w:val="FF0000"/>
                <w:sz w:val="28"/>
                <w:szCs w:val="28"/>
              </w:rPr>
            </w:pPr>
            <w:r w:rsidRPr="00535F9D">
              <w:rPr>
                <w:b/>
                <w:color w:val="FF0000"/>
                <w:sz w:val="28"/>
                <w:szCs w:val="28"/>
              </w:rPr>
              <w:t>IV – VENUE DE MACRON</w:t>
            </w:r>
          </w:p>
          <w:p w14:paraId="20D1EEF5" w14:textId="77777777" w:rsidR="00535F9D" w:rsidRDefault="00535F9D" w:rsidP="00644A92">
            <w:pPr>
              <w:tabs>
                <w:tab w:val="left" w:pos="709"/>
                <w:tab w:val="left" w:pos="993"/>
                <w:tab w:val="left" w:pos="1418"/>
              </w:tabs>
              <w:spacing w:before="120"/>
              <w:jc w:val="both"/>
              <w:rPr>
                <w:b/>
                <w:u w:val="single"/>
              </w:rPr>
            </w:pPr>
          </w:p>
        </w:tc>
      </w:tr>
    </w:tbl>
    <w:p w14:paraId="4D583EFF" w14:textId="78F5C564" w:rsidR="00BE244E" w:rsidRDefault="00BE244E" w:rsidP="00834FDF">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p>
    <w:p w14:paraId="07A28A03" w14:textId="77777777" w:rsidR="00535F9D" w:rsidRDefault="00535F9D" w:rsidP="00834FDF">
      <w:pPr>
        <w:widowControl w:val="0"/>
        <w:autoSpaceDE w:val="0"/>
        <w:autoSpaceDN w:val="0"/>
        <w:adjustRightInd w:val="0"/>
        <w:spacing w:before="120"/>
        <w:ind w:left="709" w:hanging="709"/>
        <w:jc w:val="center"/>
        <w:rPr>
          <w:rFonts w:ascii="Cambria" w:hAnsi="Cambria" w:cs="Georgia"/>
          <w:b/>
          <w:bCs/>
          <w:i/>
          <w:color w:val="000000" w:themeColor="text1"/>
          <w:sz w:val="32"/>
          <w:szCs w:val="32"/>
        </w:rPr>
      </w:pPr>
    </w:p>
    <w:p w14:paraId="0F8D74B4" w14:textId="5A795917" w:rsidR="00515F33" w:rsidRDefault="00515F33" w:rsidP="009C5BDB">
      <w:pPr>
        <w:tabs>
          <w:tab w:val="left" w:pos="709"/>
          <w:tab w:val="left" w:pos="993"/>
          <w:tab w:val="left" w:pos="1418"/>
        </w:tabs>
        <w:spacing w:before="120"/>
        <w:jc w:val="both"/>
        <w:rPr>
          <w:b/>
          <w:u w:val="single"/>
        </w:rPr>
      </w:pPr>
    </w:p>
    <w:p w14:paraId="7C5B9FEB" w14:textId="6212EF08" w:rsidR="007B5D44" w:rsidRDefault="007B5D44" w:rsidP="009C5BDB">
      <w:pPr>
        <w:tabs>
          <w:tab w:val="left" w:pos="709"/>
          <w:tab w:val="left" w:pos="993"/>
          <w:tab w:val="left" w:pos="1418"/>
        </w:tabs>
        <w:spacing w:before="120"/>
        <w:jc w:val="both"/>
        <w:rPr>
          <w:b/>
          <w:u w:val="single"/>
        </w:rPr>
      </w:pPr>
    </w:p>
    <w:p w14:paraId="0B68FF12" w14:textId="77777777" w:rsidR="007B5D44" w:rsidRDefault="007B5D44" w:rsidP="009C5BDB">
      <w:pPr>
        <w:tabs>
          <w:tab w:val="left" w:pos="709"/>
          <w:tab w:val="left" w:pos="993"/>
          <w:tab w:val="left" w:pos="1418"/>
        </w:tabs>
        <w:spacing w:before="120"/>
        <w:jc w:val="both"/>
        <w:rPr>
          <w:b/>
          <w:u w:val="single"/>
        </w:rPr>
      </w:pPr>
    </w:p>
    <w:p w14:paraId="4E65B7D2" w14:textId="6F01BD61" w:rsidR="00D7635E" w:rsidRPr="009C5BDB" w:rsidRDefault="00D7635E" w:rsidP="009C5BDB">
      <w:pPr>
        <w:tabs>
          <w:tab w:val="left" w:pos="709"/>
          <w:tab w:val="left" w:pos="993"/>
          <w:tab w:val="left" w:pos="1418"/>
        </w:tabs>
        <w:spacing w:before="120"/>
        <w:jc w:val="both"/>
      </w:pPr>
    </w:p>
    <w:p w14:paraId="2F49E28F" w14:textId="0093EDA4" w:rsidR="00834FDF" w:rsidRPr="004A306D" w:rsidRDefault="00515F33" w:rsidP="00DA4561">
      <w:pPr>
        <w:spacing w:after="240"/>
        <w:rPr>
          <w:b/>
          <w:color w:val="FF0000"/>
          <w:sz w:val="28"/>
          <w:szCs w:val="28"/>
        </w:rPr>
      </w:pPr>
      <w:r w:rsidRPr="00515F33">
        <w:rPr>
          <w:b/>
          <w:color w:val="FF0000"/>
          <w:sz w:val="28"/>
          <w:szCs w:val="28"/>
        </w:rPr>
        <w:t xml:space="preserve">I </w:t>
      </w:r>
      <w:r>
        <w:rPr>
          <w:b/>
          <w:color w:val="FF0000"/>
          <w:sz w:val="28"/>
          <w:szCs w:val="28"/>
        </w:rPr>
        <w:t xml:space="preserve">– </w:t>
      </w:r>
      <w:r w:rsidR="001C0A23">
        <w:rPr>
          <w:b/>
          <w:color w:val="FF0000"/>
          <w:sz w:val="28"/>
          <w:szCs w:val="28"/>
        </w:rPr>
        <w:t xml:space="preserve">REKO TIKA : </w:t>
      </w:r>
      <w:r>
        <w:rPr>
          <w:b/>
          <w:color w:val="FF0000"/>
          <w:sz w:val="28"/>
          <w:szCs w:val="28"/>
        </w:rPr>
        <w:t xml:space="preserve">REACTION </w:t>
      </w:r>
      <w:r w:rsidR="001C0A23">
        <w:rPr>
          <w:b/>
          <w:color w:val="FF0000"/>
          <w:sz w:val="28"/>
          <w:szCs w:val="28"/>
        </w:rPr>
        <w:t xml:space="preserve">ET EXPLICATIONS </w:t>
      </w:r>
    </w:p>
    <w:p w14:paraId="189D20CE" w14:textId="334097B1" w:rsidR="00EB035C" w:rsidRPr="00C06D23" w:rsidRDefault="00EB035C" w:rsidP="00543AE1">
      <w:pPr>
        <w:tabs>
          <w:tab w:val="left" w:pos="6135"/>
        </w:tabs>
        <w:jc w:val="both"/>
        <w:rPr>
          <w:color w:val="0070C0"/>
        </w:rPr>
      </w:pPr>
    </w:p>
    <w:p w14:paraId="639BE73E" w14:textId="242CE380" w:rsidR="001C0A23" w:rsidRPr="008A2393" w:rsidRDefault="00653BE6" w:rsidP="00B4724C">
      <w:pPr>
        <w:pStyle w:val="Paragraphedeliste"/>
        <w:numPr>
          <w:ilvl w:val="0"/>
          <w:numId w:val="1"/>
        </w:numPr>
        <w:ind w:left="567" w:hanging="207"/>
        <w:rPr>
          <w:b/>
          <w:bCs/>
          <w:color w:val="00B050"/>
        </w:rPr>
      </w:pPr>
      <w:r w:rsidRPr="008A2393">
        <w:rPr>
          <w:b/>
          <w:bCs/>
          <w:color w:val="00B050"/>
        </w:rPr>
        <w:t>PRESENCE LORS DES REUNIONS DE TRAVAIL DE « REKO TIKA »</w:t>
      </w:r>
    </w:p>
    <w:p w14:paraId="69206FE7" w14:textId="21E6A3A6" w:rsidR="00E931C7" w:rsidRPr="00C06D23" w:rsidRDefault="00E931C7" w:rsidP="00E931C7">
      <w:pPr>
        <w:pStyle w:val="Paragraphedeliste"/>
        <w:ind w:left="567"/>
        <w:rPr>
          <w:color w:val="0070C0"/>
        </w:rPr>
      </w:pPr>
    </w:p>
    <w:p w14:paraId="2820CC22" w14:textId="0F92A2F6" w:rsidR="00E931C7" w:rsidRDefault="00E931C7" w:rsidP="00E931C7">
      <w:pPr>
        <w:pStyle w:val="Paragraphedeliste"/>
        <w:ind w:left="567"/>
      </w:pPr>
    </w:p>
    <w:p w14:paraId="07828107" w14:textId="30053260" w:rsidR="00AE5C84" w:rsidRDefault="00AE5C84" w:rsidP="003555C0">
      <w:pPr>
        <w:jc w:val="both"/>
      </w:pPr>
      <w:r>
        <w:t>L’Association 193 a participé à quatre réunions préparatoires</w:t>
      </w:r>
      <w:r w:rsidR="00A80CDF">
        <w:t xml:space="preserve"> dont</w:t>
      </w:r>
      <w:r>
        <w:t xml:space="preserve"> </w:t>
      </w:r>
      <w:r w:rsidR="007B5D44">
        <w:t xml:space="preserve">celles du groupe de travail de </w:t>
      </w:r>
      <w:r>
        <w:t>l’atelier « Sanitaire »</w:t>
      </w:r>
      <w:r w:rsidR="00A80CDF">
        <w:t xml:space="preserve">, </w:t>
      </w:r>
      <w:r>
        <w:t>et l’ensemble de nos revendications ont été retenues, du moins jusqu’au jour de la restitution des ateliers :</w:t>
      </w:r>
    </w:p>
    <w:p w14:paraId="70FD3549" w14:textId="77777777" w:rsidR="00AE5C84" w:rsidRDefault="00AE5C84" w:rsidP="003555C0">
      <w:pPr>
        <w:jc w:val="both"/>
      </w:pPr>
    </w:p>
    <w:p w14:paraId="750CA5A2" w14:textId="0762947F" w:rsidR="00AE5C84" w:rsidRPr="003555C0" w:rsidRDefault="00E867CC" w:rsidP="00B4724C">
      <w:pPr>
        <w:pStyle w:val="Paragraphedeliste"/>
        <w:numPr>
          <w:ilvl w:val="0"/>
          <w:numId w:val="3"/>
        </w:numPr>
        <w:tabs>
          <w:tab w:val="left" w:pos="709"/>
        </w:tabs>
        <w:spacing w:after="120"/>
        <w:jc w:val="both"/>
        <w:rPr>
          <w:b/>
          <w:bCs/>
        </w:rPr>
      </w:pPr>
      <w:r w:rsidRPr="00E867CC">
        <w:rPr>
          <w:b/>
          <w:bCs/>
        </w:rPr>
        <w:t>L</w:t>
      </w:r>
      <w:r w:rsidR="00AE5C84" w:rsidRPr="00E867CC">
        <w:rPr>
          <w:b/>
          <w:bCs/>
        </w:rPr>
        <w:t>a demande de Pardon de l’Etat</w:t>
      </w:r>
      <w:r w:rsidR="005849FE">
        <w:t xml:space="preserve">, </w:t>
      </w:r>
      <w:r w:rsidR="00AE5C84">
        <w:t>un pré requis à toute démarche de vérité, justice et réparation.</w:t>
      </w:r>
    </w:p>
    <w:p w14:paraId="66B8CAA3" w14:textId="77777777" w:rsidR="003555C0" w:rsidRPr="003555C0" w:rsidRDefault="003555C0" w:rsidP="003555C0">
      <w:pPr>
        <w:pStyle w:val="Paragraphedeliste"/>
        <w:tabs>
          <w:tab w:val="left" w:pos="709"/>
        </w:tabs>
        <w:spacing w:after="120"/>
        <w:ind w:left="1080"/>
        <w:jc w:val="both"/>
        <w:rPr>
          <w:b/>
          <w:bCs/>
        </w:rPr>
      </w:pPr>
    </w:p>
    <w:p w14:paraId="53A6E2F6" w14:textId="5598287C" w:rsidR="003555C0" w:rsidRDefault="003555C0" w:rsidP="00B4724C">
      <w:pPr>
        <w:pStyle w:val="Paragraphedeliste"/>
        <w:numPr>
          <w:ilvl w:val="0"/>
          <w:numId w:val="3"/>
        </w:numPr>
        <w:tabs>
          <w:tab w:val="left" w:pos="1134"/>
        </w:tabs>
        <w:spacing w:after="120" w:line="276" w:lineRule="auto"/>
        <w:jc w:val="both"/>
        <w:rPr>
          <w:b/>
          <w:bCs/>
        </w:rPr>
      </w:pPr>
      <w:r>
        <w:rPr>
          <w:b/>
          <w:bCs/>
        </w:rPr>
        <w:t>La déclassification de</w:t>
      </w:r>
      <w:r w:rsidR="005849FE">
        <w:rPr>
          <w:b/>
          <w:bCs/>
        </w:rPr>
        <w:t xml:space="preserve">s </w:t>
      </w:r>
      <w:r>
        <w:rPr>
          <w:b/>
          <w:bCs/>
        </w:rPr>
        <w:t xml:space="preserve">documents </w:t>
      </w:r>
    </w:p>
    <w:p w14:paraId="445DD4F4" w14:textId="77777777" w:rsidR="003555C0" w:rsidRPr="003555C0" w:rsidRDefault="003555C0" w:rsidP="003555C0">
      <w:pPr>
        <w:pStyle w:val="Paragraphedeliste"/>
        <w:rPr>
          <w:b/>
          <w:bCs/>
        </w:rPr>
      </w:pPr>
    </w:p>
    <w:p w14:paraId="56F96D62" w14:textId="49560FC3" w:rsidR="00AE5C84" w:rsidRPr="003555C0" w:rsidRDefault="00AE5C84" w:rsidP="00B4724C">
      <w:pPr>
        <w:pStyle w:val="Paragraphedeliste"/>
        <w:numPr>
          <w:ilvl w:val="0"/>
          <w:numId w:val="3"/>
        </w:numPr>
        <w:tabs>
          <w:tab w:val="left" w:pos="1134"/>
        </w:tabs>
        <w:spacing w:after="120" w:line="276" w:lineRule="auto"/>
        <w:jc w:val="both"/>
        <w:rPr>
          <w:b/>
          <w:bCs/>
        </w:rPr>
      </w:pPr>
      <w:r w:rsidRPr="003555C0">
        <w:rPr>
          <w:b/>
          <w:bCs/>
        </w:rPr>
        <w:t>Modification de la LOI MORIN</w:t>
      </w:r>
    </w:p>
    <w:p w14:paraId="39E62477" w14:textId="77777777" w:rsidR="00AE5C84" w:rsidRDefault="00AE5C84" w:rsidP="00B4724C">
      <w:pPr>
        <w:pStyle w:val="Paragraphedeliste"/>
        <w:numPr>
          <w:ilvl w:val="0"/>
          <w:numId w:val="2"/>
        </w:numPr>
        <w:tabs>
          <w:tab w:val="left" w:pos="1418"/>
        </w:tabs>
        <w:spacing w:line="276" w:lineRule="auto"/>
        <w:ind w:left="851" w:firstLine="283"/>
        <w:jc w:val="both"/>
        <w:rPr>
          <w:b/>
          <w:bCs/>
        </w:rPr>
      </w:pPr>
      <w:r>
        <w:rPr>
          <w:b/>
          <w:bCs/>
        </w:rPr>
        <w:t>Retrait du millisievert</w:t>
      </w:r>
    </w:p>
    <w:p w14:paraId="4D11C2B2" w14:textId="77777777" w:rsidR="00AE5C84" w:rsidRDefault="00AE5C84" w:rsidP="00B4724C">
      <w:pPr>
        <w:pStyle w:val="Paragraphedeliste"/>
        <w:numPr>
          <w:ilvl w:val="0"/>
          <w:numId w:val="2"/>
        </w:numPr>
        <w:tabs>
          <w:tab w:val="left" w:pos="1418"/>
        </w:tabs>
        <w:spacing w:line="276" w:lineRule="auto"/>
        <w:ind w:left="851" w:firstLine="283"/>
        <w:jc w:val="both"/>
        <w:rPr>
          <w:b/>
          <w:bCs/>
        </w:rPr>
      </w:pPr>
      <w:r>
        <w:rPr>
          <w:b/>
          <w:bCs/>
        </w:rPr>
        <w:t>Retrait de la date butoir du 31 décembre 1998</w:t>
      </w:r>
    </w:p>
    <w:p w14:paraId="3D66FBDC" w14:textId="77777777" w:rsidR="00AE5C84" w:rsidRDefault="00AE5C84" w:rsidP="00B4724C">
      <w:pPr>
        <w:pStyle w:val="Paragraphedeliste"/>
        <w:numPr>
          <w:ilvl w:val="0"/>
          <w:numId w:val="2"/>
        </w:numPr>
        <w:tabs>
          <w:tab w:val="left" w:pos="1418"/>
        </w:tabs>
        <w:spacing w:line="276" w:lineRule="auto"/>
        <w:ind w:left="851" w:firstLine="283"/>
        <w:jc w:val="both"/>
        <w:rPr>
          <w:b/>
          <w:bCs/>
        </w:rPr>
      </w:pPr>
      <w:r>
        <w:rPr>
          <w:b/>
          <w:bCs/>
        </w:rPr>
        <w:t>Retrait de la date butoir imposée aux ayants droit :</w:t>
      </w:r>
    </w:p>
    <w:p w14:paraId="32D8EE8E" w14:textId="77777777" w:rsidR="00AE5C84" w:rsidRPr="00431047" w:rsidRDefault="00AE5C84" w:rsidP="00E867CC">
      <w:pPr>
        <w:pStyle w:val="Paragraphedeliste"/>
        <w:tabs>
          <w:tab w:val="left" w:pos="1276"/>
          <w:tab w:val="left" w:pos="1418"/>
        </w:tabs>
        <w:ind w:left="851" w:firstLine="283"/>
        <w:jc w:val="both"/>
        <w:rPr>
          <w:b/>
          <w:bCs/>
        </w:rPr>
      </w:pPr>
      <w:r>
        <w:tab/>
        <w:t xml:space="preserve">- Décès avant décembre 2018 : date fixée </w:t>
      </w:r>
      <w:r w:rsidRPr="00431047">
        <w:t xml:space="preserve">au 31 décembre 2021 </w:t>
      </w:r>
    </w:p>
    <w:p w14:paraId="4674CB01" w14:textId="5B156FC7" w:rsidR="00AE5C84" w:rsidRPr="003555C0" w:rsidRDefault="00AE5C84" w:rsidP="003555C0">
      <w:pPr>
        <w:pStyle w:val="Paragraphedeliste"/>
        <w:tabs>
          <w:tab w:val="left" w:pos="1276"/>
          <w:tab w:val="left" w:pos="1418"/>
        </w:tabs>
        <w:spacing w:after="120"/>
        <w:ind w:left="851" w:firstLine="284"/>
        <w:contextualSpacing w:val="0"/>
        <w:jc w:val="both"/>
      </w:pPr>
      <w:r>
        <w:tab/>
        <w:t>- Décès après décembre 2018 : 31 décembre de la 3</w:t>
      </w:r>
      <w:r w:rsidRPr="00790E67">
        <w:rPr>
          <w:vertAlign w:val="superscript"/>
        </w:rPr>
        <w:t>ème</w:t>
      </w:r>
      <w:r>
        <w:t xml:space="preserve"> année qui suit le décès</w:t>
      </w:r>
    </w:p>
    <w:p w14:paraId="683F3424" w14:textId="07474FCF" w:rsidR="00AE5C84" w:rsidRPr="00CA3F44" w:rsidRDefault="00AE5C84" w:rsidP="00B4724C">
      <w:pPr>
        <w:pStyle w:val="Paragraphedeliste"/>
        <w:numPr>
          <w:ilvl w:val="0"/>
          <w:numId w:val="2"/>
        </w:numPr>
        <w:tabs>
          <w:tab w:val="left" w:pos="1418"/>
        </w:tabs>
        <w:spacing w:line="276" w:lineRule="auto"/>
        <w:ind w:left="992" w:firstLine="142"/>
        <w:contextualSpacing w:val="0"/>
        <w:jc w:val="both"/>
        <w:rPr>
          <w:b/>
          <w:bCs/>
        </w:rPr>
      </w:pPr>
      <w:r>
        <w:rPr>
          <w:b/>
          <w:bCs/>
        </w:rPr>
        <w:t xml:space="preserve">Rajout des autres maladies radio induites : </w:t>
      </w:r>
      <w:r w:rsidRPr="00C5070F">
        <w:t xml:space="preserve">Pancréas, prostate, cataracte, tumeurs </w:t>
      </w:r>
      <w:r>
        <w:tab/>
      </w:r>
      <w:r w:rsidRPr="00C5070F">
        <w:t>bénignes du cerveau, cardiovasculaires, AVC, malformation</w:t>
      </w:r>
      <w:r w:rsidR="005849FE">
        <w:t>s</w:t>
      </w:r>
      <w:r w:rsidRPr="00C5070F">
        <w:t xml:space="preserve"> à la naissance</w:t>
      </w:r>
      <w:r w:rsidR="005849FE">
        <w:t>.</w:t>
      </w:r>
    </w:p>
    <w:p w14:paraId="5BC02D42" w14:textId="77777777" w:rsidR="00AE5C84" w:rsidRDefault="00AE5C84" w:rsidP="003555C0">
      <w:pPr>
        <w:tabs>
          <w:tab w:val="left" w:pos="709"/>
        </w:tabs>
        <w:ind w:left="709"/>
        <w:jc w:val="both"/>
        <w:rPr>
          <w:b/>
          <w:bCs/>
        </w:rPr>
      </w:pPr>
    </w:p>
    <w:p w14:paraId="76951131" w14:textId="77777777" w:rsidR="00AE5C84" w:rsidRDefault="00AE5C84" w:rsidP="00B4724C">
      <w:pPr>
        <w:pStyle w:val="Paragraphedeliste"/>
        <w:numPr>
          <w:ilvl w:val="0"/>
          <w:numId w:val="3"/>
        </w:numPr>
        <w:tabs>
          <w:tab w:val="left" w:pos="709"/>
        </w:tabs>
        <w:spacing w:after="120" w:line="276" w:lineRule="auto"/>
        <w:ind w:hanging="371"/>
        <w:contextualSpacing w:val="0"/>
        <w:jc w:val="both"/>
        <w:rPr>
          <w:b/>
          <w:bCs/>
        </w:rPr>
      </w:pPr>
      <w:r>
        <w:rPr>
          <w:b/>
          <w:bCs/>
        </w:rPr>
        <w:t>CPS</w:t>
      </w:r>
    </w:p>
    <w:p w14:paraId="4FC18B4C" w14:textId="7AF6CEAC" w:rsidR="00AE5C84" w:rsidRPr="003555C0" w:rsidRDefault="00AE5C84" w:rsidP="00B4724C">
      <w:pPr>
        <w:pStyle w:val="Paragraphedeliste"/>
        <w:numPr>
          <w:ilvl w:val="0"/>
          <w:numId w:val="2"/>
        </w:numPr>
        <w:tabs>
          <w:tab w:val="left" w:pos="709"/>
        </w:tabs>
        <w:spacing w:line="276" w:lineRule="auto"/>
        <w:ind w:left="1276" w:hanging="142"/>
        <w:jc w:val="both"/>
      </w:pPr>
      <w:r w:rsidRPr="003555C0">
        <w:t>Remboursement par l’Etat de l’ensemble des dépenses faites (passé et futur) dans le cadre des maladies radio induites.</w:t>
      </w:r>
    </w:p>
    <w:p w14:paraId="43D45658" w14:textId="77777777" w:rsidR="00AE5C84" w:rsidRPr="00EB069D" w:rsidRDefault="00AE5C84" w:rsidP="00AE5C84">
      <w:pPr>
        <w:tabs>
          <w:tab w:val="left" w:pos="709"/>
        </w:tabs>
        <w:jc w:val="both"/>
        <w:rPr>
          <w:b/>
          <w:bCs/>
        </w:rPr>
      </w:pPr>
    </w:p>
    <w:p w14:paraId="4284253A" w14:textId="05CB7DED" w:rsidR="00AE5C84" w:rsidRPr="003555C0" w:rsidRDefault="00AE5C84" w:rsidP="00B4724C">
      <w:pPr>
        <w:pStyle w:val="Paragraphedeliste"/>
        <w:numPr>
          <w:ilvl w:val="0"/>
          <w:numId w:val="4"/>
        </w:numPr>
        <w:spacing w:line="276" w:lineRule="auto"/>
        <w:ind w:left="993" w:hanging="284"/>
        <w:jc w:val="both"/>
        <w:rPr>
          <w:b/>
          <w:bCs/>
        </w:rPr>
      </w:pPr>
      <w:r w:rsidRPr="003555C0">
        <w:rPr>
          <w:b/>
          <w:bCs/>
        </w:rPr>
        <w:t xml:space="preserve">Réalisation d’études sur les maladies transgénérationnelles </w:t>
      </w:r>
    </w:p>
    <w:p w14:paraId="0D75D782" w14:textId="77777777" w:rsidR="003555C0" w:rsidRPr="003555C0" w:rsidRDefault="003555C0" w:rsidP="003555C0">
      <w:pPr>
        <w:tabs>
          <w:tab w:val="left" w:pos="709"/>
        </w:tabs>
        <w:spacing w:line="276" w:lineRule="auto"/>
        <w:ind w:left="709"/>
        <w:jc w:val="both"/>
        <w:rPr>
          <w:b/>
          <w:bCs/>
        </w:rPr>
      </w:pPr>
    </w:p>
    <w:p w14:paraId="084ECE4B" w14:textId="5DD23EBA" w:rsidR="00AE5C84" w:rsidRDefault="00AE5C84" w:rsidP="00B4724C">
      <w:pPr>
        <w:pStyle w:val="Paragraphedeliste"/>
        <w:numPr>
          <w:ilvl w:val="0"/>
          <w:numId w:val="4"/>
        </w:numPr>
        <w:spacing w:line="276" w:lineRule="auto"/>
        <w:ind w:left="993" w:hanging="284"/>
        <w:jc w:val="both"/>
        <w:rPr>
          <w:b/>
          <w:bCs/>
        </w:rPr>
      </w:pPr>
      <w:r w:rsidRPr="003555C0">
        <w:rPr>
          <w:b/>
          <w:bCs/>
        </w:rPr>
        <w:t>Indemnisation des collatéraux</w:t>
      </w:r>
    </w:p>
    <w:p w14:paraId="65BD49C0" w14:textId="77777777" w:rsidR="00CA3F44" w:rsidRPr="00CA3F44" w:rsidRDefault="00CA3F44" w:rsidP="00CA3F44">
      <w:pPr>
        <w:spacing w:line="276" w:lineRule="auto"/>
        <w:jc w:val="both"/>
        <w:rPr>
          <w:b/>
          <w:bCs/>
        </w:rPr>
      </w:pPr>
    </w:p>
    <w:p w14:paraId="524CD854" w14:textId="68058C70" w:rsidR="00AE5C84" w:rsidRDefault="00AE5C84" w:rsidP="00B4724C">
      <w:pPr>
        <w:pStyle w:val="Paragraphedeliste"/>
        <w:numPr>
          <w:ilvl w:val="0"/>
          <w:numId w:val="4"/>
        </w:numPr>
        <w:tabs>
          <w:tab w:val="left" w:pos="993"/>
        </w:tabs>
        <w:spacing w:line="276" w:lineRule="auto"/>
        <w:ind w:hanging="11"/>
        <w:contextualSpacing w:val="0"/>
        <w:jc w:val="both"/>
        <w:rPr>
          <w:b/>
          <w:bCs/>
        </w:rPr>
      </w:pPr>
      <w:r>
        <w:rPr>
          <w:b/>
          <w:bCs/>
        </w:rPr>
        <w:t>Réalisation d’études sur les conséquences environnementales</w:t>
      </w:r>
      <w:r w:rsidR="005849FE">
        <w:rPr>
          <w:b/>
          <w:bCs/>
        </w:rPr>
        <w:t>.</w:t>
      </w:r>
    </w:p>
    <w:p w14:paraId="1861FC45" w14:textId="77777777" w:rsidR="00A23293" w:rsidRPr="00A23293" w:rsidRDefault="00A23293" w:rsidP="00A23293">
      <w:pPr>
        <w:pStyle w:val="Paragraphedeliste"/>
        <w:rPr>
          <w:b/>
          <w:bCs/>
        </w:rPr>
      </w:pPr>
    </w:p>
    <w:p w14:paraId="0879D22E" w14:textId="3ACC508B" w:rsidR="00A23293" w:rsidRPr="00A23293" w:rsidRDefault="00A23293" w:rsidP="00A23293">
      <w:pPr>
        <w:pStyle w:val="Paragraphedeliste"/>
        <w:tabs>
          <w:tab w:val="left" w:pos="993"/>
        </w:tabs>
        <w:spacing w:line="276" w:lineRule="auto"/>
        <w:contextualSpacing w:val="0"/>
        <w:jc w:val="both"/>
        <w:rPr>
          <w:b/>
          <w:bCs/>
        </w:rPr>
      </w:pPr>
      <w:r>
        <w:t>Ceci s</w:t>
      </w:r>
      <w:r w:rsidRPr="00382FE7">
        <w:t>ous l’égide d’experts de l’ONU ; demande faite par le Tavini huiraatira et le Tapura Huiraatira</w:t>
      </w:r>
      <w:r>
        <w:t>.</w:t>
      </w:r>
    </w:p>
    <w:p w14:paraId="74A8C7B1" w14:textId="77777777" w:rsidR="005849FE" w:rsidRPr="00A23293" w:rsidRDefault="005849FE" w:rsidP="00A23293">
      <w:pPr>
        <w:rPr>
          <w:b/>
          <w:bCs/>
        </w:rPr>
      </w:pPr>
    </w:p>
    <w:p w14:paraId="3928FE19" w14:textId="526A6118" w:rsidR="005849FE" w:rsidRPr="005849FE" w:rsidRDefault="005849FE" w:rsidP="005849FE">
      <w:pPr>
        <w:tabs>
          <w:tab w:val="left" w:pos="993"/>
        </w:tabs>
        <w:spacing w:line="276" w:lineRule="auto"/>
        <w:jc w:val="both"/>
      </w:pPr>
      <w:r w:rsidRPr="005849FE">
        <w:t xml:space="preserve">L’Association a également </w:t>
      </w:r>
      <w:r>
        <w:t>émis</w:t>
      </w:r>
      <w:r w:rsidRPr="005849FE">
        <w:t xml:space="preserve"> les doléances suivantes :</w:t>
      </w:r>
    </w:p>
    <w:p w14:paraId="0C5BF6E9" w14:textId="77777777" w:rsidR="00984850" w:rsidRPr="00984850" w:rsidRDefault="00984850" w:rsidP="00984850">
      <w:pPr>
        <w:tabs>
          <w:tab w:val="left" w:pos="993"/>
        </w:tabs>
        <w:spacing w:line="276" w:lineRule="auto"/>
        <w:jc w:val="both"/>
        <w:rPr>
          <w:b/>
          <w:bCs/>
        </w:rPr>
      </w:pPr>
    </w:p>
    <w:p w14:paraId="7FC0BDEB" w14:textId="71438140" w:rsidR="000444D8" w:rsidRPr="0048657A" w:rsidRDefault="000444D8" w:rsidP="0048657A">
      <w:pPr>
        <w:pStyle w:val="Paragraphedeliste"/>
        <w:numPr>
          <w:ilvl w:val="0"/>
          <w:numId w:val="4"/>
        </w:numPr>
        <w:tabs>
          <w:tab w:val="left" w:pos="851"/>
          <w:tab w:val="left" w:pos="1985"/>
        </w:tabs>
        <w:spacing w:after="120" w:line="276" w:lineRule="auto"/>
        <w:ind w:left="993" w:hanging="284"/>
        <w:contextualSpacing w:val="0"/>
        <w:jc w:val="both"/>
        <w:rPr>
          <w:b/>
          <w:bCs/>
        </w:rPr>
      </w:pPr>
      <w:r w:rsidRPr="0048657A">
        <w:rPr>
          <w:b/>
          <w:bCs/>
        </w:rPr>
        <w:t>Levée de l’opposition de la solidarité nationale afin que la responsabilité de l’Etat soit mise en cause </w:t>
      </w:r>
    </w:p>
    <w:p w14:paraId="51AF7A5C" w14:textId="07AE7C2D" w:rsidR="004E5E1F" w:rsidRPr="004E5E1F" w:rsidRDefault="0048657A" w:rsidP="003634B5">
      <w:pPr>
        <w:pStyle w:val="Paragraphedeliste"/>
        <w:numPr>
          <w:ilvl w:val="0"/>
          <w:numId w:val="4"/>
        </w:numPr>
        <w:tabs>
          <w:tab w:val="left" w:pos="851"/>
        </w:tabs>
        <w:spacing w:after="120" w:line="276" w:lineRule="auto"/>
        <w:ind w:left="993" w:hanging="284"/>
        <w:contextualSpacing w:val="0"/>
        <w:jc w:val="both"/>
        <w:rPr>
          <w:b/>
          <w:bCs/>
        </w:rPr>
      </w:pPr>
      <w:r w:rsidRPr="0048657A">
        <w:rPr>
          <w:b/>
          <w:bCs/>
        </w:rPr>
        <w:t xml:space="preserve">La restitution des registres de cancers en Polynésie dont la perte est principalement </w:t>
      </w:r>
      <w:r w:rsidR="004E5E1F" w:rsidRPr="0048657A">
        <w:rPr>
          <w:b/>
          <w:bCs/>
        </w:rPr>
        <w:t>due</w:t>
      </w:r>
      <w:r w:rsidRPr="0048657A">
        <w:rPr>
          <w:b/>
          <w:bCs/>
        </w:rPr>
        <w:t xml:space="preserve"> aux autorités de Santé qui, dans le passé,</w:t>
      </w:r>
      <w:r>
        <w:rPr>
          <w:b/>
          <w:bCs/>
        </w:rPr>
        <w:t xml:space="preserve"> </w:t>
      </w:r>
      <w:r w:rsidRPr="0048657A">
        <w:rPr>
          <w:b/>
          <w:bCs/>
        </w:rPr>
        <w:t>étaient entre les mains des médecins chefs militaires</w:t>
      </w:r>
    </w:p>
    <w:p w14:paraId="61DC3B39" w14:textId="57F9B5F7" w:rsidR="004E5E1F" w:rsidRPr="004E5E1F" w:rsidRDefault="004E5E1F" w:rsidP="004E5E1F">
      <w:pPr>
        <w:pStyle w:val="Paragraphedeliste"/>
        <w:tabs>
          <w:tab w:val="left" w:pos="851"/>
        </w:tabs>
        <w:spacing w:line="276" w:lineRule="auto"/>
        <w:ind w:left="993"/>
        <w:jc w:val="both"/>
      </w:pPr>
      <w:r w:rsidRPr="004E5E1F">
        <w:t xml:space="preserve">Sur ce point, </w:t>
      </w:r>
      <w:r>
        <w:t>le président FRITCH a déclaré lors d’une des première</w:t>
      </w:r>
      <w:r w:rsidR="008666A3">
        <w:t>s</w:t>
      </w:r>
      <w:r>
        <w:t xml:space="preserve"> réunion</w:t>
      </w:r>
      <w:r w:rsidR="008666A3">
        <w:t>s</w:t>
      </w:r>
      <w:r>
        <w:t xml:space="preserve"> et face à l’ensemble des membres présents que : « Il est clair que le Centre médical de suivi (CMS) est un échec</w:t>
      </w:r>
      <w:r w:rsidR="008666A3">
        <w:t xml:space="preserve"> </w:t>
      </w:r>
      <w:r>
        <w:t>».</w:t>
      </w:r>
    </w:p>
    <w:p w14:paraId="729329BC" w14:textId="77777777" w:rsidR="000444D8" w:rsidRPr="0048657A" w:rsidRDefault="000444D8" w:rsidP="0048657A">
      <w:pPr>
        <w:pStyle w:val="Paragraphedeliste"/>
        <w:tabs>
          <w:tab w:val="left" w:pos="851"/>
          <w:tab w:val="left" w:pos="1985"/>
        </w:tabs>
        <w:spacing w:line="276" w:lineRule="auto"/>
        <w:ind w:left="993" w:hanging="284"/>
        <w:contextualSpacing w:val="0"/>
        <w:jc w:val="both"/>
        <w:rPr>
          <w:b/>
          <w:bCs/>
        </w:rPr>
      </w:pPr>
    </w:p>
    <w:p w14:paraId="2608812E" w14:textId="646D2BF0" w:rsidR="0075228F" w:rsidRDefault="0075228F" w:rsidP="00955EBE">
      <w:pPr>
        <w:pStyle w:val="Paragraphedeliste"/>
        <w:numPr>
          <w:ilvl w:val="0"/>
          <w:numId w:val="4"/>
        </w:numPr>
        <w:spacing w:line="276" w:lineRule="auto"/>
        <w:ind w:left="993" w:hanging="426"/>
        <w:contextualSpacing w:val="0"/>
        <w:jc w:val="both"/>
        <w:rPr>
          <w:b/>
          <w:bCs/>
        </w:rPr>
      </w:pPr>
      <w:r>
        <w:rPr>
          <w:b/>
          <w:bCs/>
        </w:rPr>
        <w:t>Création d’un statut de « déplacés sanitaires » pour les habitants de Tureia notamment, suite au risque d’effondrement de Moruroa. Ce statut leur permettrait alors une prise en charge totale et anticipée par l’Etat, des frais de relogement et autres</w:t>
      </w:r>
      <w:r w:rsidR="000444D8">
        <w:rPr>
          <w:b/>
          <w:bCs/>
        </w:rPr>
        <w:t> </w:t>
      </w:r>
    </w:p>
    <w:p w14:paraId="1BCAA1E3" w14:textId="77777777" w:rsidR="00984850" w:rsidRPr="00EB069D" w:rsidRDefault="00984850" w:rsidP="00984850">
      <w:pPr>
        <w:pStyle w:val="Paragraphedeliste"/>
        <w:tabs>
          <w:tab w:val="left" w:pos="1985"/>
        </w:tabs>
        <w:spacing w:line="276" w:lineRule="auto"/>
        <w:ind w:left="993"/>
        <w:contextualSpacing w:val="0"/>
        <w:jc w:val="both"/>
        <w:rPr>
          <w:b/>
          <w:bCs/>
        </w:rPr>
      </w:pPr>
    </w:p>
    <w:p w14:paraId="63F266BD" w14:textId="4B3B92A5" w:rsidR="00CA3F44" w:rsidRDefault="0075228F" w:rsidP="0048657A">
      <w:pPr>
        <w:pStyle w:val="Paragraphedeliste"/>
        <w:numPr>
          <w:ilvl w:val="0"/>
          <w:numId w:val="4"/>
        </w:numPr>
        <w:ind w:left="992" w:hanging="425"/>
        <w:contextualSpacing w:val="0"/>
        <w:rPr>
          <w:b/>
          <w:bCs/>
        </w:rPr>
      </w:pPr>
      <w:r>
        <w:rPr>
          <w:b/>
          <w:bCs/>
        </w:rPr>
        <w:t xml:space="preserve">Création </w:t>
      </w:r>
      <w:r w:rsidR="00A61CA6">
        <w:rPr>
          <w:b/>
          <w:bCs/>
        </w:rPr>
        <w:t>de bourses d’études pour des polynésiens désireux d’entamer de hautes études sur le fait nucléaire</w:t>
      </w:r>
      <w:r w:rsidR="000444D8">
        <w:rPr>
          <w:b/>
          <w:bCs/>
        </w:rPr>
        <w:t> </w:t>
      </w:r>
    </w:p>
    <w:p w14:paraId="5345A59A" w14:textId="77777777" w:rsidR="00984850" w:rsidRDefault="00984850" w:rsidP="00984850">
      <w:pPr>
        <w:pStyle w:val="Paragraphedeliste"/>
        <w:ind w:left="992"/>
        <w:contextualSpacing w:val="0"/>
        <w:rPr>
          <w:b/>
          <w:bCs/>
        </w:rPr>
      </w:pPr>
    </w:p>
    <w:p w14:paraId="03EBF8C1" w14:textId="05A8DB98" w:rsidR="00DA4561" w:rsidRDefault="00A61CA6" w:rsidP="00B4724C">
      <w:pPr>
        <w:pStyle w:val="Paragraphedeliste"/>
        <w:numPr>
          <w:ilvl w:val="0"/>
          <w:numId w:val="4"/>
        </w:numPr>
        <w:ind w:left="993" w:hanging="426"/>
        <w:rPr>
          <w:b/>
          <w:bCs/>
        </w:rPr>
      </w:pPr>
      <w:r>
        <w:rPr>
          <w:b/>
          <w:bCs/>
        </w:rPr>
        <w:t>D</w:t>
      </w:r>
      <w:r w:rsidR="005849FE">
        <w:rPr>
          <w:b/>
          <w:bCs/>
        </w:rPr>
        <w:t>éclaration du</w:t>
      </w:r>
      <w:r>
        <w:rPr>
          <w:b/>
          <w:bCs/>
        </w:rPr>
        <w:t xml:space="preserve"> fait nucléaire comme le fruit d’un fait colonial</w:t>
      </w:r>
      <w:r w:rsidR="00A23293">
        <w:rPr>
          <w:b/>
          <w:bCs/>
        </w:rPr>
        <w:t xml:space="preserve">, </w:t>
      </w:r>
      <w:r w:rsidR="00A23293" w:rsidRPr="00A23293">
        <w:t>et avec pour rappel que la Polynésie est inscrite sur la liste des pays à décoloniser depuis 2013</w:t>
      </w:r>
      <w:r w:rsidR="00A23293" w:rsidRPr="00A23293">
        <w:rPr>
          <w:b/>
          <w:bCs/>
        </w:rPr>
        <w:t>.</w:t>
      </w:r>
    </w:p>
    <w:p w14:paraId="3CB45477" w14:textId="77777777" w:rsidR="0048657A" w:rsidRPr="0048657A" w:rsidRDefault="0048657A" w:rsidP="0048657A">
      <w:pPr>
        <w:pStyle w:val="Paragraphedeliste"/>
        <w:rPr>
          <w:b/>
          <w:bCs/>
        </w:rPr>
      </w:pPr>
    </w:p>
    <w:p w14:paraId="39FD1250" w14:textId="77777777" w:rsidR="0048657A" w:rsidRDefault="0048657A" w:rsidP="0048657A">
      <w:pPr>
        <w:pStyle w:val="Paragraphedeliste"/>
        <w:ind w:left="993"/>
        <w:rPr>
          <w:b/>
          <w:bCs/>
        </w:rPr>
      </w:pPr>
    </w:p>
    <w:p w14:paraId="7BAF7134" w14:textId="77777777" w:rsidR="00DA4561" w:rsidRDefault="00DA4561" w:rsidP="00F96589"/>
    <w:p w14:paraId="198D16C6" w14:textId="38DD4D28" w:rsidR="00E931C7" w:rsidRPr="008A2393" w:rsidRDefault="0027446F" w:rsidP="00B4724C">
      <w:pPr>
        <w:pStyle w:val="Paragraphedeliste"/>
        <w:numPr>
          <w:ilvl w:val="0"/>
          <w:numId w:val="1"/>
        </w:numPr>
        <w:rPr>
          <w:b/>
          <w:bCs/>
          <w:color w:val="00B050"/>
        </w:rPr>
      </w:pPr>
      <w:r w:rsidRPr="008A2393">
        <w:rPr>
          <w:b/>
          <w:bCs/>
          <w:color w:val="00B050"/>
        </w:rPr>
        <w:t>CONSTAT SUR L’</w:t>
      </w:r>
      <w:r w:rsidR="00E931C7" w:rsidRPr="008A2393">
        <w:rPr>
          <w:b/>
          <w:bCs/>
          <w:color w:val="00B050"/>
        </w:rPr>
        <w:t xml:space="preserve">ATTITUDE ET </w:t>
      </w:r>
      <w:r w:rsidR="00CA6C32" w:rsidRPr="008A2393">
        <w:rPr>
          <w:b/>
          <w:bCs/>
          <w:color w:val="00B050"/>
        </w:rPr>
        <w:t xml:space="preserve">LES </w:t>
      </w:r>
      <w:r w:rsidR="00E931C7" w:rsidRPr="008A2393">
        <w:rPr>
          <w:b/>
          <w:bCs/>
          <w:color w:val="00B050"/>
        </w:rPr>
        <w:t>DOLEANCES D</w:t>
      </w:r>
      <w:r w:rsidR="00A53946" w:rsidRPr="008A2393">
        <w:rPr>
          <w:b/>
          <w:bCs/>
          <w:color w:val="00B050"/>
        </w:rPr>
        <w:t xml:space="preserve">E CERTAINS </w:t>
      </w:r>
      <w:r w:rsidR="00E931C7" w:rsidRPr="008A2393">
        <w:rPr>
          <w:b/>
          <w:bCs/>
          <w:color w:val="00B050"/>
        </w:rPr>
        <w:t>PARTICIPANTS</w:t>
      </w:r>
    </w:p>
    <w:p w14:paraId="569B8DB4" w14:textId="4E8C2751" w:rsidR="00E931C7" w:rsidRDefault="00E931C7" w:rsidP="00F96589"/>
    <w:p w14:paraId="3605CD8C" w14:textId="77777777" w:rsidR="00C310D4" w:rsidRDefault="00A53946" w:rsidP="001517F4">
      <w:pPr>
        <w:autoSpaceDE w:val="0"/>
        <w:autoSpaceDN w:val="0"/>
        <w:adjustRightInd w:val="0"/>
        <w:ind w:firstLine="709"/>
        <w:jc w:val="both"/>
      </w:pPr>
      <w:r>
        <w:t xml:space="preserve">Etonnamment, était présente autour de la table, </w:t>
      </w:r>
      <w:r w:rsidR="00C63079">
        <w:t>« </w:t>
      </w:r>
      <w:r>
        <w:t>La ligue contre le cancer en Polynésie</w:t>
      </w:r>
      <w:r w:rsidR="00C63079">
        <w:t> »</w:t>
      </w:r>
      <w:r>
        <w:t xml:space="preserve">, </w:t>
      </w:r>
      <w:r w:rsidR="00FF5E15">
        <w:t xml:space="preserve">association reconnue d’intérêt général, </w:t>
      </w:r>
      <w:r>
        <w:t>représentée par sa présidente d’honneur, Mme Patricia GRAND</w:t>
      </w:r>
      <w:r w:rsidR="000008AC">
        <w:t>. En effet, alors que certains points de l’objet social de cette association consiste</w:t>
      </w:r>
      <w:r w:rsidR="0052432A">
        <w:t>nt</w:t>
      </w:r>
      <w:r w:rsidR="000008AC">
        <w:t xml:space="preserve"> à « informer et prévenir la population sur les cancers, à soutenir et accompagner les malades et leurs proches</w:t>
      </w:r>
      <w:r w:rsidR="0052432A">
        <w:t> »</w:t>
      </w:r>
      <w:r w:rsidR="000008AC">
        <w:t>,</w:t>
      </w:r>
      <w:r w:rsidR="00582627">
        <w:t xml:space="preserve"> il aura fallu une table ronde avec le président de la République pour qu’enfin, les dirigeants de ce comité daignent voir un possible lien avec les </w:t>
      </w:r>
      <w:r w:rsidR="0052432A">
        <w:t xml:space="preserve">essais nucléaires ! Pour autant, elle n’a eu de cesse durant les réunions préparatoires de « Reko Tika » de soutenir qu’elle ne pourra jamais dire que tous les cancers sont dus aux essais nucléaires, mais que de par sa présence, elle se range à la décision de la majorité ! </w:t>
      </w:r>
    </w:p>
    <w:p w14:paraId="3A240C95" w14:textId="1CE5C6BC" w:rsidR="00582627" w:rsidRDefault="0052432A" w:rsidP="001517F4">
      <w:pPr>
        <w:autoSpaceDE w:val="0"/>
        <w:autoSpaceDN w:val="0"/>
        <w:adjustRightInd w:val="0"/>
        <w:ind w:firstLine="709"/>
        <w:jc w:val="both"/>
      </w:pPr>
      <w:r>
        <w:t>A ces propos, il lui a été rappelé qu’à aucun moment de telles affirmations n’ont été tenues, néanmoins, le constat alarmant est là : plus de 800 nouveaux cas de cancers par an !</w:t>
      </w:r>
    </w:p>
    <w:p w14:paraId="3A3E7CE5" w14:textId="79B3EF4E" w:rsidR="0052432A" w:rsidRDefault="0052432A" w:rsidP="00582627">
      <w:pPr>
        <w:autoSpaceDE w:val="0"/>
        <w:autoSpaceDN w:val="0"/>
        <w:adjustRightInd w:val="0"/>
        <w:ind w:left="709"/>
        <w:jc w:val="both"/>
      </w:pPr>
    </w:p>
    <w:p w14:paraId="57483626" w14:textId="3734361C" w:rsidR="00B4724C" w:rsidRDefault="00C63079" w:rsidP="001517F4">
      <w:pPr>
        <w:autoSpaceDE w:val="0"/>
        <w:autoSpaceDN w:val="0"/>
        <w:adjustRightInd w:val="0"/>
        <w:ind w:firstLine="709"/>
        <w:jc w:val="both"/>
      </w:pPr>
      <w:r>
        <w:t xml:space="preserve">Quant au représentant de l’Association « Tamarii moruroa », Yannick LOWGREEN, </w:t>
      </w:r>
      <w:r w:rsidR="001B5CE9">
        <w:t>égal à lui-même avec sa demande de</w:t>
      </w:r>
      <w:r w:rsidR="002F6567">
        <w:t xml:space="preserve"> reconnaissance des vétérans moyennant </w:t>
      </w:r>
      <w:r w:rsidR="002F6567" w:rsidRPr="002B2807">
        <w:rPr>
          <w:b/>
          <w:bCs/>
        </w:rPr>
        <w:t>une médaille</w:t>
      </w:r>
      <w:r w:rsidR="002F6567">
        <w:t xml:space="preserve"> ! </w:t>
      </w:r>
      <w:r w:rsidR="001B5CE9">
        <w:t>S’il est d’évidence que tous les anciens travailleurs doivent être reconnus victimes des essais nucléaires avec une prise en charge totale de leurs frais notamment sanitaires, pour autant, comment peut on concevoir de quémander d’être décoré pour avoir contribué à la fabrication d’engins de mort ? Il existe d’autres véhicules pour arriver à cette prise en charge.</w:t>
      </w:r>
    </w:p>
    <w:p w14:paraId="115CBB81" w14:textId="54914345" w:rsidR="00B4724C" w:rsidRPr="005E0F81" w:rsidRDefault="00E12742" w:rsidP="001517F4">
      <w:pPr>
        <w:pStyle w:val="Paragraphedeliste"/>
        <w:spacing w:before="240" w:after="160" w:line="276" w:lineRule="auto"/>
        <w:ind w:left="0" w:firstLine="709"/>
        <w:contextualSpacing w:val="0"/>
        <w:jc w:val="both"/>
        <w:rPr>
          <w:i/>
          <w:iCs/>
        </w:rPr>
      </w:pPr>
      <w:r w:rsidRPr="00E12742">
        <w:t>Et en ce qui concerne l</w:t>
      </w:r>
      <w:r w:rsidR="00B4724C" w:rsidRPr="00E12742">
        <w:t>e coordonnateur Joel ALLAIN</w:t>
      </w:r>
      <w:r w:rsidRPr="00E12742">
        <w:t>, ses propos</w:t>
      </w:r>
      <w:r>
        <w:t xml:space="preserve"> venaient alimenter le doute que beaucoup nourrissent, mettant le doute du côté des populations victimes, </w:t>
      </w:r>
      <w:r w:rsidR="00E145B3">
        <w:t xml:space="preserve">et </w:t>
      </w:r>
      <w:r>
        <w:t>défendant ainsi la cause de l’Etat</w:t>
      </w:r>
      <w:r w:rsidR="00B4724C" w:rsidRPr="00B4724C">
        <w:rPr>
          <w:b/>
          <w:bCs/>
          <w:i/>
          <w:iCs/>
        </w:rPr>
        <w:t> :</w:t>
      </w:r>
      <w:r w:rsidR="00B4724C">
        <w:rPr>
          <w:i/>
          <w:iCs/>
        </w:rPr>
        <w:t xml:space="preserve"> </w:t>
      </w:r>
      <w:r w:rsidR="00B4724C" w:rsidRPr="005E0F81">
        <w:rPr>
          <w:i/>
          <w:iCs/>
        </w:rPr>
        <w:t>« J’ai du mal, dans ma conscience et mon intelligence, à entendre demander le remboursement des milliards de la CPS qui voudrait dire que tous ces cancers sont liés aux essais nucléaires ».</w:t>
      </w:r>
    </w:p>
    <w:p w14:paraId="5225DB59" w14:textId="6EBD3977" w:rsidR="00B4724C" w:rsidRDefault="00224C78" w:rsidP="001517F4">
      <w:pPr>
        <w:autoSpaceDE w:val="0"/>
        <w:autoSpaceDN w:val="0"/>
        <w:adjustRightInd w:val="0"/>
        <w:ind w:firstLine="567"/>
        <w:jc w:val="both"/>
      </w:pPr>
      <w:r>
        <w:t xml:space="preserve">Et </w:t>
      </w:r>
      <w:r w:rsidR="00C310D4">
        <w:t>q</w:t>
      </w:r>
      <w:r>
        <w:t xml:space="preserve">uant aux autres ateliers, sociétal, environnemental et économique, </w:t>
      </w:r>
      <w:r w:rsidR="001455B4">
        <w:t xml:space="preserve">en </w:t>
      </w:r>
      <w:r w:rsidR="00C310D4">
        <w:t>est</w:t>
      </w:r>
      <w:r w:rsidR="001455B4">
        <w:t xml:space="preserve"> ressorti, à notre sens, une dominante que </w:t>
      </w:r>
      <w:r w:rsidR="00C310D4">
        <w:t>pour les membres de ces ateliers, l</w:t>
      </w:r>
      <w:r w:rsidR="001455B4">
        <w:t>es essais nucléaires relèvent du passé, et qu’il est temps de tourner la page !</w:t>
      </w:r>
    </w:p>
    <w:p w14:paraId="57A2E50F" w14:textId="77777777" w:rsidR="009D517F" w:rsidRDefault="009D517F" w:rsidP="001517F4">
      <w:pPr>
        <w:autoSpaceDE w:val="0"/>
        <w:autoSpaceDN w:val="0"/>
        <w:adjustRightInd w:val="0"/>
        <w:ind w:firstLine="567"/>
        <w:jc w:val="both"/>
      </w:pPr>
    </w:p>
    <w:p w14:paraId="7A5417BC" w14:textId="743A1033" w:rsidR="0013461A" w:rsidRDefault="009D517F" w:rsidP="001517F4">
      <w:pPr>
        <w:autoSpaceDE w:val="0"/>
        <w:autoSpaceDN w:val="0"/>
        <w:adjustRightInd w:val="0"/>
        <w:ind w:firstLine="709"/>
        <w:jc w:val="both"/>
      </w:pPr>
      <w:r>
        <w:t>Or, comment tourner une page qui n’a même pas dévoilé tous ses secrets tenus confidentiels au nom d’une raison d’Etat ?</w:t>
      </w:r>
    </w:p>
    <w:p w14:paraId="5C3FBDFA" w14:textId="5A5E21E6" w:rsidR="0013461A" w:rsidRDefault="0013461A" w:rsidP="00EC731F"/>
    <w:p w14:paraId="68476013" w14:textId="153DABD8" w:rsidR="001159B2" w:rsidRDefault="001159B2" w:rsidP="00EC731F"/>
    <w:p w14:paraId="79F6495E" w14:textId="78699B6C" w:rsidR="001159B2" w:rsidRDefault="001159B2" w:rsidP="00EC731F"/>
    <w:p w14:paraId="067C7D3E" w14:textId="370B3EE8" w:rsidR="001159B2" w:rsidRDefault="001159B2" w:rsidP="00EC731F"/>
    <w:p w14:paraId="45792834" w14:textId="540833D9" w:rsidR="001517F4" w:rsidRDefault="001517F4" w:rsidP="00EC731F"/>
    <w:p w14:paraId="59B9E751" w14:textId="77777777" w:rsidR="001517F4" w:rsidRDefault="001517F4" w:rsidP="00EC731F"/>
    <w:p w14:paraId="7818C46E" w14:textId="69349A95" w:rsidR="001159B2" w:rsidRDefault="001159B2" w:rsidP="00EC731F"/>
    <w:p w14:paraId="221B3241" w14:textId="77777777" w:rsidR="001159B2" w:rsidRDefault="001159B2" w:rsidP="00EC731F"/>
    <w:p w14:paraId="08FF78A0" w14:textId="77777777" w:rsidR="00E931C7" w:rsidRDefault="00E931C7" w:rsidP="00E931C7">
      <w:pPr>
        <w:pStyle w:val="Paragraphedeliste"/>
        <w:ind w:left="567"/>
      </w:pPr>
    </w:p>
    <w:p w14:paraId="3EA8417F" w14:textId="7D38AC5D" w:rsidR="00E931C7" w:rsidRPr="008A2393" w:rsidRDefault="00E931C7" w:rsidP="00B4724C">
      <w:pPr>
        <w:pStyle w:val="Paragraphedeliste"/>
        <w:numPr>
          <w:ilvl w:val="0"/>
          <w:numId w:val="1"/>
        </w:numPr>
        <w:ind w:left="567" w:hanging="207"/>
        <w:rPr>
          <w:b/>
          <w:bCs/>
          <w:color w:val="00B050"/>
        </w:rPr>
      </w:pPr>
      <w:r w:rsidRPr="008A2393">
        <w:rPr>
          <w:b/>
          <w:bCs/>
          <w:color w:val="00B050"/>
        </w:rPr>
        <w:lastRenderedPageBreak/>
        <w:t>INTERVENTION D</w:t>
      </w:r>
      <w:r w:rsidR="003073DA" w:rsidRPr="008A2393">
        <w:rPr>
          <w:b/>
          <w:bCs/>
          <w:color w:val="00B050"/>
        </w:rPr>
        <w:t xml:space="preserve">’ENSEIGNANTS </w:t>
      </w:r>
      <w:r w:rsidRPr="008A2393">
        <w:rPr>
          <w:b/>
          <w:bCs/>
          <w:color w:val="00B050"/>
        </w:rPr>
        <w:t>UNIVERSITAIRES</w:t>
      </w:r>
    </w:p>
    <w:p w14:paraId="1879CB76" w14:textId="0E917DB4" w:rsidR="00E931C7" w:rsidRDefault="00E931C7" w:rsidP="00E931C7">
      <w:pPr>
        <w:pStyle w:val="Paragraphedeliste"/>
        <w:ind w:left="567"/>
      </w:pPr>
    </w:p>
    <w:p w14:paraId="5D2C891C" w14:textId="3BD3D65E" w:rsidR="00EB40DB" w:rsidRDefault="00E770C5" w:rsidP="00E931C7">
      <w:pPr>
        <w:pStyle w:val="Paragraphedeliste"/>
        <w:ind w:left="567"/>
      </w:pPr>
      <w:r>
        <w:t>Deux</w:t>
      </w:r>
      <w:r w:rsidR="00EB40DB">
        <w:t xml:space="preserve"> groupes </w:t>
      </w:r>
      <w:r>
        <w:t>d’universitaires sont intervenus</w:t>
      </w:r>
      <w:r w:rsidR="00DC3C21">
        <w:t>.</w:t>
      </w:r>
    </w:p>
    <w:p w14:paraId="5E5CE619" w14:textId="77777777" w:rsidR="00EB40DB" w:rsidRDefault="00EB40DB" w:rsidP="00E931C7">
      <w:pPr>
        <w:pStyle w:val="Paragraphedeliste"/>
        <w:ind w:left="567"/>
      </w:pPr>
    </w:p>
    <w:p w14:paraId="089F9410" w14:textId="6B74E03C" w:rsidR="00DC3C21" w:rsidRDefault="00DC3C21" w:rsidP="001517F4">
      <w:pPr>
        <w:pStyle w:val="Paragraphedeliste"/>
        <w:ind w:left="0" w:firstLine="567"/>
      </w:pPr>
      <w:r>
        <w:t>Le premier groupe,</w:t>
      </w:r>
      <w:r w:rsidR="00EB40DB">
        <w:t xml:space="preserve"> </w:t>
      </w:r>
      <w:r w:rsidR="00EB40DB" w:rsidRPr="00DC3C21">
        <w:t xml:space="preserve">dirigé par </w:t>
      </w:r>
      <w:r w:rsidRPr="00DC3C21">
        <w:t xml:space="preserve">le </w:t>
      </w:r>
      <w:r w:rsidR="00EB40DB" w:rsidRPr="00DC3C21">
        <w:t>prof</w:t>
      </w:r>
      <w:r w:rsidRPr="00DC3C21">
        <w:t>esse</w:t>
      </w:r>
      <w:r>
        <w:t>u</w:t>
      </w:r>
      <w:r w:rsidRPr="00DC3C21">
        <w:t>r METZ</w:t>
      </w:r>
      <w:r w:rsidR="00EB40DB" w:rsidRPr="00DC3C21">
        <w:t xml:space="preserve"> </w:t>
      </w:r>
      <w:r w:rsidRPr="00DC3C21">
        <w:t>de</w:t>
      </w:r>
      <w:r w:rsidR="00EB40DB" w:rsidRPr="00DC3C21">
        <w:t xml:space="preserve"> </w:t>
      </w:r>
      <w:r>
        <w:t xml:space="preserve">France. Ce groupe souligne </w:t>
      </w:r>
      <w:r w:rsidR="00EB40DB" w:rsidRPr="00DC3C21">
        <w:t>que tou</w:t>
      </w:r>
      <w:r>
        <w:t>tes</w:t>
      </w:r>
      <w:r w:rsidR="00EB40DB" w:rsidRPr="00DC3C21">
        <w:t xml:space="preserve"> les archives du CEA sont bloquées et </w:t>
      </w:r>
      <w:r>
        <w:t xml:space="preserve">qu’il est </w:t>
      </w:r>
      <w:r w:rsidR="00EB40DB" w:rsidRPr="00DC3C21">
        <w:t>donc impossible de les consulter</w:t>
      </w:r>
      <w:r>
        <w:t>.</w:t>
      </w:r>
    </w:p>
    <w:p w14:paraId="2242CF60" w14:textId="77777777" w:rsidR="00DC3C21" w:rsidRDefault="00DC3C21" w:rsidP="00E931C7">
      <w:pPr>
        <w:pStyle w:val="Paragraphedeliste"/>
        <w:ind w:left="567"/>
      </w:pPr>
    </w:p>
    <w:p w14:paraId="69BC6D0F" w14:textId="7E62F9D7" w:rsidR="00EB40DB" w:rsidRDefault="00DC3C21" w:rsidP="00A01203">
      <w:pPr>
        <w:pStyle w:val="Paragraphedeliste"/>
        <w:numPr>
          <w:ilvl w:val="0"/>
          <w:numId w:val="6"/>
        </w:numPr>
      </w:pPr>
      <w:r>
        <w:t>Aussi,</w:t>
      </w:r>
      <w:r w:rsidR="00EB40DB" w:rsidRPr="00DC3C21">
        <w:t xml:space="preserve"> </w:t>
      </w:r>
      <w:r>
        <w:t>c</w:t>
      </w:r>
      <w:r w:rsidR="00EB40DB" w:rsidRPr="00DC3C21">
        <w:t>omment voulez</w:t>
      </w:r>
      <w:r>
        <w:t>-</w:t>
      </w:r>
      <w:r w:rsidR="00EB40DB" w:rsidRPr="00DC3C21">
        <w:t xml:space="preserve">vous qu’une </w:t>
      </w:r>
      <w:r>
        <w:t>délégation</w:t>
      </w:r>
      <w:r w:rsidR="00EB40DB" w:rsidRPr="00DC3C21">
        <w:t xml:space="preserve"> de </w:t>
      </w:r>
      <w:r>
        <w:t>R</w:t>
      </w:r>
      <w:r w:rsidR="00EB40DB" w:rsidRPr="00DC3C21">
        <w:t xml:space="preserve">eko </w:t>
      </w:r>
      <w:r>
        <w:t>T</w:t>
      </w:r>
      <w:r w:rsidR="00EB40DB" w:rsidRPr="00DC3C21">
        <w:t xml:space="preserve">ika </w:t>
      </w:r>
      <w:r>
        <w:t>trouve fondement alors que</w:t>
      </w:r>
      <w:r w:rsidR="00EB40DB" w:rsidRPr="00DC3C21">
        <w:t xml:space="preserve"> les archives sont interdites</w:t>
      </w:r>
      <w:r w:rsidR="001159B2">
        <w:t xml:space="preserve"> ? </w:t>
      </w:r>
      <w:r>
        <w:t xml:space="preserve"> </w:t>
      </w:r>
      <w:r w:rsidR="001159B2">
        <w:t>E</w:t>
      </w:r>
      <w:r>
        <w:t>t</w:t>
      </w:r>
      <w:r w:rsidR="00EB40DB" w:rsidRPr="00DC3C21">
        <w:t xml:space="preserve"> comment </w:t>
      </w:r>
      <w:r>
        <w:t xml:space="preserve">pensez-vous </w:t>
      </w:r>
      <w:r w:rsidR="00EB40DB" w:rsidRPr="00DC3C21">
        <w:t xml:space="preserve">que les victimes </w:t>
      </w:r>
      <w:r>
        <w:t>puissent être indemnisées considérant que le CIVEN se base sur des données que seul le CEA détient ?</w:t>
      </w:r>
      <w:r w:rsidR="00EB40DB" w:rsidRPr="00DC3C21">
        <w:t xml:space="preserve"> </w:t>
      </w:r>
    </w:p>
    <w:p w14:paraId="1A5519F5" w14:textId="77777777" w:rsidR="00DC3C21" w:rsidRPr="00DC3C21" w:rsidRDefault="00DC3C21" w:rsidP="00E931C7">
      <w:pPr>
        <w:pStyle w:val="Paragraphedeliste"/>
        <w:ind w:left="567"/>
      </w:pPr>
    </w:p>
    <w:p w14:paraId="713EBACF" w14:textId="77777777" w:rsidR="00EB40DB" w:rsidRDefault="00EB40DB" w:rsidP="007E6148">
      <w:pPr>
        <w:pStyle w:val="Paragraphedeliste"/>
        <w:ind w:left="567"/>
        <w:jc w:val="both"/>
      </w:pPr>
    </w:p>
    <w:p w14:paraId="102BF343" w14:textId="219DA166" w:rsidR="00E931C7" w:rsidRPr="00A01203" w:rsidRDefault="00DC3C21" w:rsidP="001517F4">
      <w:pPr>
        <w:pStyle w:val="Paragraphedeliste"/>
        <w:ind w:left="0" w:firstLine="567"/>
        <w:jc w:val="both"/>
      </w:pPr>
      <w:r w:rsidRPr="00A01203">
        <w:t>Le second groupe, composé de t</w:t>
      </w:r>
      <w:r w:rsidR="003073DA" w:rsidRPr="00A01203">
        <w:t>rois enseignants de l’Université de Polynésie française et contribuant par ailleurs aux travaux de recherches du Centre de mémoire, sont intervenus</w:t>
      </w:r>
      <w:r w:rsidR="00EB40DB" w:rsidRPr="00A01203">
        <w:t xml:space="preserve"> spécialement au titre de l’atelier « économie ». </w:t>
      </w:r>
    </w:p>
    <w:p w14:paraId="12C253CF" w14:textId="3AACBE43" w:rsidR="00377200" w:rsidRPr="00A01203" w:rsidRDefault="00A01203" w:rsidP="007E6148">
      <w:pPr>
        <w:pStyle w:val="Paragraphedeliste"/>
        <w:ind w:left="567"/>
        <w:jc w:val="both"/>
      </w:pPr>
      <w:r w:rsidRPr="00A01203">
        <w:t>Durant leurs</w:t>
      </w:r>
      <w:r w:rsidR="007E6148" w:rsidRPr="00A01203">
        <w:t xml:space="preserve"> interventions, </w:t>
      </w:r>
      <w:r w:rsidR="00EB40DB" w:rsidRPr="00A01203">
        <w:t xml:space="preserve">ils </w:t>
      </w:r>
      <w:r w:rsidRPr="00A01203">
        <w:t xml:space="preserve">ont </w:t>
      </w:r>
      <w:r w:rsidR="00EB40DB" w:rsidRPr="00A01203">
        <w:t>soulign</w:t>
      </w:r>
      <w:r w:rsidRPr="00A01203">
        <w:t>é</w:t>
      </w:r>
      <w:r w:rsidR="001517F4">
        <w:t xml:space="preserve"> </w:t>
      </w:r>
      <w:r w:rsidR="007E6148" w:rsidRPr="00A01203">
        <w:t>:</w:t>
      </w:r>
    </w:p>
    <w:p w14:paraId="5501BF01" w14:textId="468E53CB" w:rsidR="007E6148" w:rsidRPr="00A01203" w:rsidRDefault="001159B2" w:rsidP="00B4724C">
      <w:pPr>
        <w:pStyle w:val="Paragraphedeliste"/>
        <w:numPr>
          <w:ilvl w:val="0"/>
          <w:numId w:val="5"/>
        </w:numPr>
        <w:jc w:val="both"/>
      </w:pPr>
      <w:r>
        <w:t>q</w:t>
      </w:r>
      <w:r w:rsidR="007E6148" w:rsidRPr="00A01203">
        <w:t>ue le bouleversement sociétal vécu en Polynésie n’est pas nécessairement lié à l’installation du Centre d’expérimentation du Pacifique, car c’est un fait retrouvé par ailleurs, en d’autres pays du Pacifique notamment ;</w:t>
      </w:r>
    </w:p>
    <w:p w14:paraId="455CAF25" w14:textId="75DCFA52" w:rsidR="007E6148" w:rsidRPr="00A01203" w:rsidRDefault="00EB40DB" w:rsidP="00B4724C">
      <w:pPr>
        <w:pStyle w:val="Paragraphedeliste"/>
        <w:numPr>
          <w:ilvl w:val="0"/>
          <w:numId w:val="5"/>
        </w:numPr>
        <w:jc w:val="both"/>
      </w:pPr>
      <w:r w:rsidRPr="00A01203">
        <w:t>que</w:t>
      </w:r>
      <w:r w:rsidR="007E6148" w:rsidRPr="00A01203">
        <w:t xml:space="preserve"> la période des essais nucléaires </w:t>
      </w:r>
      <w:r w:rsidRPr="00A01203">
        <w:t>a plutôt</w:t>
      </w:r>
      <w:r w:rsidR="007E6148" w:rsidRPr="00A01203">
        <w:t xml:space="preserve"> été un avantage pour la Polynésie</w:t>
      </w:r>
      <w:r w:rsidR="00A01203">
        <w:t>.</w:t>
      </w:r>
    </w:p>
    <w:p w14:paraId="1C76F342" w14:textId="1A5EDE74" w:rsidR="00EB40DB" w:rsidRPr="00EB40DB" w:rsidRDefault="00EB40DB" w:rsidP="00EB40DB">
      <w:pPr>
        <w:pStyle w:val="Paragraphedeliste"/>
        <w:ind w:left="927"/>
        <w:jc w:val="both"/>
        <w:rPr>
          <w:highlight w:val="yellow"/>
        </w:rPr>
      </w:pPr>
    </w:p>
    <w:p w14:paraId="1CBE1192" w14:textId="42AE2F80" w:rsidR="007E6148" w:rsidRDefault="00EB40DB" w:rsidP="00A01203">
      <w:pPr>
        <w:pStyle w:val="Paragraphedeliste"/>
        <w:numPr>
          <w:ilvl w:val="0"/>
          <w:numId w:val="6"/>
        </w:numPr>
        <w:jc w:val="both"/>
      </w:pPr>
      <w:r w:rsidRPr="00A01203">
        <w:t xml:space="preserve">Et suite à </w:t>
      </w:r>
      <w:r w:rsidR="00A01203" w:rsidRPr="00A01203">
        <w:t xml:space="preserve">ces </w:t>
      </w:r>
      <w:r w:rsidRPr="00A01203">
        <w:t>interventions, l’association fait le constat </w:t>
      </w:r>
      <w:r w:rsidR="00A01203" w:rsidRPr="00A01203">
        <w:t>q</w:t>
      </w:r>
      <w:r w:rsidR="007E6148" w:rsidRPr="00A01203">
        <w:t>u’ils sont incapables d’estimer ce que les essais nucléaires ont rapporté à la France.</w:t>
      </w:r>
    </w:p>
    <w:p w14:paraId="2F610E4E" w14:textId="396E80C8" w:rsidR="00A55B3B" w:rsidRDefault="00A55B3B" w:rsidP="00A55B3B">
      <w:pPr>
        <w:pStyle w:val="Paragraphedeliste"/>
        <w:ind w:left="927"/>
        <w:jc w:val="both"/>
      </w:pPr>
    </w:p>
    <w:p w14:paraId="5F4F4635" w14:textId="77777777" w:rsidR="00A55B3B" w:rsidRPr="00A01203" w:rsidRDefault="00A55B3B" w:rsidP="00A55B3B">
      <w:pPr>
        <w:pStyle w:val="Paragraphedeliste"/>
        <w:ind w:left="927"/>
        <w:jc w:val="both"/>
      </w:pPr>
    </w:p>
    <w:p w14:paraId="275C7BFE" w14:textId="77777777" w:rsidR="00EC731F" w:rsidRDefault="00EC731F" w:rsidP="00F96589"/>
    <w:p w14:paraId="231984C7" w14:textId="643D100E" w:rsidR="00E931C7" w:rsidRPr="008A2393" w:rsidRDefault="00E931C7" w:rsidP="00B4724C">
      <w:pPr>
        <w:pStyle w:val="Paragraphedeliste"/>
        <w:numPr>
          <w:ilvl w:val="0"/>
          <w:numId w:val="1"/>
        </w:numPr>
        <w:ind w:left="567" w:hanging="207"/>
        <w:rPr>
          <w:b/>
          <w:bCs/>
          <w:color w:val="00B050"/>
        </w:rPr>
      </w:pPr>
      <w:r w:rsidRPr="008A2393">
        <w:rPr>
          <w:b/>
          <w:bCs/>
          <w:color w:val="00B050"/>
        </w:rPr>
        <w:t>DECISION DE L’ASSOCIATION 193</w:t>
      </w:r>
    </w:p>
    <w:p w14:paraId="27DD4533" w14:textId="6EB47151" w:rsidR="00653BE6" w:rsidRDefault="00653BE6" w:rsidP="00EC731F"/>
    <w:p w14:paraId="47E8A0E0" w14:textId="6A73B2E2" w:rsidR="000C1761" w:rsidRDefault="000C1761" w:rsidP="001517F4">
      <w:pPr>
        <w:pStyle w:val="Paragraphedeliste"/>
        <w:ind w:left="0" w:firstLine="567"/>
        <w:jc w:val="both"/>
      </w:pPr>
      <w:r>
        <w:t>Fort de tous ces constats précités, l’Association 193 est en droit de se poser la question si ceux et celles de la délégation « Reko Tika » qui sont partis, sont convaincus de l’impact sanitaire et environnemental.</w:t>
      </w:r>
      <w:r w:rsidR="00F96589">
        <w:t xml:space="preserve"> </w:t>
      </w:r>
      <w:r w:rsidR="0010678C">
        <w:t>C’est l’attitude ambivalente</w:t>
      </w:r>
      <w:r w:rsidR="00D50873">
        <w:t>,</w:t>
      </w:r>
      <w:r w:rsidR="00D50873" w:rsidRPr="00D50873">
        <w:rPr>
          <w:b/>
          <w:bCs/>
        </w:rPr>
        <w:t xml:space="preserve"> négationniste</w:t>
      </w:r>
      <w:r w:rsidR="00D50873">
        <w:t>,</w:t>
      </w:r>
      <w:r w:rsidR="0010678C">
        <w:t xml:space="preserve"> d’un bon nombre des membres de cette délégation avec la tendance </w:t>
      </w:r>
      <w:r w:rsidR="0010678C" w:rsidRPr="00D50873">
        <w:t>d’omettre la dimension humaine</w:t>
      </w:r>
      <w:r w:rsidR="0010678C">
        <w:t xml:space="preserve"> dans cette quête de vérité et justice, </w:t>
      </w:r>
      <w:r w:rsidR="0010678C" w:rsidRPr="00F96589">
        <w:rPr>
          <w:b/>
          <w:bCs/>
        </w:rPr>
        <w:t>à encore s’interroger sur</w:t>
      </w:r>
      <w:r w:rsidR="0010678C">
        <w:t xml:space="preserve"> </w:t>
      </w:r>
      <w:r w:rsidR="0010678C" w:rsidRPr="00F96589">
        <w:rPr>
          <w:b/>
          <w:bCs/>
        </w:rPr>
        <w:t>« quelles sont les victimes »,</w:t>
      </w:r>
      <w:r w:rsidR="0010678C">
        <w:t xml:space="preserve"> qui a induit la décision de l’Association à ne pas se rendre à Paris.</w:t>
      </w:r>
    </w:p>
    <w:p w14:paraId="6F8674F4" w14:textId="144198E6" w:rsidR="0010678C" w:rsidRDefault="0010678C" w:rsidP="0010678C">
      <w:pPr>
        <w:pStyle w:val="Paragraphedeliste"/>
        <w:ind w:left="426"/>
        <w:jc w:val="both"/>
      </w:pPr>
    </w:p>
    <w:p w14:paraId="33936488" w14:textId="34846140" w:rsidR="0010678C" w:rsidRDefault="001C4D6A" w:rsidP="001517F4">
      <w:pPr>
        <w:pStyle w:val="Paragraphedeliste"/>
        <w:ind w:left="0" w:firstLine="567"/>
        <w:jc w:val="both"/>
        <w:rPr>
          <w:i/>
          <w:iCs/>
          <w:color w:val="0070C0"/>
          <w:sz w:val="18"/>
          <w:szCs w:val="18"/>
        </w:rPr>
      </w:pPr>
      <w:r>
        <w:t>N</w:t>
      </w:r>
      <w:r w:rsidR="0010678C">
        <w:t xml:space="preserve">otre analyse </w:t>
      </w:r>
      <w:r>
        <w:t xml:space="preserve">a par ailleurs été confirmée par les </w:t>
      </w:r>
      <w:r w:rsidRPr="009F090E">
        <w:rPr>
          <w:b/>
          <w:bCs/>
        </w:rPr>
        <w:t>propos</w:t>
      </w:r>
      <w:r w:rsidR="009F090E" w:rsidRPr="009F090E">
        <w:rPr>
          <w:b/>
          <w:bCs/>
        </w:rPr>
        <w:t xml:space="preserve"> discrim</w:t>
      </w:r>
      <w:r w:rsidR="009F090E">
        <w:rPr>
          <w:b/>
          <w:bCs/>
        </w:rPr>
        <w:t>in</w:t>
      </w:r>
      <w:r w:rsidR="009F090E" w:rsidRPr="009F090E">
        <w:rPr>
          <w:b/>
          <w:bCs/>
        </w:rPr>
        <w:t>ants</w:t>
      </w:r>
      <w:r w:rsidRPr="009F090E">
        <w:rPr>
          <w:b/>
          <w:bCs/>
        </w:rPr>
        <w:t xml:space="preserve"> tenus par le coordonnateur</w:t>
      </w:r>
      <w:r>
        <w:t>, Joel ALLAIN, lors du point presse de la délégation « Reko Tika »</w:t>
      </w:r>
      <w:r w:rsidR="001159B2">
        <w:t xml:space="preserve"> le 24 juin 2021</w:t>
      </w:r>
      <w:r>
        <w:t xml:space="preserve"> </w:t>
      </w:r>
      <w:r w:rsidRPr="0067065C">
        <w:rPr>
          <w:color w:val="0070C0"/>
          <w:sz w:val="20"/>
          <w:szCs w:val="20"/>
        </w:rPr>
        <w:t>(</w:t>
      </w:r>
      <w:r w:rsidRPr="0067065C">
        <w:rPr>
          <w:i/>
          <w:iCs/>
          <w:color w:val="0070C0"/>
          <w:sz w:val="20"/>
          <w:szCs w:val="20"/>
        </w:rPr>
        <w:t>cf la dépêche de Tahiti du 25.06.2021)</w:t>
      </w:r>
      <w:r w:rsidRPr="00805BE3">
        <w:rPr>
          <w:i/>
          <w:iCs/>
          <w:color w:val="0070C0"/>
          <w:sz w:val="18"/>
          <w:szCs w:val="18"/>
        </w:rPr>
        <w:t> :</w:t>
      </w:r>
    </w:p>
    <w:p w14:paraId="471BA864" w14:textId="77777777" w:rsidR="00314869" w:rsidRPr="00805BE3" w:rsidRDefault="00314869" w:rsidP="0010678C">
      <w:pPr>
        <w:pStyle w:val="Paragraphedeliste"/>
        <w:ind w:left="426"/>
        <w:jc w:val="both"/>
        <w:rPr>
          <w:i/>
          <w:iCs/>
          <w:color w:val="0070C0"/>
          <w:sz w:val="18"/>
          <w:szCs w:val="18"/>
        </w:rPr>
      </w:pPr>
    </w:p>
    <w:p w14:paraId="42A6246C" w14:textId="2BFDA3EF" w:rsidR="009F090E" w:rsidRPr="00F96589" w:rsidRDefault="00124949" w:rsidP="00F96589">
      <w:pPr>
        <w:pStyle w:val="Paragraphedeliste"/>
        <w:ind w:left="426"/>
        <w:jc w:val="both"/>
        <w:rPr>
          <w:i/>
          <w:iCs/>
        </w:rPr>
      </w:pPr>
      <w:r w:rsidRPr="00314869">
        <w:rPr>
          <w:i/>
          <w:iCs/>
        </w:rPr>
        <w:t>« </w:t>
      </w:r>
      <w:r w:rsidR="00432A5F" w:rsidRPr="00314869">
        <w:rPr>
          <w:i/>
          <w:iCs/>
        </w:rPr>
        <w:t>A mon sens</w:t>
      </w:r>
      <w:r w:rsidRPr="00314869">
        <w:rPr>
          <w:i/>
          <w:iCs/>
        </w:rPr>
        <w:t>, le lien de confiance se fait par les élections et en général, celles-ci ne donnent pas méfiance à la France. Les partis autonomistes traditionnels continuent d’avoir confiance en la France.</w:t>
      </w:r>
      <w:r w:rsidR="00F96589">
        <w:rPr>
          <w:i/>
          <w:iCs/>
        </w:rPr>
        <w:t xml:space="preserve"> </w:t>
      </w:r>
      <w:r w:rsidR="001C4D6A" w:rsidRPr="00314869">
        <w:rPr>
          <w:i/>
          <w:iCs/>
        </w:rPr>
        <w:t>Après la confiance du Polynésien concerné par les ess</w:t>
      </w:r>
      <w:r w:rsidR="009F090E" w:rsidRPr="00314869">
        <w:rPr>
          <w:i/>
          <w:iCs/>
        </w:rPr>
        <w:t>ais nucléaires, c’est une autre tranche de la population, beaucoup plus spécifique qui été affectée personnellement, économiquement ou sanitairement. »</w:t>
      </w:r>
      <w:r w:rsidR="00F96589">
        <w:rPr>
          <w:i/>
          <w:iCs/>
        </w:rPr>
        <w:t xml:space="preserve"> </w:t>
      </w:r>
      <w:r w:rsidR="009F090E" w:rsidRPr="00F96589">
        <w:rPr>
          <w:iCs/>
        </w:rPr>
        <w:t>Et il rajoute </w:t>
      </w:r>
      <w:r w:rsidR="009F090E" w:rsidRPr="00F96589">
        <w:rPr>
          <w:i/>
          <w:iCs/>
        </w:rPr>
        <w:t>: « Je ne pense donc pas qu’il y ait de pardon à demander car si vous regardez les faits, à l’époque tout le monde était euphorique. »</w:t>
      </w:r>
    </w:p>
    <w:p w14:paraId="4B9E2852" w14:textId="0D7DA0C4" w:rsidR="00653BE6" w:rsidRDefault="00653BE6" w:rsidP="002860A1">
      <w:pPr>
        <w:pStyle w:val="Paragraphedeliste"/>
        <w:ind w:left="567" w:hanging="207"/>
      </w:pPr>
    </w:p>
    <w:p w14:paraId="278D43EA" w14:textId="71733123" w:rsidR="00653BE6" w:rsidRDefault="00653BE6" w:rsidP="002860A1">
      <w:pPr>
        <w:pStyle w:val="Paragraphedeliste"/>
        <w:ind w:left="567" w:hanging="207"/>
      </w:pPr>
    </w:p>
    <w:p w14:paraId="6B30F057" w14:textId="5593A326" w:rsidR="00653BE6" w:rsidRDefault="005A1D77" w:rsidP="001517F4">
      <w:pPr>
        <w:pStyle w:val="Paragraphedeliste"/>
        <w:ind w:left="0" w:firstLine="567"/>
        <w:jc w:val="both"/>
      </w:pPr>
      <w:r>
        <w:t>De même</w:t>
      </w:r>
      <w:r w:rsidR="0021041E">
        <w:t xml:space="preserve">, si lors de la réunion avec le Ministre des outre mers, Sébastien LECORNU </w:t>
      </w:r>
      <w:r w:rsidR="00DA6D74">
        <w:t>à laquelle l’Association a pris part</w:t>
      </w:r>
      <w:r w:rsidR="0021041E">
        <w:t xml:space="preserve">, il a déclaré </w:t>
      </w:r>
      <w:r w:rsidR="0021041E" w:rsidRPr="005A1D77">
        <w:rPr>
          <w:b/>
          <w:bCs/>
        </w:rPr>
        <w:t>qu’ils sont prêts à tout assumer</w:t>
      </w:r>
      <w:r w:rsidR="0021041E">
        <w:t>, pour autant, les discours de la Ministre des armées, Mme</w:t>
      </w:r>
      <w:r w:rsidR="00C26150">
        <w:t xml:space="preserve"> Florence PARLY</w:t>
      </w:r>
      <w:r w:rsidR="0021041E">
        <w:t xml:space="preserve"> et du Ministre </w:t>
      </w:r>
      <w:r w:rsidR="00C26150">
        <w:t xml:space="preserve">des solidarités et </w:t>
      </w:r>
      <w:r w:rsidR="0021041E">
        <w:t xml:space="preserve">de la santé, Mr Olivier VERAN, lors </w:t>
      </w:r>
      <w:r w:rsidR="00C83AB0">
        <w:t>de la séance du 17 juin à l’Assemblée nationale au sujet de la</w:t>
      </w:r>
      <w:r w:rsidR="0021041E">
        <w:t xml:space="preserve"> proposition de loi présentée par le Député Moetai BROTHERSON, </w:t>
      </w:r>
      <w:r w:rsidR="00452855">
        <w:t xml:space="preserve">ne font que confirmer qu’il était inutile, d’aller </w:t>
      </w:r>
      <w:r w:rsidR="00C26150">
        <w:t>débattre</w:t>
      </w:r>
      <w:r w:rsidR="00452855">
        <w:t xml:space="preserve"> avec l’Etat, qui a déjà sa position bien arrêtée</w:t>
      </w:r>
      <w:r w:rsidR="00C83AB0">
        <w:t> :</w:t>
      </w:r>
    </w:p>
    <w:p w14:paraId="1180DC73" w14:textId="77777777" w:rsidR="001159B2" w:rsidRDefault="001159B2" w:rsidP="00452855">
      <w:pPr>
        <w:pStyle w:val="Paragraphedeliste"/>
        <w:ind w:left="426"/>
        <w:jc w:val="both"/>
      </w:pPr>
    </w:p>
    <w:p w14:paraId="7361E575" w14:textId="0DACBB95" w:rsidR="00C26150" w:rsidRDefault="00C26150" w:rsidP="00452855">
      <w:pPr>
        <w:pStyle w:val="Paragraphedeliste"/>
        <w:ind w:left="426"/>
        <w:jc w:val="both"/>
      </w:pPr>
    </w:p>
    <w:p w14:paraId="73785440" w14:textId="17610F16" w:rsidR="00C26150" w:rsidRDefault="00C26150" w:rsidP="001517F4">
      <w:pPr>
        <w:spacing w:after="120"/>
        <w:ind w:left="425"/>
        <w:jc w:val="both"/>
        <w:rPr>
          <w:rStyle w:val="intervention"/>
        </w:rPr>
      </w:pPr>
      <w:r w:rsidRPr="00C26150">
        <w:rPr>
          <w:b/>
          <w:bCs/>
        </w:rPr>
        <w:t>Mme Florence P</w:t>
      </w:r>
      <w:r w:rsidR="001159B2">
        <w:rPr>
          <w:b/>
          <w:bCs/>
        </w:rPr>
        <w:t>ARLY</w:t>
      </w:r>
      <w:r>
        <w:rPr>
          <w:b/>
          <w:bCs/>
        </w:rPr>
        <w:t>,</w:t>
      </w:r>
      <w:r w:rsidRPr="00C26150">
        <w:rPr>
          <w:b/>
          <w:bCs/>
        </w:rPr>
        <w:t xml:space="preserve"> Ministre des armées</w:t>
      </w:r>
      <w:r>
        <w:rPr>
          <w:b/>
          <w:bCs/>
        </w:rPr>
        <w:t xml:space="preserve"> </w:t>
      </w:r>
      <w:r>
        <w:rPr>
          <w:rStyle w:val="intervention"/>
        </w:rPr>
        <w:t xml:space="preserve">: </w:t>
      </w:r>
    </w:p>
    <w:p w14:paraId="5346CCA9" w14:textId="018C885A" w:rsidR="004662FF" w:rsidRDefault="0017088B" w:rsidP="00EC731F">
      <w:pPr>
        <w:ind w:left="426"/>
        <w:jc w:val="both"/>
      </w:pPr>
      <w:r w:rsidRPr="00BC7907">
        <w:rPr>
          <w:i/>
          <w:iCs/>
        </w:rPr>
        <w:t>« </w:t>
      </w:r>
      <w:r w:rsidR="00BC7907">
        <w:rPr>
          <w:i/>
          <w:iCs/>
        </w:rPr>
        <w:t>L</w:t>
      </w:r>
      <w:r w:rsidRPr="00BC7907">
        <w:rPr>
          <w:i/>
          <w:iCs/>
        </w:rPr>
        <w:t>a France fait partie des rares puissances militaires à être dotées de l’arme nucléaire, c’est ce qui fait de la France une nation indépendante, respectée dans le monde entier, capable de défendre sa population, son territoire, capable de porter sa voix et de contribuer au maintien des équilibres</w:t>
      </w:r>
      <w:r w:rsidR="00314869" w:rsidRPr="00BC7907">
        <w:rPr>
          <w:i/>
          <w:iCs/>
        </w:rPr>
        <w:t xml:space="preserve"> qui fondent</w:t>
      </w:r>
      <w:r w:rsidRPr="00BC7907">
        <w:rPr>
          <w:i/>
          <w:iCs/>
        </w:rPr>
        <w:t xml:space="preserve"> la paix. Cette force de dissuasion, qui fait la fierté de la France, nous la devons à la Polynésie française. </w:t>
      </w:r>
      <w:r w:rsidR="007E1208" w:rsidRPr="00BC7907">
        <w:rPr>
          <w:i/>
          <w:iCs/>
        </w:rPr>
        <w:t>Entre 1966 et 1996, l’Etat a réalisé 193 essais nucléaires en Polynésie française dont 4</w:t>
      </w:r>
      <w:r w:rsidR="006F60A9" w:rsidRPr="00BC7907">
        <w:rPr>
          <w:i/>
          <w:iCs/>
        </w:rPr>
        <w:t>1</w:t>
      </w:r>
      <w:r w:rsidR="007E1208" w:rsidRPr="00BC7907">
        <w:rPr>
          <w:i/>
          <w:iCs/>
        </w:rPr>
        <w:t xml:space="preserve"> expérimentations atmosphériques. Et malgré les consignes de</w:t>
      </w:r>
      <w:r w:rsidR="00314869" w:rsidRPr="00BC7907">
        <w:rPr>
          <w:i/>
          <w:iCs/>
        </w:rPr>
        <w:t xml:space="preserve"> sécurité</w:t>
      </w:r>
      <w:r w:rsidR="007E1208" w:rsidRPr="00BC7907">
        <w:rPr>
          <w:i/>
          <w:iCs/>
        </w:rPr>
        <w:t xml:space="preserve"> les plus strictes, certaines retombées radiologiques se sont produites dans différentes zones de la Polynésie. Le débat suscité par de récentes publications, relatives aux conséquences des essais nucléaires, est un signe positif pour notre démocratie. Il renforce l’engagement de mon ministère, d’</w:t>
      </w:r>
      <w:r w:rsidR="00AE3498" w:rsidRPr="00BC7907">
        <w:rPr>
          <w:i/>
          <w:iCs/>
        </w:rPr>
        <w:t>œuvrer</w:t>
      </w:r>
      <w:r w:rsidR="007E1208" w:rsidRPr="00BC7907">
        <w:rPr>
          <w:i/>
          <w:iCs/>
        </w:rPr>
        <w:t xml:space="preserve"> pour le traitement des conséquences des essais nucléaires, en lien avec les représentants </w:t>
      </w:r>
      <w:r w:rsidR="00314869" w:rsidRPr="00BC7907">
        <w:rPr>
          <w:i/>
          <w:iCs/>
        </w:rPr>
        <w:t xml:space="preserve">des </w:t>
      </w:r>
      <w:r w:rsidR="007E1208" w:rsidRPr="00BC7907">
        <w:rPr>
          <w:i/>
          <w:iCs/>
        </w:rPr>
        <w:t>polynésiens, Elus et associations. Dès la fin des essais, la France a pris la décision de démonter de façon irréversible les installations des essais du Pacifique. Nous avons été le seul pays doté au titre du traité de non prolifération, à avoir pris une telle décision et à l’avoir suivi d’effets</w:t>
      </w:r>
      <w:r w:rsidR="007E1208" w:rsidRPr="00D9336C">
        <w:rPr>
          <w:i/>
          <w:iCs/>
        </w:rPr>
        <w:t>. La France joue ainsi un rôle moteur dans la promotion du traité sur l’interdiction complète des</w:t>
      </w:r>
      <w:r w:rsidR="007E1208" w:rsidRPr="00BC7907">
        <w:rPr>
          <w:i/>
          <w:iCs/>
        </w:rPr>
        <w:t xml:space="preserve"> essais nucléaires. </w:t>
      </w:r>
      <w:r w:rsidR="008D6200" w:rsidRPr="00BC7907">
        <w:rPr>
          <w:i/>
          <w:iCs/>
        </w:rPr>
        <w:t>La France a également demandé</w:t>
      </w:r>
      <w:r w:rsidR="006F60A9" w:rsidRPr="00BC7907">
        <w:rPr>
          <w:i/>
          <w:iCs/>
        </w:rPr>
        <w:t xml:space="preserve"> une expertise radiologique indépendante qui a impliqué des experts de 20 nationalités entre 1996 et 1998, sous l’égide de l’Agence internationale à l’énergie atomique en collaboration avec l’organisation mondiale de la santé et les Nations </w:t>
      </w:r>
      <w:r w:rsidR="00AE3498" w:rsidRPr="00BC7907">
        <w:rPr>
          <w:i/>
          <w:iCs/>
        </w:rPr>
        <w:t>u</w:t>
      </w:r>
      <w:r w:rsidR="006F60A9" w:rsidRPr="00BC7907">
        <w:rPr>
          <w:i/>
          <w:iCs/>
        </w:rPr>
        <w:t xml:space="preserve">nies. Cette expertise a mise en lumière </w:t>
      </w:r>
      <w:r w:rsidR="00AE3498" w:rsidRPr="00D9336C">
        <w:rPr>
          <w:i/>
          <w:iCs/>
        </w:rPr>
        <w:t>de</w:t>
      </w:r>
      <w:r w:rsidR="006F60A9" w:rsidRPr="00D9336C">
        <w:rPr>
          <w:i/>
          <w:iCs/>
        </w:rPr>
        <w:t xml:space="preserve"> très faible</w:t>
      </w:r>
      <w:r w:rsidR="00AE3498" w:rsidRPr="00D9336C">
        <w:rPr>
          <w:i/>
          <w:iCs/>
        </w:rPr>
        <w:t>s</w:t>
      </w:r>
      <w:r w:rsidR="006F60A9" w:rsidRPr="00D9336C">
        <w:rPr>
          <w:i/>
          <w:iCs/>
        </w:rPr>
        <w:t xml:space="preserve"> concentration</w:t>
      </w:r>
      <w:r w:rsidR="00AE3498" w:rsidRPr="00D9336C">
        <w:rPr>
          <w:i/>
          <w:iCs/>
        </w:rPr>
        <w:t>s</w:t>
      </w:r>
      <w:r w:rsidR="006F60A9" w:rsidRPr="00D9336C">
        <w:rPr>
          <w:i/>
          <w:iCs/>
        </w:rPr>
        <w:t xml:space="preserve"> de matière</w:t>
      </w:r>
      <w:r w:rsidR="00AE3498" w:rsidRPr="00D9336C">
        <w:rPr>
          <w:i/>
          <w:iCs/>
        </w:rPr>
        <w:t>s</w:t>
      </w:r>
      <w:r w:rsidR="006F60A9" w:rsidRPr="00D9336C">
        <w:rPr>
          <w:i/>
          <w:iCs/>
        </w:rPr>
        <w:t xml:space="preserve"> radio actives résiduelles, attribuables aux essais nuclé</w:t>
      </w:r>
      <w:r w:rsidR="006F60A9" w:rsidRPr="00BC7907">
        <w:rPr>
          <w:i/>
          <w:iCs/>
        </w:rPr>
        <w:t>aires, considéré</w:t>
      </w:r>
      <w:r w:rsidR="00AE3498" w:rsidRPr="00BC7907">
        <w:rPr>
          <w:i/>
          <w:iCs/>
        </w:rPr>
        <w:t>es</w:t>
      </w:r>
      <w:r w:rsidR="006F60A9" w:rsidRPr="00BC7907">
        <w:rPr>
          <w:i/>
          <w:iCs/>
        </w:rPr>
        <w:t xml:space="preserve"> sans impact, du point de vue radiologique. Malgré ces conclusions rassurantes, </w:t>
      </w:r>
      <w:r w:rsidR="006F60A9" w:rsidRPr="00D9336C">
        <w:rPr>
          <w:i/>
          <w:iCs/>
        </w:rPr>
        <w:t>la France a eu le souci de poursuivre étroitement la surveillance radiologique et géologique des atolls</w:t>
      </w:r>
      <w:r w:rsidR="006F60A9" w:rsidRPr="00BC7907">
        <w:rPr>
          <w:i/>
          <w:iCs/>
        </w:rPr>
        <w:t xml:space="preserve"> de Moruroa et de Fangataufa, pour informer annuellement en toute transparence, les autorités polynésiennes et la population.</w:t>
      </w:r>
      <w:r w:rsidR="00FA3768" w:rsidRPr="00BC7907">
        <w:rPr>
          <w:i/>
          <w:iCs/>
        </w:rPr>
        <w:t xml:space="preserve"> En 2006, le Ministère de la Défense a remis aux autorités du Pays, le détail des immersions au large de Moruroa ainsi que l’inventaire des déchets placés en puits ; ces documents sont aujourd’hui accessibles librement sur internet. Depuis 2015, une Commission d’information auprès des anciens sites d’expérimentations nucléaires du Pacifique, réuni</w:t>
      </w:r>
      <w:r w:rsidR="00AE3498" w:rsidRPr="00BC7907">
        <w:rPr>
          <w:i/>
          <w:iCs/>
        </w:rPr>
        <w:t>t</w:t>
      </w:r>
      <w:r w:rsidR="00FA3768" w:rsidRPr="00BC7907">
        <w:rPr>
          <w:i/>
          <w:iCs/>
        </w:rPr>
        <w:t xml:space="preserve"> les autorités de l’Etat, du Pays, et les représentants de la société polynésienne, afin de partager en toute transparence, les conclusions de la surveillance radiologique et géomécanique, des conséquences des essais. </w:t>
      </w:r>
      <w:r w:rsidR="00867A1D" w:rsidRPr="00BC7907">
        <w:rPr>
          <w:i/>
          <w:iCs/>
        </w:rPr>
        <w:t>Et le dispositif de surveillance géologique, vous savez Mr le Député, a par ailleurs été modernisé en 2018, pour un montant global de 135 millions d’euros. Les gouvernements successifs</w:t>
      </w:r>
      <w:r w:rsidR="00024CE2" w:rsidRPr="00BC7907">
        <w:rPr>
          <w:i/>
          <w:iCs/>
        </w:rPr>
        <w:t xml:space="preserve"> ont</w:t>
      </w:r>
      <w:r w:rsidR="00CD21E7" w:rsidRPr="00BC7907">
        <w:rPr>
          <w:i/>
          <w:iCs/>
        </w:rPr>
        <w:t xml:space="preserve"> prêté </w:t>
      </w:r>
      <w:r w:rsidR="00024CE2" w:rsidRPr="00BC7907">
        <w:rPr>
          <w:i/>
          <w:iCs/>
        </w:rPr>
        <w:t xml:space="preserve">la plus grande </w:t>
      </w:r>
      <w:r w:rsidR="00AE3498" w:rsidRPr="00BC7907">
        <w:rPr>
          <w:i/>
          <w:iCs/>
        </w:rPr>
        <w:t>att</w:t>
      </w:r>
      <w:r w:rsidR="00024CE2" w:rsidRPr="00BC7907">
        <w:rPr>
          <w:i/>
          <w:iCs/>
        </w:rPr>
        <w:t>ention au su</w:t>
      </w:r>
      <w:r w:rsidR="00AE3498" w:rsidRPr="00BC7907">
        <w:rPr>
          <w:i/>
          <w:iCs/>
        </w:rPr>
        <w:t>ivi</w:t>
      </w:r>
      <w:r w:rsidR="00024CE2" w:rsidRPr="00BC7907">
        <w:rPr>
          <w:i/>
          <w:iCs/>
        </w:rPr>
        <w:t xml:space="preserve"> des 150 000 personnels civils et militaires, ainsi que </w:t>
      </w:r>
      <w:r w:rsidR="00CD21E7" w:rsidRPr="00BC7907">
        <w:rPr>
          <w:i/>
          <w:iCs/>
        </w:rPr>
        <w:t>d</w:t>
      </w:r>
      <w:r w:rsidR="00024CE2" w:rsidRPr="00BC7907">
        <w:rPr>
          <w:i/>
          <w:iCs/>
        </w:rPr>
        <w:t xml:space="preserve">es polynésiens qui ont été concernés par les essais nucléaires, entre 1966 et 1996. En 2010, la loi Morin a traduit la reconnaissance de la nation, en créant une procédure d’indemnisation suivi par le Comité d’indemnisation des victimes des essais nucléaires, le CIVEN. En 2014, </w:t>
      </w:r>
      <w:r w:rsidR="00CD21E7" w:rsidRPr="00BC7907">
        <w:rPr>
          <w:i/>
          <w:iCs/>
        </w:rPr>
        <w:t>la zone d’indemnisation a été étendue à toute la Polynésie française pour la période du 02 juillet 1966 au 31 décembre 1998. Initialement la Loi Morin posait le principe de causalité entre les maladies radio induites et les essais nucléaires, mais introduisait la notion de risque négligeable. En février 2017, la loi de programmation pour l’égalité réelle outre-mer a supprimé la notion de risque négligeable, et a établi le principe de causalité, faisant ainsi évoluer nettement les critères d’indemnisation. Toute personne souffrant d’une pathologie radio induite</w:t>
      </w:r>
      <w:r w:rsidR="00DC09DB" w:rsidRPr="00BC7907">
        <w:rPr>
          <w:i/>
          <w:iCs/>
        </w:rPr>
        <w:t>, ayant été présente en Polynésie pendant la période des essais, est aujourd’hui indemnisée. Dans la continuité de ces évolutions</w:t>
      </w:r>
      <w:r w:rsidR="003F6FDC" w:rsidRPr="00BC7907">
        <w:rPr>
          <w:i/>
          <w:iCs/>
        </w:rPr>
        <w:t xml:space="preserve">, un amendement </w:t>
      </w:r>
      <w:r w:rsidR="00DC09DB" w:rsidRPr="00BC7907">
        <w:rPr>
          <w:i/>
          <w:iCs/>
        </w:rPr>
        <w:t xml:space="preserve">à la loi de finances pour 2019,  porté par la sénatrice Tetuanui, que je salue, a été adopté et a permis de fixer le seuil maximal admissible d’exposition aux activités nucléaires, à 1 mSv. Par l’accord de l’Elysée pour </w:t>
      </w:r>
      <w:r w:rsidR="003F6FDC" w:rsidRPr="00BC7907">
        <w:rPr>
          <w:i/>
          <w:iCs/>
        </w:rPr>
        <w:t xml:space="preserve">le développement de </w:t>
      </w:r>
      <w:r w:rsidR="00DC09DB" w:rsidRPr="00BC7907">
        <w:rPr>
          <w:i/>
          <w:iCs/>
        </w:rPr>
        <w:t xml:space="preserve">la Polynésie française de mars 2017, </w:t>
      </w:r>
      <w:r w:rsidR="00E9112B" w:rsidRPr="00BC7907">
        <w:rPr>
          <w:i/>
          <w:iCs/>
        </w:rPr>
        <w:t>l’Etat a reconnu solennellement, la contribution de la Polynésie française, a la constitution de sa force de dissuasion nucléaire et les conséquences de ces expérimentations qu</w:t>
      </w:r>
      <w:r w:rsidR="003F6FDC" w:rsidRPr="00BC7907">
        <w:rPr>
          <w:i/>
          <w:iCs/>
        </w:rPr>
        <w:t xml:space="preserve">’il importait de traiter. </w:t>
      </w:r>
      <w:r w:rsidR="00E9112B" w:rsidRPr="00BC7907">
        <w:rPr>
          <w:i/>
          <w:iCs/>
        </w:rPr>
        <w:t>L’histoire et la mémoire ne s</w:t>
      </w:r>
      <w:r w:rsidR="003F6FDC" w:rsidRPr="00BC7907">
        <w:rPr>
          <w:i/>
          <w:iCs/>
        </w:rPr>
        <w:t xml:space="preserve">e </w:t>
      </w:r>
      <w:r w:rsidR="00E9112B" w:rsidRPr="00BC7907">
        <w:rPr>
          <w:i/>
          <w:iCs/>
        </w:rPr>
        <w:t>construise</w:t>
      </w:r>
      <w:r w:rsidR="003F6FDC" w:rsidRPr="00BC7907">
        <w:rPr>
          <w:i/>
          <w:iCs/>
        </w:rPr>
        <w:t>nt</w:t>
      </w:r>
      <w:r w:rsidR="00E9112B" w:rsidRPr="00BC7907">
        <w:rPr>
          <w:i/>
          <w:iCs/>
        </w:rPr>
        <w:t xml:space="preserve"> que de manière apaisée ; ainsi l’Etat</w:t>
      </w:r>
      <w:r w:rsidR="006C501E" w:rsidRPr="00BC7907">
        <w:rPr>
          <w:i/>
          <w:iCs/>
        </w:rPr>
        <w:t xml:space="preserve"> et le Pays </w:t>
      </w:r>
      <w:r w:rsidR="003F6FDC" w:rsidRPr="00BC7907">
        <w:rPr>
          <w:i/>
          <w:iCs/>
        </w:rPr>
        <w:t>œuvrent</w:t>
      </w:r>
      <w:r w:rsidR="006C501E" w:rsidRPr="00BC7907">
        <w:rPr>
          <w:i/>
          <w:iCs/>
        </w:rPr>
        <w:t xml:space="preserve"> à la création d’un Centre de mémoire, qui présentera toutes les applications d</w:t>
      </w:r>
      <w:r w:rsidR="003F6FDC" w:rsidRPr="00BC7907">
        <w:rPr>
          <w:i/>
          <w:iCs/>
        </w:rPr>
        <w:t>e la présence du</w:t>
      </w:r>
      <w:r w:rsidR="006C501E" w:rsidRPr="00BC7907">
        <w:rPr>
          <w:i/>
          <w:iCs/>
        </w:rPr>
        <w:t xml:space="preserve"> Centre d’expérimentation du Pacifique</w:t>
      </w:r>
      <w:r w:rsidR="003F6FDC" w:rsidRPr="00BC7907">
        <w:rPr>
          <w:i/>
          <w:iCs/>
        </w:rPr>
        <w:t xml:space="preserve"> sur le Territoire polynésien</w:t>
      </w:r>
      <w:r w:rsidR="006C501E" w:rsidRPr="00BC7907">
        <w:rPr>
          <w:i/>
          <w:iCs/>
        </w:rPr>
        <w:t>. En parallèle, le Parlement a fixé dans la loi de finances de 2019, le principe d’un transfert de l’Etat au Pays</w:t>
      </w:r>
      <w:r w:rsidR="003F6FDC" w:rsidRPr="00BC7907">
        <w:rPr>
          <w:i/>
          <w:iCs/>
        </w:rPr>
        <w:t>,</w:t>
      </w:r>
      <w:r w:rsidR="006C501E" w:rsidRPr="00BC7907">
        <w:rPr>
          <w:i/>
          <w:iCs/>
        </w:rPr>
        <w:t xml:space="preserve"> de l’emprise foncière nécessaire au projet, à titre gratuit, je m’y étais engagée. C’est dans cet esprit que le Président de la République a également répondu de façon favorable, à la demande du président </w:t>
      </w:r>
      <w:r w:rsidR="006C501E" w:rsidRPr="00BC7907">
        <w:rPr>
          <w:i/>
          <w:iCs/>
        </w:rPr>
        <w:lastRenderedPageBreak/>
        <w:t>Fritch, d’organiser une table ronde, portant sur l</w:t>
      </w:r>
      <w:r w:rsidR="003F6FDC" w:rsidRPr="00BC7907">
        <w:rPr>
          <w:i/>
          <w:iCs/>
        </w:rPr>
        <w:t xml:space="preserve">’ensemble des </w:t>
      </w:r>
      <w:r w:rsidR="006C501E" w:rsidRPr="00BC7907">
        <w:rPr>
          <w:i/>
          <w:iCs/>
        </w:rPr>
        <w:t>impact</w:t>
      </w:r>
      <w:r w:rsidR="003F6FDC" w:rsidRPr="00BC7907">
        <w:rPr>
          <w:i/>
          <w:iCs/>
        </w:rPr>
        <w:t>s</w:t>
      </w:r>
      <w:r w:rsidR="006C501E" w:rsidRPr="00BC7907">
        <w:rPr>
          <w:i/>
          <w:iCs/>
        </w:rPr>
        <w:t xml:space="preserve"> des essais nucléaires en </w:t>
      </w:r>
      <w:r w:rsidR="003F6FDC" w:rsidRPr="00BC7907">
        <w:rPr>
          <w:i/>
          <w:iCs/>
        </w:rPr>
        <w:t>P</w:t>
      </w:r>
      <w:r w:rsidR="006C501E" w:rsidRPr="00BC7907">
        <w:rPr>
          <w:i/>
          <w:iCs/>
        </w:rPr>
        <w:t xml:space="preserve">olynésie française, les réponses apportées et les </w:t>
      </w:r>
      <w:r w:rsidR="003F6FDC" w:rsidRPr="00BC7907">
        <w:rPr>
          <w:i/>
          <w:iCs/>
        </w:rPr>
        <w:t>voies</w:t>
      </w:r>
      <w:r w:rsidR="006C501E" w:rsidRPr="00BC7907">
        <w:rPr>
          <w:i/>
          <w:iCs/>
        </w:rPr>
        <w:t xml:space="preserve"> de progrès, qui sont possibles. Cette table ronde se tiendra le 1</w:t>
      </w:r>
      <w:r w:rsidR="006C501E" w:rsidRPr="00BC7907">
        <w:rPr>
          <w:i/>
          <w:iCs/>
          <w:vertAlign w:val="superscript"/>
        </w:rPr>
        <w:t>er</w:t>
      </w:r>
      <w:r w:rsidR="006C501E" w:rsidRPr="00BC7907">
        <w:rPr>
          <w:i/>
          <w:iCs/>
        </w:rPr>
        <w:t xml:space="preserve"> et le 2 juillet prochains, associera tous les acteurs concernés, et je ne doute pas qu’elle débouchera sur des conclusions </w:t>
      </w:r>
      <w:r w:rsidR="003F6FDC" w:rsidRPr="00BC7907">
        <w:rPr>
          <w:i/>
          <w:iCs/>
        </w:rPr>
        <w:t xml:space="preserve">très </w:t>
      </w:r>
      <w:r w:rsidR="006C501E" w:rsidRPr="00BC7907">
        <w:rPr>
          <w:i/>
          <w:iCs/>
        </w:rPr>
        <w:t>positives.</w:t>
      </w:r>
      <w:r w:rsidR="00483E8D">
        <w:t> »</w:t>
      </w:r>
    </w:p>
    <w:p w14:paraId="07579182" w14:textId="77777777" w:rsidR="001159B2" w:rsidRDefault="001159B2" w:rsidP="00EC731F">
      <w:pPr>
        <w:ind w:left="426"/>
        <w:jc w:val="both"/>
      </w:pPr>
    </w:p>
    <w:p w14:paraId="0102C07D" w14:textId="619F3D7F" w:rsidR="00483E8D" w:rsidRDefault="00483E8D" w:rsidP="00EC731F">
      <w:pPr>
        <w:ind w:left="426"/>
        <w:jc w:val="both"/>
      </w:pPr>
    </w:p>
    <w:p w14:paraId="43F3F6F0" w14:textId="1D3F4521" w:rsidR="00483E8D" w:rsidRDefault="00483E8D" w:rsidP="00483E8D">
      <w:pPr>
        <w:pStyle w:val="Paragraphedeliste"/>
        <w:ind w:left="426"/>
        <w:jc w:val="both"/>
      </w:pPr>
      <w:r w:rsidRPr="00C26150">
        <w:rPr>
          <w:b/>
          <w:bCs/>
        </w:rPr>
        <w:t>M. Olivier V</w:t>
      </w:r>
      <w:r w:rsidR="001159B2">
        <w:rPr>
          <w:b/>
          <w:bCs/>
        </w:rPr>
        <w:t>ERAN</w:t>
      </w:r>
      <w:r w:rsidRPr="00C26150">
        <w:rPr>
          <w:b/>
          <w:bCs/>
        </w:rPr>
        <w:t>,</w:t>
      </w:r>
      <w:r w:rsidRPr="00C26150">
        <w:rPr>
          <w:rStyle w:val="italique"/>
          <w:b/>
          <w:bCs/>
        </w:rPr>
        <w:t xml:space="preserve"> ministre des solidarités et de la santé</w:t>
      </w:r>
      <w:r>
        <w:rPr>
          <w:rStyle w:val="italique"/>
        </w:rPr>
        <w:t xml:space="preserve"> : </w:t>
      </w:r>
    </w:p>
    <w:p w14:paraId="24789A4D" w14:textId="167FE6DA" w:rsidR="00557F5C" w:rsidRPr="00C83AB0" w:rsidRDefault="007D5368" w:rsidP="00F02DFD">
      <w:pPr>
        <w:spacing w:before="120"/>
        <w:ind w:left="425"/>
        <w:jc w:val="both"/>
        <w:rPr>
          <w:i/>
          <w:iCs/>
        </w:rPr>
      </w:pPr>
      <w:r w:rsidRPr="00C83AB0">
        <w:rPr>
          <w:i/>
          <w:iCs/>
        </w:rPr>
        <w:t>« Cette proposition de loi, je le dis avec sincérité, je le dis aussi avec gravité, poursuit un objectif honorable, Mr le Député, au regard des attentes légitimes des Polynésiens. Nous nous joignons à votre volonté d’améliorer l’accès à la procédure d’indemnisation des victimes des essais nucléaires en Polynésie française. Des progrès considérables, ont je crois été accomplis ces dernières années, et doivent se poursuivre. Mais, les modifications que vous entendez apporter à la Loi Morin</w:t>
      </w:r>
      <w:r w:rsidR="00663F48" w:rsidRPr="00C83AB0">
        <w:rPr>
          <w:i/>
          <w:iCs/>
        </w:rPr>
        <w:t xml:space="preserve"> de 2010, ne me semble pas permettre de répondre de manière adéquate, Mr le Député, au sujet. </w:t>
      </w:r>
      <w:r w:rsidR="00EB4172" w:rsidRPr="00C83AB0">
        <w:rPr>
          <w:i/>
          <w:iCs/>
        </w:rPr>
        <w:t>D’abord, certaines d’entre elles n’ont pas l’assise scientifique suffisante et sont donc fragilisées dans leur fondement. D’autres, remettent en question des critères qui ont contribué à renforcer l’indemnisation des victimes par le passé, je pense notamment à la suppression de la dose limite de 1 mSv que propose le texte, alors même que l’introduction de ce seuil d’exposition a permis d’augmenter sensiblement le nombre de dossiers faisant l’objet d’une indemnisation effective, tout en permettant de maintenir un dispositif opérationnel.</w:t>
      </w:r>
      <w:r w:rsidR="005746E4" w:rsidRPr="00C83AB0">
        <w:rPr>
          <w:i/>
          <w:iCs/>
        </w:rPr>
        <w:t xml:space="preserve"> Cette proposition de loi, Mr le Député, à travers cette proposition de loi, vous sollicitez l’indemnisation des victimes de maladies transgénérationnelles. </w:t>
      </w:r>
      <w:r w:rsidR="002E289F" w:rsidRPr="00C83AB0">
        <w:rPr>
          <w:i/>
          <w:iCs/>
        </w:rPr>
        <w:t xml:space="preserve">Les études scientifiques dont nous disposons et </w:t>
      </w:r>
      <w:r w:rsidR="004A06D8" w:rsidRPr="00C83AB0">
        <w:rPr>
          <w:i/>
          <w:iCs/>
        </w:rPr>
        <w:t xml:space="preserve">qui </w:t>
      </w:r>
      <w:r w:rsidR="002E289F" w:rsidRPr="00C83AB0">
        <w:rPr>
          <w:i/>
          <w:iCs/>
        </w:rPr>
        <w:t xml:space="preserve">sont partagées à l’heure actuelle, ne permettent pas d’établir l’existence d’un lien entre l’exposition d’une victime aux rayonnements ionisants, et le développement de pathologies par sa descendance. </w:t>
      </w:r>
      <w:r w:rsidR="00BD5480" w:rsidRPr="00C83AB0">
        <w:rPr>
          <w:i/>
          <w:iCs/>
        </w:rPr>
        <w:t xml:space="preserve">L’expertise collective indépendante menée par l’IRSERM, de 2014 à 2021, sur les conséquences des essais nucléaires </w:t>
      </w:r>
      <w:r w:rsidR="004A06D8" w:rsidRPr="00C83AB0">
        <w:rPr>
          <w:i/>
          <w:iCs/>
        </w:rPr>
        <w:t xml:space="preserve">français </w:t>
      </w:r>
      <w:r w:rsidR="00BD5480" w:rsidRPr="00C83AB0">
        <w:rPr>
          <w:i/>
          <w:iCs/>
        </w:rPr>
        <w:t xml:space="preserve">en Polynésie française, concluent que les études disponibles sur les effets transgénérationnels, sont non concluantes. C’est une position qui est partagée par l’ensemble des études scientifiques sur le sujet, je pense notamment aux travaux du Comité scientifique des </w:t>
      </w:r>
      <w:r w:rsidR="004A06D8" w:rsidRPr="00C83AB0">
        <w:rPr>
          <w:i/>
          <w:iCs/>
        </w:rPr>
        <w:t>N</w:t>
      </w:r>
      <w:r w:rsidR="00BD5480" w:rsidRPr="00C83AB0">
        <w:rPr>
          <w:i/>
          <w:iCs/>
        </w:rPr>
        <w:t xml:space="preserve">ations unies, sur les sources et effets des radiations ionisantes en 2001, ainsi qu’au rapport de l’IRSN en 2007, et qui concluait qu’aucune maladie ou effet </w:t>
      </w:r>
      <w:r w:rsidR="004A06D8" w:rsidRPr="00C83AB0">
        <w:rPr>
          <w:i/>
          <w:iCs/>
        </w:rPr>
        <w:t>héréditaire</w:t>
      </w:r>
      <w:r w:rsidR="00BD5480" w:rsidRPr="00C83AB0">
        <w:rPr>
          <w:i/>
          <w:iCs/>
        </w:rPr>
        <w:t xml:space="preserve"> induit par </w:t>
      </w:r>
      <w:r w:rsidR="004A06D8" w:rsidRPr="00C83AB0">
        <w:rPr>
          <w:i/>
          <w:iCs/>
        </w:rPr>
        <w:t xml:space="preserve">un </w:t>
      </w:r>
      <w:r w:rsidR="00BD5480" w:rsidRPr="00C83AB0">
        <w:rPr>
          <w:i/>
          <w:iCs/>
        </w:rPr>
        <w:t>rayonnement ionisant n’a été démontré dans une population humaine exposée aux rayonnements ionisants. Il apparaît toutefois nécessaire et prioritaire de développer et de pérenniser un système de surveillance sanitaire des pathologies non infectieuses ainsi qu’un registre des cancers</w:t>
      </w:r>
      <w:r w:rsidR="00F45847" w:rsidRPr="00C83AB0">
        <w:rPr>
          <w:i/>
          <w:iCs/>
        </w:rPr>
        <w:t xml:space="preserve"> aligné sur les standards nationaux et internationaux. C’est pourquoi nous avons missionné l’IRSN, avec la ministre des armées, Forence PARLY, pour réaliser une veille attentive, rigoureuse de la littérature scientifique internationale, sur la problématique des effets </w:t>
      </w:r>
      <w:r w:rsidR="00443B07" w:rsidRPr="00C83AB0">
        <w:rPr>
          <w:i/>
          <w:iCs/>
        </w:rPr>
        <w:t>des</w:t>
      </w:r>
      <w:r w:rsidR="00F45847" w:rsidRPr="00C83AB0">
        <w:rPr>
          <w:i/>
          <w:iCs/>
        </w:rPr>
        <w:t xml:space="preserve"> faibles doses des rayonnements ionisants, avec une attention particulière accordée au développement de certains cancers, des maladies cardiovasculaires, des effets éventuels sur la descendance. De nouveaux travaux du Comité scientifique, de l’organisation des Nations unies y sont également initiés, nous en suivront évidemment de près les résultats. Si une étude venait à mettre en évidence un effet transgénérationnel, nous en tirerions naturellement les conséquences, le dispositif de reconnaissance, comme nous l’avons fait par le passé, s’agissant de l’élargissement de la liste des maladies </w:t>
      </w:r>
      <w:r w:rsidR="00443B07" w:rsidRPr="00C83AB0">
        <w:rPr>
          <w:i/>
          <w:iCs/>
        </w:rPr>
        <w:t xml:space="preserve">des </w:t>
      </w:r>
      <w:r w:rsidR="00F45847" w:rsidRPr="00C83AB0">
        <w:rPr>
          <w:i/>
          <w:iCs/>
        </w:rPr>
        <w:t>pathologies radio induites.</w:t>
      </w:r>
      <w:r w:rsidR="00EF6E6B" w:rsidRPr="00C83AB0">
        <w:rPr>
          <w:i/>
          <w:iCs/>
        </w:rPr>
        <w:t xml:space="preserve"> Concernant l’indemnisation des victimes indirectes des préjudices subis, le dispositif d’indemnisation actuel, repose sur </w:t>
      </w:r>
      <w:r w:rsidR="00443B07" w:rsidRPr="00C83AB0">
        <w:rPr>
          <w:i/>
          <w:iCs/>
        </w:rPr>
        <w:t>un régime</w:t>
      </w:r>
      <w:r w:rsidR="00EF6E6B" w:rsidRPr="00C83AB0">
        <w:rPr>
          <w:i/>
          <w:iCs/>
        </w:rPr>
        <w:t xml:space="preserve"> de responsabilité </w:t>
      </w:r>
      <w:r w:rsidR="003B4429" w:rsidRPr="00C83AB0">
        <w:rPr>
          <w:i/>
          <w:iCs/>
        </w:rPr>
        <w:t xml:space="preserve">relevant de la </w:t>
      </w:r>
      <w:r w:rsidR="00EF6E6B" w:rsidRPr="00C83AB0">
        <w:rPr>
          <w:i/>
          <w:iCs/>
        </w:rPr>
        <w:t xml:space="preserve">solidarité nationale et non pour faute, </w:t>
      </w:r>
      <w:r w:rsidR="003B4429" w:rsidRPr="00C83AB0">
        <w:rPr>
          <w:i/>
          <w:iCs/>
        </w:rPr>
        <w:t>ce qui a</w:t>
      </w:r>
      <w:r w:rsidR="00EF6E6B" w:rsidRPr="00C83AB0">
        <w:rPr>
          <w:i/>
          <w:iCs/>
        </w:rPr>
        <w:t xml:space="preserve"> pour conséquences que les ayant droits ne peuvent bénéficier d’une indemnisation </w:t>
      </w:r>
      <w:r w:rsidR="003B4429" w:rsidRPr="00C83AB0">
        <w:rPr>
          <w:i/>
          <w:iCs/>
        </w:rPr>
        <w:t xml:space="preserve">au </w:t>
      </w:r>
      <w:r w:rsidR="00EF6E6B" w:rsidRPr="00C83AB0">
        <w:rPr>
          <w:i/>
          <w:iCs/>
        </w:rPr>
        <w:t>propre</w:t>
      </w:r>
      <w:r w:rsidR="003B4429" w:rsidRPr="00C83AB0">
        <w:rPr>
          <w:i/>
          <w:iCs/>
        </w:rPr>
        <w:t>.</w:t>
      </w:r>
      <w:r w:rsidR="00EF6E6B" w:rsidRPr="00C83AB0">
        <w:rPr>
          <w:i/>
          <w:iCs/>
        </w:rPr>
        <w:t xml:space="preserve"> Toutefois, les ayants droits peuvent d’ores et déjà demander, sur le fondement du droit commun de la responsabilité, la réparation d</w:t>
      </w:r>
      <w:r w:rsidR="00C57850" w:rsidRPr="00C83AB0">
        <w:rPr>
          <w:i/>
          <w:iCs/>
        </w:rPr>
        <w:t>e leur</w:t>
      </w:r>
      <w:r w:rsidR="00EF6E6B" w:rsidRPr="00C83AB0">
        <w:rPr>
          <w:i/>
          <w:iCs/>
        </w:rPr>
        <w:t xml:space="preserve"> préjudice moral, à condition de démontrer un lien de causalité entre le dommage et l’exposition aux rayonnements ionisants, pendant les essais nucléaires. </w:t>
      </w:r>
      <w:r w:rsidR="00290FFE" w:rsidRPr="00C83AB0">
        <w:rPr>
          <w:i/>
          <w:iCs/>
        </w:rPr>
        <w:t xml:space="preserve">La question de l’accès à la procédure d’indemnisation gérée par le CIVEN est </w:t>
      </w:r>
      <w:r w:rsidR="00C57850" w:rsidRPr="00C83AB0">
        <w:rPr>
          <w:i/>
          <w:iCs/>
        </w:rPr>
        <w:t>une</w:t>
      </w:r>
      <w:r w:rsidR="00290FFE" w:rsidRPr="00C83AB0">
        <w:rPr>
          <w:i/>
          <w:iCs/>
        </w:rPr>
        <w:t xml:space="preserve"> question majeure à laquelle nous sommes particulièrement sensibles. Nous devons travailler à faciliter l’accès de tous à la procédure d’indemnisation</w:t>
      </w:r>
      <w:r w:rsidR="00C57850" w:rsidRPr="00C83AB0">
        <w:rPr>
          <w:i/>
          <w:iCs/>
        </w:rPr>
        <w:t xml:space="preserve"> du</w:t>
      </w:r>
      <w:r w:rsidR="00290FFE" w:rsidRPr="00C83AB0">
        <w:rPr>
          <w:i/>
          <w:iCs/>
        </w:rPr>
        <w:t xml:space="preserve"> CIVEN, en améliorant la qualité de l’information disponible mais aussi en facilitant le</w:t>
      </w:r>
      <w:r w:rsidR="00C57850" w:rsidRPr="00C83AB0">
        <w:rPr>
          <w:i/>
          <w:iCs/>
        </w:rPr>
        <w:t>s</w:t>
      </w:r>
      <w:r w:rsidR="00290FFE" w:rsidRPr="00C83AB0">
        <w:rPr>
          <w:i/>
          <w:iCs/>
        </w:rPr>
        <w:t xml:space="preserve"> dépôt</w:t>
      </w:r>
      <w:r w:rsidR="00C57850" w:rsidRPr="00C83AB0">
        <w:rPr>
          <w:i/>
          <w:iCs/>
        </w:rPr>
        <w:t>s</w:t>
      </w:r>
      <w:r w:rsidR="00290FFE" w:rsidRPr="00C83AB0">
        <w:rPr>
          <w:i/>
          <w:iCs/>
        </w:rPr>
        <w:t xml:space="preserve"> de dossier. C’est un sujet majeur que nous aborderons dans les semaines à venir avec une délégation polynésienne. </w:t>
      </w:r>
      <w:r w:rsidR="00C57850" w:rsidRPr="00C83AB0">
        <w:rPr>
          <w:i/>
          <w:iCs/>
        </w:rPr>
        <w:t>Enfin,</w:t>
      </w:r>
      <w:r w:rsidR="001313B6" w:rsidRPr="00C83AB0">
        <w:rPr>
          <w:i/>
          <w:iCs/>
        </w:rPr>
        <w:t xml:space="preserve"> </w:t>
      </w:r>
      <w:r w:rsidR="00C57850" w:rsidRPr="00C83AB0">
        <w:rPr>
          <w:i/>
          <w:iCs/>
        </w:rPr>
        <w:t>l</w:t>
      </w:r>
      <w:r w:rsidR="001313B6" w:rsidRPr="00C83AB0">
        <w:rPr>
          <w:i/>
          <w:iCs/>
        </w:rPr>
        <w:t xml:space="preserve">e texte que vous proposez supprime le seuil d’1 mSv par an au-delà duquel  une présomption de causalité est reconnue. </w:t>
      </w:r>
      <w:r w:rsidR="002F467A" w:rsidRPr="00C83AB0">
        <w:rPr>
          <w:i/>
          <w:iCs/>
        </w:rPr>
        <w:t xml:space="preserve">Ce seuil ne doit pas être remis en </w:t>
      </w:r>
      <w:r w:rsidR="002F467A" w:rsidRPr="00C83AB0">
        <w:rPr>
          <w:i/>
          <w:iCs/>
        </w:rPr>
        <w:lastRenderedPageBreak/>
        <w:t>cause. D’une part cette dose qui est extrêmement faible, résulte d’un consensus international, qui s’appuie sur</w:t>
      </w:r>
      <w:r w:rsidR="00974A35" w:rsidRPr="00C83AB0">
        <w:rPr>
          <w:i/>
          <w:iCs/>
        </w:rPr>
        <w:t xml:space="preserve"> l’avis</w:t>
      </w:r>
      <w:r w:rsidR="002F467A" w:rsidRPr="00C83AB0">
        <w:rPr>
          <w:i/>
          <w:iCs/>
        </w:rPr>
        <w:t xml:space="preserve"> du Comité scientifique </w:t>
      </w:r>
      <w:r w:rsidR="00974A35" w:rsidRPr="00C83AB0">
        <w:rPr>
          <w:i/>
          <w:iCs/>
        </w:rPr>
        <w:t xml:space="preserve">des Nations unies, </w:t>
      </w:r>
      <w:r w:rsidR="002F467A" w:rsidRPr="00C83AB0">
        <w:rPr>
          <w:i/>
          <w:iCs/>
        </w:rPr>
        <w:t>sur les sources et effets des radiations ionisantes, mais aussi sur les recommandations de la Commission internationale de protection radiologique. Ce niveau de dose admissible est repris par l’ensemble de</w:t>
      </w:r>
      <w:r w:rsidR="00974A35" w:rsidRPr="00C83AB0">
        <w:rPr>
          <w:i/>
          <w:iCs/>
        </w:rPr>
        <w:t xml:space="preserve">s </w:t>
      </w:r>
      <w:r w:rsidR="002F467A" w:rsidRPr="00C83AB0">
        <w:rPr>
          <w:i/>
          <w:iCs/>
        </w:rPr>
        <w:t>organisation</w:t>
      </w:r>
      <w:r w:rsidR="00974A35" w:rsidRPr="00C83AB0">
        <w:rPr>
          <w:i/>
          <w:iCs/>
        </w:rPr>
        <w:t>s</w:t>
      </w:r>
      <w:r w:rsidR="002F467A" w:rsidRPr="00C83AB0">
        <w:rPr>
          <w:i/>
          <w:iCs/>
        </w:rPr>
        <w:t xml:space="preserve"> internationale</w:t>
      </w:r>
      <w:r w:rsidR="00974A35" w:rsidRPr="00C83AB0">
        <w:rPr>
          <w:i/>
          <w:iCs/>
        </w:rPr>
        <w:t>s</w:t>
      </w:r>
      <w:r w:rsidR="002F467A" w:rsidRPr="00C83AB0">
        <w:rPr>
          <w:i/>
          <w:iCs/>
        </w:rPr>
        <w:t xml:space="preserve">, je pense l’Organisation mondiale de la santé, à l’Agence internationale de l’énergie atomique, à l’Organisation internationale du travail, ou encore à l’EURATOM. </w:t>
      </w:r>
      <w:r w:rsidR="005D13D2" w:rsidRPr="00C83AB0">
        <w:rPr>
          <w:i/>
          <w:iCs/>
        </w:rPr>
        <w:t>Ce niveau est très faible, au regard des valeurs et limites réglementaires pour les travailleurs exposés aux rayonnements ionisants. Par ailleurs, supprimer le seuil  de 1 mSv conduirait à créer une reconnaissance systématique de toutes les maladies radio induites listées réglementairement, la présomption de causalité devenant irréfragable en pratique. Une telle reconnaissant, sans possibilité de renverser la présomption de causalité lorsque le risque est négligeable, avait été porté par la loi EROM. Elle avait conduit, je le rappelle, à la démission de cinq des huit membres du CIVEN, qui avaient jugé leur présence inutile au sein de ce comité. De plus, l’existence de cette dose limite, n’empêche pas le Comité d’indemnisation des victimes des essais nucléaires, le CIVEN, d’instruire les demandes d’indemnisation selon un régime de présomption. Le CIVEN ne peut en effet écarter la présomption de causalité, que s’il prouve que les victimes n’ont pas été exposées à un rayonnement supérieur à 1 mSv. Enfin l’introduction de cette nouvelle méthodologie</w:t>
      </w:r>
      <w:r w:rsidR="00974A35" w:rsidRPr="00C83AB0">
        <w:rPr>
          <w:i/>
          <w:iCs/>
        </w:rPr>
        <w:t xml:space="preserve"> d’évaluation </w:t>
      </w:r>
      <w:r w:rsidR="005D13D2" w:rsidRPr="00C83AB0">
        <w:rPr>
          <w:i/>
          <w:iCs/>
        </w:rPr>
        <w:t xml:space="preserve">de l’exposition, a permis d’accroître sensiblement le nombre de demandes faisant l’objet d’une indemnisation. Ainsi près de 50% des dossiers </w:t>
      </w:r>
      <w:r w:rsidR="00974A35" w:rsidRPr="00C83AB0">
        <w:rPr>
          <w:i/>
          <w:iCs/>
        </w:rPr>
        <w:t xml:space="preserve">déposés </w:t>
      </w:r>
      <w:r w:rsidR="005D13D2" w:rsidRPr="00C83AB0">
        <w:rPr>
          <w:i/>
          <w:iCs/>
        </w:rPr>
        <w:t xml:space="preserve">font désormais l’objet d’une indemnisation, tandis que ce taux </w:t>
      </w:r>
      <w:r w:rsidR="00974A35" w:rsidRPr="00C83AB0">
        <w:rPr>
          <w:i/>
          <w:iCs/>
        </w:rPr>
        <w:t>se</w:t>
      </w:r>
      <w:r w:rsidR="005D13D2" w:rsidRPr="00C83AB0">
        <w:rPr>
          <w:i/>
          <w:iCs/>
        </w:rPr>
        <w:t xml:space="preserve"> situ</w:t>
      </w:r>
      <w:r w:rsidR="00974A35" w:rsidRPr="00C83AB0">
        <w:rPr>
          <w:i/>
          <w:iCs/>
        </w:rPr>
        <w:t>ait</w:t>
      </w:r>
      <w:r w:rsidR="005D13D2" w:rsidRPr="00C83AB0">
        <w:rPr>
          <w:i/>
          <w:iCs/>
        </w:rPr>
        <w:t xml:space="preserve"> entre 2 et 7% entre 2010 et 2017. En outre, pour la population </w:t>
      </w:r>
      <w:r w:rsidR="00974A35" w:rsidRPr="00C83AB0">
        <w:rPr>
          <w:i/>
          <w:iCs/>
        </w:rPr>
        <w:t>résidante</w:t>
      </w:r>
      <w:r w:rsidR="00043CA9" w:rsidRPr="00C83AB0">
        <w:rPr>
          <w:i/>
          <w:iCs/>
        </w:rPr>
        <w:t xml:space="preserve"> en Polynésie française, 94% des demandes de reconnaissance ayant fait l’objet d’une décision favorable, l’ont été entre 2018 et 2020. L’adoption par le CIVEN d’un nouveau barème d’indemnisation en juin 2020 est aussi allé dans le sens d’une indemnisation plus favorable, au regard, non seulement de la nature </w:t>
      </w:r>
      <w:r w:rsidR="001300A0" w:rsidRPr="00C83AB0">
        <w:rPr>
          <w:i/>
          <w:iCs/>
        </w:rPr>
        <w:t>de la</w:t>
      </w:r>
      <w:r w:rsidR="00043CA9" w:rsidRPr="00C83AB0">
        <w:rPr>
          <w:i/>
          <w:iCs/>
        </w:rPr>
        <w:t xml:space="preserve"> pathologie développée, mais également du ressenti des victimes face à l’évolutivité de la maladie. Mesdames et Messieurs les députés, nous sommes parvenus à un point d’équilibre</w:t>
      </w:r>
      <w:r w:rsidR="001300A0" w:rsidRPr="00C83AB0">
        <w:rPr>
          <w:i/>
          <w:iCs/>
        </w:rPr>
        <w:t xml:space="preserve">, permettant </w:t>
      </w:r>
      <w:r w:rsidR="00043CA9" w:rsidRPr="00C83AB0">
        <w:rPr>
          <w:i/>
          <w:iCs/>
        </w:rPr>
        <w:t xml:space="preserve">une juste indemnisation des victimes. Le remettre en cause, serait délétère je le dis en matière de justice, et d’efficacité de la procédure. Nous n’ignorons pas que les améliorations peuvent être apportées au dispositif, notamment </w:t>
      </w:r>
      <w:r w:rsidR="001300A0" w:rsidRPr="00C83AB0">
        <w:rPr>
          <w:i/>
          <w:iCs/>
        </w:rPr>
        <w:t xml:space="preserve">sur </w:t>
      </w:r>
      <w:r w:rsidR="00043CA9" w:rsidRPr="00C83AB0">
        <w:rPr>
          <w:i/>
          <w:iCs/>
        </w:rPr>
        <w:t xml:space="preserve">la dimension </w:t>
      </w:r>
      <w:r w:rsidR="001300A0" w:rsidRPr="00C83AB0">
        <w:rPr>
          <w:i/>
          <w:iCs/>
        </w:rPr>
        <w:t>« </w:t>
      </w:r>
      <w:r w:rsidR="00043CA9" w:rsidRPr="00C83AB0">
        <w:rPr>
          <w:i/>
          <w:iCs/>
        </w:rPr>
        <w:t xml:space="preserve">accès au droit et à </w:t>
      </w:r>
      <w:r w:rsidR="001300A0" w:rsidRPr="00C83AB0">
        <w:rPr>
          <w:i/>
          <w:iCs/>
        </w:rPr>
        <w:t>i</w:t>
      </w:r>
      <w:r w:rsidR="00043CA9" w:rsidRPr="00C83AB0">
        <w:rPr>
          <w:i/>
          <w:iCs/>
        </w:rPr>
        <w:t>nformation des personnes</w:t>
      </w:r>
      <w:r w:rsidR="001300A0" w:rsidRPr="00C83AB0">
        <w:rPr>
          <w:i/>
          <w:iCs/>
        </w:rPr>
        <w:t> »</w:t>
      </w:r>
      <w:r w:rsidR="00043CA9" w:rsidRPr="00C83AB0">
        <w:rPr>
          <w:i/>
          <w:iCs/>
        </w:rPr>
        <w:t xml:space="preserve">, mais aussi le suivi </w:t>
      </w:r>
      <w:r w:rsidR="000E14EE" w:rsidRPr="00C83AB0">
        <w:rPr>
          <w:i/>
          <w:iCs/>
        </w:rPr>
        <w:t xml:space="preserve">épidémiologique ou encore la coopération sanitaire. C’est tout l’objet des tables rondes qui sont prévues début juillet avec une délégation polynésienne, </w:t>
      </w:r>
      <w:r w:rsidR="00FE73E8" w:rsidRPr="00C83AB0">
        <w:rPr>
          <w:i/>
          <w:iCs/>
        </w:rPr>
        <w:t>et qui permettront d’aborder l’ensemble des sujets, avec également la communauté scientifique et les représentants des autorités internationales. »</w:t>
      </w:r>
    </w:p>
    <w:p w14:paraId="583FFD81" w14:textId="29ED1B00" w:rsidR="00F45847" w:rsidRDefault="00F45847" w:rsidP="00F45847">
      <w:pPr>
        <w:ind w:left="426"/>
        <w:jc w:val="both"/>
      </w:pPr>
    </w:p>
    <w:p w14:paraId="0831A060" w14:textId="77777777" w:rsidR="00F45847" w:rsidRDefault="00F45847" w:rsidP="00F45847">
      <w:pPr>
        <w:ind w:left="426"/>
        <w:jc w:val="both"/>
      </w:pPr>
    </w:p>
    <w:p w14:paraId="74A58893" w14:textId="339F560D" w:rsidR="00C26150" w:rsidRDefault="00C26150" w:rsidP="00EC731F">
      <w:pPr>
        <w:pStyle w:val="Paragraphedeliste"/>
        <w:ind w:left="426"/>
        <w:jc w:val="both"/>
      </w:pPr>
      <w:r w:rsidRPr="00C26150">
        <w:rPr>
          <w:b/>
          <w:bCs/>
        </w:rPr>
        <w:t>M. Olivier V</w:t>
      </w:r>
      <w:r w:rsidR="001159B2">
        <w:rPr>
          <w:b/>
          <w:bCs/>
        </w:rPr>
        <w:t>ERAN</w:t>
      </w:r>
      <w:r w:rsidRPr="00C26150">
        <w:rPr>
          <w:b/>
          <w:bCs/>
        </w:rPr>
        <w:t>,</w:t>
      </w:r>
      <w:r w:rsidRPr="00C26150">
        <w:rPr>
          <w:rStyle w:val="italique"/>
          <w:b/>
          <w:bCs/>
        </w:rPr>
        <w:t xml:space="preserve"> ministre des solidarités et de la santé</w:t>
      </w:r>
      <w:r>
        <w:rPr>
          <w:rStyle w:val="italique"/>
        </w:rPr>
        <w:t xml:space="preserve"> : </w:t>
      </w:r>
    </w:p>
    <w:p w14:paraId="1ED01B47" w14:textId="3BC096BB" w:rsidR="00557F5C" w:rsidRDefault="00557F5C" w:rsidP="00EC731F">
      <w:pPr>
        <w:pStyle w:val="Paragraphedeliste"/>
        <w:ind w:left="426"/>
        <w:jc w:val="both"/>
      </w:pPr>
    </w:p>
    <w:p w14:paraId="66635514" w14:textId="2036B331" w:rsidR="000E7052" w:rsidRPr="000E7052" w:rsidRDefault="000E7052" w:rsidP="001159B2">
      <w:pPr>
        <w:pStyle w:val="Paragraphedeliste"/>
        <w:ind w:left="426"/>
        <w:jc w:val="both"/>
        <w:rPr>
          <w:i/>
          <w:iCs/>
        </w:rPr>
      </w:pPr>
      <w:r w:rsidRPr="000E7052">
        <w:rPr>
          <w:rStyle w:val="intervention"/>
          <w:i/>
          <w:iCs/>
        </w:rPr>
        <w:t>« Néanmoins, je suis aussi sensible – pardon de le dire – aux données factuelles de la science qui aident à progresser. On l’a bien vu depuis plusieurs mois dans le pays et à travers le monde, parfois il y a l’émotion et parfois il y a la science. Il arrive que l’émotion et la science se rencontrent, mais ce n’est pas le cas. »</w:t>
      </w:r>
    </w:p>
    <w:p w14:paraId="72E66004" w14:textId="7A811590" w:rsidR="000E7052" w:rsidRDefault="000E7052" w:rsidP="001159B2">
      <w:pPr>
        <w:pStyle w:val="Paragraphedeliste"/>
        <w:tabs>
          <w:tab w:val="left" w:pos="426"/>
        </w:tabs>
        <w:ind w:left="426"/>
        <w:jc w:val="both"/>
        <w:rPr>
          <w:rStyle w:val="intervention"/>
          <w:i/>
          <w:iCs/>
        </w:rPr>
      </w:pPr>
      <w:r w:rsidRPr="000E7052">
        <w:rPr>
          <w:rStyle w:val="intervention"/>
          <w:i/>
          <w:iCs/>
        </w:rPr>
        <w:t>« Qu’un millisievert, c’est la dose acceptable dégagée, pendant une année, par le corps d’une femme enceinte. Je ne vous parle pas des douze millisieverts qui concernent les doses dégagées par les travailleurs qui sont en activité professionnelle. Je le répète clairement pour que la représentation nationale l’entende bien : un millisievert ne représente pas une exposition intense à des radiations ionisantes ; c’est l’équivalent des radiations dégagées naturellement sur une année par une femme enceinte.</w:t>
      </w:r>
      <w:r>
        <w:rPr>
          <w:rStyle w:val="intervention"/>
          <w:i/>
          <w:iCs/>
        </w:rPr>
        <w:t> »</w:t>
      </w:r>
    </w:p>
    <w:p w14:paraId="4525354A" w14:textId="77777777" w:rsidR="000E7052" w:rsidRPr="000E7052" w:rsidRDefault="000E7052" w:rsidP="001159B2">
      <w:pPr>
        <w:pStyle w:val="Paragraphedeliste"/>
        <w:tabs>
          <w:tab w:val="left" w:pos="426"/>
        </w:tabs>
        <w:ind w:left="426"/>
        <w:jc w:val="both"/>
        <w:rPr>
          <w:i/>
          <w:iCs/>
        </w:rPr>
      </w:pPr>
    </w:p>
    <w:p w14:paraId="3868EA21" w14:textId="01D81113" w:rsidR="002D58BC" w:rsidRDefault="00A303ED" w:rsidP="001159B2">
      <w:pPr>
        <w:pStyle w:val="Paragraphedeliste"/>
        <w:tabs>
          <w:tab w:val="left" w:pos="426"/>
        </w:tabs>
        <w:ind w:left="426"/>
        <w:jc w:val="both"/>
      </w:pPr>
      <w:r w:rsidRPr="0014330F">
        <w:rPr>
          <w:rStyle w:val="intervention"/>
          <w:i/>
          <w:iCs/>
        </w:rPr>
        <w:t>« La position de l’État français est sans ambiguïté : si des séquelles sanitaires réelles sont démontrées, nous devrons être là, il y va de notre responsabilité. Mais il ne faut pas mettre de côté la rigueur scientifique, car personne n’y sera gagnant.</w:t>
      </w:r>
      <w:r>
        <w:rPr>
          <w:rStyle w:val="intervention"/>
        </w:rPr>
        <w:t> »</w:t>
      </w:r>
    </w:p>
    <w:p w14:paraId="6A48CB4A" w14:textId="05ABBC9D" w:rsidR="002D58BC" w:rsidRDefault="002D58BC" w:rsidP="006D069D"/>
    <w:p w14:paraId="61C791EC" w14:textId="19E9F1BB" w:rsidR="005B320D" w:rsidRDefault="005B320D" w:rsidP="005B320D">
      <w:pPr>
        <w:ind w:left="567"/>
      </w:pPr>
    </w:p>
    <w:p w14:paraId="3EEB4523" w14:textId="722D6C6A" w:rsidR="00E301CC" w:rsidRPr="007319E6" w:rsidRDefault="007319E6" w:rsidP="007319E6">
      <w:pPr>
        <w:pStyle w:val="Paragraphedeliste"/>
        <w:numPr>
          <w:ilvl w:val="0"/>
          <w:numId w:val="6"/>
        </w:numPr>
        <w:rPr>
          <w:b/>
          <w:bCs/>
        </w:rPr>
      </w:pPr>
      <w:r w:rsidRPr="007319E6">
        <w:rPr>
          <w:b/>
          <w:bCs/>
        </w:rPr>
        <w:t>Une attitude de NEGATIONNISME et p</w:t>
      </w:r>
      <w:r w:rsidR="00E301CC" w:rsidRPr="007319E6">
        <w:rPr>
          <w:b/>
          <w:bCs/>
        </w:rPr>
        <w:t xml:space="preserve">erdure ainsi, leur théorie </w:t>
      </w:r>
      <w:r w:rsidR="0066494D" w:rsidRPr="007319E6">
        <w:rPr>
          <w:b/>
          <w:bCs/>
        </w:rPr>
        <w:t>de la bombe</w:t>
      </w:r>
      <w:r w:rsidR="00E301CC" w:rsidRPr="007319E6">
        <w:rPr>
          <w:b/>
          <w:bCs/>
        </w:rPr>
        <w:t xml:space="preserve"> propre !</w:t>
      </w:r>
    </w:p>
    <w:p w14:paraId="052541BD" w14:textId="73BD6839" w:rsidR="005B320D" w:rsidRDefault="005B320D" w:rsidP="00E770C5"/>
    <w:p w14:paraId="44545349" w14:textId="77777777" w:rsidR="00A23293" w:rsidRPr="00653BE6" w:rsidRDefault="00A23293" w:rsidP="005B320D">
      <w:pPr>
        <w:ind w:left="567"/>
      </w:pPr>
    </w:p>
    <w:p w14:paraId="71D93717" w14:textId="56195AF6" w:rsidR="001C2450" w:rsidRDefault="001C0A23" w:rsidP="00543AE1">
      <w:pPr>
        <w:spacing w:before="100" w:beforeAutospacing="1" w:after="240"/>
        <w:jc w:val="both"/>
        <w:rPr>
          <w:b/>
          <w:color w:val="FF0000"/>
          <w:sz w:val="28"/>
          <w:szCs w:val="28"/>
        </w:rPr>
      </w:pPr>
      <w:r w:rsidRPr="00515F33">
        <w:rPr>
          <w:b/>
          <w:color w:val="FF0000"/>
          <w:sz w:val="28"/>
          <w:szCs w:val="28"/>
        </w:rPr>
        <w:t>I</w:t>
      </w:r>
      <w:r w:rsidR="00543AE1">
        <w:rPr>
          <w:b/>
          <w:color w:val="FF0000"/>
          <w:sz w:val="28"/>
          <w:szCs w:val="28"/>
        </w:rPr>
        <w:t>I</w:t>
      </w:r>
      <w:r w:rsidRPr="00515F33">
        <w:rPr>
          <w:b/>
          <w:color w:val="FF0000"/>
          <w:sz w:val="28"/>
          <w:szCs w:val="28"/>
        </w:rPr>
        <w:t xml:space="preserve"> </w:t>
      </w:r>
      <w:r>
        <w:rPr>
          <w:b/>
          <w:color w:val="FF0000"/>
          <w:sz w:val="28"/>
          <w:szCs w:val="28"/>
        </w:rPr>
        <w:t>– COMMEMORATION DU 02 JUILLET : « ALDEBARAN » 55 ANS</w:t>
      </w:r>
    </w:p>
    <w:p w14:paraId="3807476D" w14:textId="26BF34A5" w:rsidR="003714C8" w:rsidRPr="002C4130" w:rsidRDefault="003714C8" w:rsidP="001517F4">
      <w:pPr>
        <w:spacing w:before="100" w:beforeAutospacing="1" w:after="240"/>
        <w:ind w:firstLine="567"/>
        <w:jc w:val="both"/>
        <w:rPr>
          <w:bCs/>
        </w:rPr>
      </w:pPr>
      <w:r>
        <w:rPr>
          <w:bCs/>
        </w:rPr>
        <w:t>Un des</w:t>
      </w:r>
      <w:r w:rsidR="00071A7F" w:rsidRPr="00071A7F">
        <w:rPr>
          <w:bCs/>
        </w:rPr>
        <w:t xml:space="preserve"> axe</w:t>
      </w:r>
      <w:r>
        <w:rPr>
          <w:bCs/>
        </w:rPr>
        <w:t>s</w:t>
      </w:r>
      <w:r w:rsidR="00071A7F" w:rsidRPr="00071A7F">
        <w:rPr>
          <w:bCs/>
        </w:rPr>
        <w:t xml:space="preserve"> de l’objet social de l’Association</w:t>
      </w:r>
      <w:r>
        <w:rPr>
          <w:bCs/>
        </w:rPr>
        <w:t xml:space="preserve"> porte sur la commémoration du 1</w:t>
      </w:r>
      <w:r w:rsidRPr="003714C8">
        <w:rPr>
          <w:bCs/>
          <w:vertAlign w:val="superscript"/>
        </w:rPr>
        <w:t>er</w:t>
      </w:r>
      <w:r>
        <w:rPr>
          <w:bCs/>
        </w:rPr>
        <w:t xml:space="preserve"> tir, Aldébaran, le 02 juillet 1966, date de référence où TOUT bascula pour le peuple Maohi, tant sur l’aspect sociétal, économique, environnemental et surtout, sanitaire.</w:t>
      </w:r>
      <w:r w:rsidR="002C4130">
        <w:rPr>
          <w:bCs/>
        </w:rPr>
        <w:t xml:space="preserve"> </w:t>
      </w:r>
      <w:r>
        <w:rPr>
          <w:bCs/>
        </w:rPr>
        <w:t xml:space="preserve">Ainsi, cette année, l’Association convie tous ses membres, sympathisants, victimes et familles accompagnées par l’Association dans le cadre de la procédure de demande d’indemnisation, </w:t>
      </w:r>
      <w:r w:rsidRPr="002100F7">
        <w:rPr>
          <w:b/>
        </w:rPr>
        <w:t xml:space="preserve">à </w:t>
      </w:r>
      <w:r w:rsidR="004A63BB" w:rsidRPr="002100F7">
        <w:rPr>
          <w:b/>
        </w:rPr>
        <w:t xml:space="preserve">une manifestation pacifique au Monument aux morts, </w:t>
      </w:r>
      <w:r w:rsidR="006911BE">
        <w:rPr>
          <w:b/>
        </w:rPr>
        <w:t xml:space="preserve">le vendredi 02 juillet 2021, </w:t>
      </w:r>
      <w:r w:rsidR="004A63BB" w:rsidRPr="002100F7">
        <w:rPr>
          <w:b/>
        </w:rPr>
        <w:t>de 6h00 à 12h00.</w:t>
      </w:r>
    </w:p>
    <w:p w14:paraId="7FD5A1A0" w14:textId="53915B0F" w:rsidR="001C2450" w:rsidRDefault="004A63BB" w:rsidP="001517F4">
      <w:pPr>
        <w:spacing w:before="100" w:beforeAutospacing="1" w:after="240"/>
        <w:ind w:firstLine="567"/>
        <w:jc w:val="both"/>
        <w:rPr>
          <w:bCs/>
        </w:rPr>
      </w:pPr>
      <w:r>
        <w:rPr>
          <w:bCs/>
        </w:rPr>
        <w:t xml:space="preserve">Ce lieu du Monument aux morts se veut LE lieu symbolique des décès générés par </w:t>
      </w:r>
      <w:r w:rsidR="00192E70">
        <w:rPr>
          <w:bCs/>
        </w:rPr>
        <w:t xml:space="preserve">les </w:t>
      </w:r>
      <w:r w:rsidR="002100F7">
        <w:rPr>
          <w:bCs/>
        </w:rPr>
        <w:t>essais nucléaires, mais aussi et surtout parce qu’il se situe en face du responsable de tous ces dégâts et souffrances, l’ETAT.</w:t>
      </w:r>
    </w:p>
    <w:p w14:paraId="7EDEF4A8" w14:textId="77777777" w:rsidR="005F1EF2" w:rsidRPr="002C4130" w:rsidRDefault="005F1EF2" w:rsidP="00543AE1">
      <w:pPr>
        <w:spacing w:before="100" w:beforeAutospacing="1" w:after="240"/>
        <w:jc w:val="both"/>
        <w:rPr>
          <w:bCs/>
        </w:rPr>
      </w:pPr>
    </w:p>
    <w:p w14:paraId="7543E002" w14:textId="4A5CDE6C" w:rsidR="001C0A23" w:rsidRDefault="001C0A23" w:rsidP="005F1EF2">
      <w:pPr>
        <w:tabs>
          <w:tab w:val="left" w:pos="567"/>
          <w:tab w:val="left" w:pos="5387"/>
        </w:tabs>
        <w:spacing w:before="100" w:beforeAutospacing="1" w:after="240"/>
        <w:jc w:val="both"/>
        <w:rPr>
          <w:b/>
          <w:color w:val="FF0000"/>
          <w:sz w:val="28"/>
          <w:szCs w:val="28"/>
        </w:rPr>
      </w:pPr>
      <w:r w:rsidRPr="00515F33">
        <w:rPr>
          <w:b/>
          <w:color w:val="FF0000"/>
          <w:sz w:val="28"/>
          <w:szCs w:val="28"/>
        </w:rPr>
        <w:t>I</w:t>
      </w:r>
      <w:r w:rsidR="00543AE1">
        <w:rPr>
          <w:b/>
          <w:color w:val="FF0000"/>
          <w:sz w:val="28"/>
          <w:szCs w:val="28"/>
        </w:rPr>
        <w:t>II</w:t>
      </w:r>
      <w:r w:rsidRPr="00515F33">
        <w:rPr>
          <w:b/>
          <w:color w:val="FF0000"/>
          <w:sz w:val="28"/>
          <w:szCs w:val="28"/>
        </w:rPr>
        <w:t xml:space="preserve"> </w:t>
      </w:r>
      <w:r>
        <w:rPr>
          <w:b/>
          <w:color w:val="FF0000"/>
          <w:sz w:val="28"/>
          <w:szCs w:val="28"/>
        </w:rPr>
        <w:t>– MANIFESTATION DU 17 JUILLET : « CENTAURE</w:t>
      </w:r>
      <w:r w:rsidR="00543AE1">
        <w:rPr>
          <w:b/>
          <w:color w:val="FF0000"/>
          <w:sz w:val="28"/>
          <w:szCs w:val="28"/>
        </w:rPr>
        <w:t> »</w:t>
      </w:r>
      <w:r>
        <w:rPr>
          <w:b/>
          <w:color w:val="FF0000"/>
          <w:sz w:val="28"/>
          <w:szCs w:val="28"/>
        </w:rPr>
        <w:t xml:space="preserve">  </w:t>
      </w:r>
      <w:r w:rsidR="00543AE1">
        <w:rPr>
          <w:b/>
          <w:color w:val="FF0000"/>
          <w:sz w:val="28"/>
          <w:szCs w:val="28"/>
        </w:rPr>
        <w:t xml:space="preserve">100 000 </w:t>
      </w:r>
      <w:r w:rsidR="00920E8C">
        <w:rPr>
          <w:b/>
          <w:color w:val="FF0000"/>
          <w:sz w:val="28"/>
          <w:szCs w:val="28"/>
        </w:rPr>
        <w:t>HABITANTS</w:t>
      </w:r>
      <w:r w:rsidR="002C4130">
        <w:rPr>
          <w:b/>
          <w:color w:val="FF0000"/>
          <w:sz w:val="28"/>
          <w:szCs w:val="28"/>
        </w:rPr>
        <w:t xml:space="preserve"> </w:t>
      </w:r>
      <w:r w:rsidR="005F1EF2">
        <w:rPr>
          <w:b/>
          <w:color w:val="FF0000"/>
          <w:sz w:val="28"/>
          <w:szCs w:val="28"/>
        </w:rPr>
        <w:tab/>
      </w:r>
      <w:r w:rsidR="00543AE1">
        <w:rPr>
          <w:b/>
          <w:color w:val="FF0000"/>
          <w:sz w:val="28"/>
          <w:szCs w:val="28"/>
        </w:rPr>
        <w:t>PRESUMES</w:t>
      </w:r>
      <w:r w:rsidR="00920E8C">
        <w:rPr>
          <w:b/>
          <w:color w:val="FF0000"/>
          <w:sz w:val="28"/>
          <w:szCs w:val="28"/>
        </w:rPr>
        <w:t xml:space="preserve"> CONTAMINES</w:t>
      </w:r>
    </w:p>
    <w:p w14:paraId="69E257F3" w14:textId="389805DE" w:rsidR="00543AE1" w:rsidRDefault="00EB7178" w:rsidP="001517F4">
      <w:pPr>
        <w:spacing w:before="100" w:beforeAutospacing="1" w:after="240"/>
        <w:ind w:firstLine="567"/>
        <w:jc w:val="both"/>
        <w:rPr>
          <w:bCs/>
        </w:rPr>
      </w:pPr>
      <w:r w:rsidRPr="00EB7178">
        <w:rPr>
          <w:bCs/>
        </w:rPr>
        <w:t xml:space="preserve">Si </w:t>
      </w:r>
      <w:r>
        <w:rPr>
          <w:bCs/>
        </w:rPr>
        <w:t xml:space="preserve">l’Association est convaincue que les nuages formés par les essais nucléaires ont contaminé toutes les îles et atolls de la Polynésie, l’ouvrage « Toxique » est cependant venu affirmer et ce après des recherches et analyses scientifiques, que l’essai Centaure, tiré le 17 juillet 1974, d’une puissance de 4 </w:t>
      </w:r>
      <w:r w:rsidR="001F2860">
        <w:rPr>
          <w:bCs/>
        </w:rPr>
        <w:t>kilotonnes</w:t>
      </w:r>
      <w:r>
        <w:rPr>
          <w:bCs/>
        </w:rPr>
        <w:t xml:space="preserve">, a contaminé l’ensemble des communes de Tahiti et non uniquement la côte est </w:t>
      </w:r>
      <w:r w:rsidR="00F90FBE">
        <w:rPr>
          <w:bCs/>
        </w:rPr>
        <w:t xml:space="preserve">et </w:t>
      </w:r>
      <w:r>
        <w:rPr>
          <w:bCs/>
        </w:rPr>
        <w:t>la presqu’île comme le laisse entendre l’Etat, ainsi que les</w:t>
      </w:r>
      <w:r w:rsidR="00AA18C6">
        <w:rPr>
          <w:bCs/>
        </w:rPr>
        <w:t xml:space="preserve"> îles sous le vent. </w:t>
      </w:r>
    </w:p>
    <w:p w14:paraId="20DF4FFE" w14:textId="537516DB" w:rsidR="00AA18C6" w:rsidRDefault="00AA18C6" w:rsidP="001517F4">
      <w:pPr>
        <w:spacing w:before="100" w:beforeAutospacing="1" w:after="240"/>
        <w:ind w:firstLine="567"/>
        <w:jc w:val="both"/>
        <w:rPr>
          <w:bCs/>
        </w:rPr>
      </w:pPr>
      <w:r>
        <w:rPr>
          <w:bCs/>
        </w:rPr>
        <w:t>Les co</w:t>
      </w:r>
      <w:r w:rsidR="00BE54D8">
        <w:rPr>
          <w:bCs/>
        </w:rPr>
        <w:t>-</w:t>
      </w:r>
      <w:r>
        <w:rPr>
          <w:bCs/>
        </w:rPr>
        <w:t xml:space="preserve">auteurs ainsi que leur équipe de chercheurs, ont par ailleurs mis en exergue après recalcule des données, que les chiffres des retombées annoncées par l’Etat, ont été </w:t>
      </w:r>
      <w:r w:rsidRPr="00CA3EFB">
        <w:rPr>
          <w:bCs/>
        </w:rPr>
        <w:t>minimisés !</w:t>
      </w:r>
    </w:p>
    <w:p w14:paraId="63D06366" w14:textId="20F5F4B6" w:rsidR="00AA18C6" w:rsidRDefault="00BE54D8" w:rsidP="001517F4">
      <w:pPr>
        <w:spacing w:before="100" w:beforeAutospacing="1" w:after="240"/>
        <w:ind w:firstLine="567"/>
        <w:jc w:val="both"/>
        <w:rPr>
          <w:bCs/>
        </w:rPr>
      </w:pPr>
      <w:r>
        <w:rPr>
          <w:bCs/>
        </w:rPr>
        <w:t>Par ailleurs,</w:t>
      </w:r>
      <w:r w:rsidR="00AA18C6">
        <w:rPr>
          <w:bCs/>
        </w:rPr>
        <w:t xml:space="preserve"> ces analyses n’ont été réalisées que sur la base de documents déclassifiés </w:t>
      </w:r>
      <w:r w:rsidR="008D7B1D">
        <w:rPr>
          <w:bCs/>
        </w:rPr>
        <w:t xml:space="preserve">et ne portant que </w:t>
      </w:r>
      <w:r w:rsidR="00F90FBE">
        <w:rPr>
          <w:bCs/>
        </w:rPr>
        <w:t xml:space="preserve">sur </w:t>
      </w:r>
      <w:r w:rsidR="00AA18C6">
        <w:rPr>
          <w:bCs/>
        </w:rPr>
        <w:t>cinq essais.</w:t>
      </w:r>
      <w:r w:rsidR="008D7B1D">
        <w:rPr>
          <w:bCs/>
        </w:rPr>
        <w:t xml:space="preserve"> Or, il y a eu 46 </w:t>
      </w:r>
      <w:r w:rsidR="008D7B1D" w:rsidRPr="001F2860">
        <w:rPr>
          <w:bCs/>
        </w:rPr>
        <w:t xml:space="preserve">essais atmosphériques dont certains ont été nettement plus puissants à l’instar de Canopus le 24 août 1968, </w:t>
      </w:r>
      <w:r w:rsidR="001F2860" w:rsidRPr="001F2860">
        <w:rPr>
          <w:bCs/>
        </w:rPr>
        <w:t>4</w:t>
      </w:r>
      <w:r w:rsidR="008D7B1D" w:rsidRPr="001F2860">
        <w:rPr>
          <w:bCs/>
        </w:rPr>
        <w:t xml:space="preserve">.6 </w:t>
      </w:r>
      <w:r w:rsidR="001F2860" w:rsidRPr="001F2860">
        <w:rPr>
          <w:bCs/>
        </w:rPr>
        <w:t>kilo</w:t>
      </w:r>
      <w:r w:rsidR="008D7B1D" w:rsidRPr="001F2860">
        <w:rPr>
          <w:bCs/>
        </w:rPr>
        <w:t>tonnes.</w:t>
      </w:r>
    </w:p>
    <w:p w14:paraId="267C3033" w14:textId="19EC8566" w:rsidR="004F6EF4" w:rsidRDefault="004F6EF4" w:rsidP="001517F4">
      <w:pPr>
        <w:spacing w:before="100" w:beforeAutospacing="1" w:after="240"/>
        <w:ind w:firstLine="567"/>
        <w:jc w:val="both"/>
        <w:rPr>
          <w:b/>
        </w:rPr>
      </w:pPr>
      <w:r>
        <w:rPr>
          <w:bCs/>
        </w:rPr>
        <w:t xml:space="preserve">L’Association 193 </w:t>
      </w:r>
      <w:r w:rsidR="008640B1">
        <w:rPr>
          <w:bCs/>
        </w:rPr>
        <w:t xml:space="preserve">relève maintes incohérences sur les décisions prises par le Civen, et pour ne citer que </w:t>
      </w:r>
      <w:r w:rsidR="00480B72">
        <w:rPr>
          <w:bCs/>
        </w:rPr>
        <w:t>des</w:t>
      </w:r>
      <w:r w:rsidR="008640B1">
        <w:rPr>
          <w:bCs/>
        </w:rPr>
        <w:t xml:space="preserve"> exemple</w:t>
      </w:r>
      <w:r w:rsidR="00480B72">
        <w:rPr>
          <w:bCs/>
        </w:rPr>
        <w:t>s récents</w:t>
      </w:r>
      <w:r w:rsidR="008640B1">
        <w:rPr>
          <w:bCs/>
        </w:rPr>
        <w:t xml:space="preserve">, </w:t>
      </w:r>
      <w:r w:rsidR="008640B1" w:rsidRPr="008640B1">
        <w:rPr>
          <w:b/>
        </w:rPr>
        <w:t xml:space="preserve">une dame, née </w:t>
      </w:r>
      <w:r w:rsidR="00B84A9A">
        <w:rPr>
          <w:b/>
        </w:rPr>
        <w:t>en</w:t>
      </w:r>
      <w:r w:rsidR="008640B1" w:rsidRPr="008640B1">
        <w:rPr>
          <w:b/>
        </w:rPr>
        <w:t xml:space="preserve"> juillet 1972 à Papeete et ayant toujours résidé </w:t>
      </w:r>
      <w:r w:rsidR="006411D6">
        <w:rPr>
          <w:b/>
        </w:rPr>
        <w:t>à Papeete</w:t>
      </w:r>
      <w:r w:rsidR="008640B1">
        <w:rPr>
          <w:bCs/>
        </w:rPr>
        <w:t xml:space="preserve">, s’est vu refuser sa demande d’indemnisation avec comme argument le seuil de 1 mSv toujours inférieur à Papeete. Or, l’association recense parmi « ses » victimes, deux autres femmes ayant été reconnues victimes par le Civen. Pourtant, l’une est née </w:t>
      </w:r>
      <w:r w:rsidR="00B84A9A">
        <w:rPr>
          <w:bCs/>
        </w:rPr>
        <w:t>en</w:t>
      </w:r>
      <w:r w:rsidR="008640B1">
        <w:rPr>
          <w:bCs/>
        </w:rPr>
        <w:t xml:space="preserve"> </w:t>
      </w:r>
      <w:r w:rsidR="008640B1" w:rsidRPr="006411D6">
        <w:rPr>
          <w:b/>
        </w:rPr>
        <w:t>avril 1973</w:t>
      </w:r>
      <w:r w:rsidR="008640B1">
        <w:rPr>
          <w:bCs/>
        </w:rPr>
        <w:t xml:space="preserve"> avec pour résidence </w:t>
      </w:r>
      <w:r w:rsidR="008640B1" w:rsidRPr="006411D6">
        <w:rPr>
          <w:b/>
        </w:rPr>
        <w:t xml:space="preserve">Papeete </w:t>
      </w:r>
      <w:r w:rsidR="008640B1">
        <w:rPr>
          <w:bCs/>
        </w:rPr>
        <w:t xml:space="preserve">depuis sa naissance, </w:t>
      </w:r>
      <w:r w:rsidR="00B84A9A">
        <w:rPr>
          <w:bCs/>
        </w:rPr>
        <w:t xml:space="preserve">et l’autre, </w:t>
      </w:r>
      <w:r w:rsidR="00B84A9A" w:rsidRPr="006411D6">
        <w:rPr>
          <w:b/>
        </w:rPr>
        <w:t xml:space="preserve">née en décembre 1973 a </w:t>
      </w:r>
      <w:r w:rsidR="00B84A9A" w:rsidRPr="006411D6">
        <w:rPr>
          <w:bCs/>
        </w:rPr>
        <w:t>toujours résidé dans le commune</w:t>
      </w:r>
      <w:r w:rsidR="00B84A9A" w:rsidRPr="006411D6">
        <w:rPr>
          <w:b/>
        </w:rPr>
        <w:t xml:space="preserve"> de Punaauia.</w:t>
      </w:r>
    </w:p>
    <w:p w14:paraId="21C660CA" w14:textId="7A134CDE" w:rsidR="00480B72" w:rsidRPr="00480B72" w:rsidRDefault="00480B72" w:rsidP="001517F4">
      <w:pPr>
        <w:spacing w:before="100" w:beforeAutospacing="1" w:after="240"/>
        <w:ind w:firstLine="567"/>
        <w:jc w:val="both"/>
        <w:rPr>
          <w:bCs/>
        </w:rPr>
      </w:pPr>
      <w:r w:rsidRPr="00480B72">
        <w:rPr>
          <w:bCs/>
        </w:rPr>
        <w:t xml:space="preserve">De même, lors de l’audience du 25 mai 2021, le tribunal administratif a donné raison à deux victimes de Papeari accompagnées par l’Association 193, au motif que le CIVEN n’a pas apporté la preuve que les deux </w:t>
      </w:r>
      <w:r w:rsidR="00A564E7">
        <w:rPr>
          <w:bCs/>
        </w:rPr>
        <w:t>requérantes</w:t>
      </w:r>
      <w:r w:rsidRPr="00480B72">
        <w:rPr>
          <w:bCs/>
        </w:rPr>
        <w:t xml:space="preserve"> de la commune de Papeari, située à proximité de la presqu’île,  n’ont pas été contaminées lors des essais.</w:t>
      </w:r>
      <w:r w:rsidR="00A564E7">
        <w:rPr>
          <w:bCs/>
        </w:rPr>
        <w:t xml:space="preserve"> D’ailleurs, le tribunal a mis en avant la carte de Tahiti et des retombées dont les données ont également fait l’objet de la démonstration scientifique dans le livre « Toxique », données modifiées et minimisées par le CEA.</w:t>
      </w:r>
    </w:p>
    <w:p w14:paraId="68CCAC0B" w14:textId="5E32666D" w:rsidR="00F80534" w:rsidRPr="008D7B1D" w:rsidRDefault="00F80534" w:rsidP="00543AE1">
      <w:pPr>
        <w:spacing w:before="100" w:beforeAutospacing="1" w:after="240"/>
        <w:jc w:val="both"/>
        <w:rPr>
          <w:b/>
        </w:rPr>
      </w:pPr>
      <w:r>
        <w:rPr>
          <w:b/>
        </w:rPr>
        <w:t>Comment le Civen explique-t-il les décisions divergentes ?</w:t>
      </w:r>
    </w:p>
    <w:p w14:paraId="73258660" w14:textId="0695B9A1" w:rsidR="00543AE1" w:rsidRPr="00640B7E" w:rsidRDefault="00BE54D8" w:rsidP="001517F4">
      <w:pPr>
        <w:spacing w:before="100" w:beforeAutospacing="1" w:after="240"/>
        <w:ind w:firstLine="567"/>
        <w:jc w:val="both"/>
        <w:rPr>
          <w:bCs/>
        </w:rPr>
      </w:pPr>
      <w:r>
        <w:rPr>
          <w:bCs/>
        </w:rPr>
        <w:t>Cet ouvrage a créé une prise de conscience en certaines personnes, et l’Association a enregistré un pic des demandes d’accompagnement pour la constitution de dossiers à raison d’une centaine en un peu moins de trois semaines !</w:t>
      </w:r>
      <w:r w:rsidR="002C4130">
        <w:rPr>
          <w:bCs/>
        </w:rPr>
        <w:t xml:space="preserve"> </w:t>
      </w:r>
      <w:r>
        <w:rPr>
          <w:bCs/>
        </w:rPr>
        <w:t xml:space="preserve">Concernant la manifestation du 17 juillet, </w:t>
      </w:r>
      <w:r w:rsidR="00393A12">
        <w:rPr>
          <w:bCs/>
        </w:rPr>
        <w:t>l’Association se joindra à une action commune avec le Tavini huiraatira, l’Eglise protestantes maohi, l’Association Morur</w:t>
      </w:r>
      <w:r w:rsidR="00A85DE5">
        <w:rPr>
          <w:bCs/>
        </w:rPr>
        <w:t>o</w:t>
      </w:r>
      <w:r w:rsidR="00393A12">
        <w:rPr>
          <w:bCs/>
        </w:rPr>
        <w:t xml:space="preserve">a e tatou, avec une </w:t>
      </w:r>
      <w:r w:rsidR="00393A12">
        <w:rPr>
          <w:bCs/>
        </w:rPr>
        <w:lastRenderedPageBreak/>
        <w:t xml:space="preserve">marche </w:t>
      </w:r>
      <w:r w:rsidR="00F90FBE">
        <w:rPr>
          <w:bCs/>
        </w:rPr>
        <w:t>en</w:t>
      </w:r>
      <w:r w:rsidR="00393A12">
        <w:rPr>
          <w:bCs/>
        </w:rPr>
        <w:t xml:space="preserve"> deux points de départ</w:t>
      </w:r>
      <w:r w:rsidR="00A85DE5">
        <w:rPr>
          <w:bCs/>
        </w:rPr>
        <w:t>, un de la côte est, et un autre de la côte ouest, pour un regroupement à la place Tarahoi.</w:t>
      </w:r>
    </w:p>
    <w:p w14:paraId="661795EF" w14:textId="77684AED" w:rsidR="001C0A23" w:rsidRDefault="001C0A23" w:rsidP="00543AE1">
      <w:pPr>
        <w:spacing w:before="100" w:beforeAutospacing="1" w:after="240"/>
        <w:jc w:val="both"/>
        <w:rPr>
          <w:b/>
          <w:color w:val="FF0000"/>
          <w:sz w:val="28"/>
          <w:szCs w:val="28"/>
        </w:rPr>
      </w:pPr>
      <w:r w:rsidRPr="00515F33">
        <w:rPr>
          <w:b/>
          <w:color w:val="FF0000"/>
          <w:sz w:val="28"/>
          <w:szCs w:val="28"/>
        </w:rPr>
        <w:t>I</w:t>
      </w:r>
      <w:r w:rsidR="00543AE1">
        <w:rPr>
          <w:b/>
          <w:color w:val="FF0000"/>
          <w:sz w:val="28"/>
          <w:szCs w:val="28"/>
        </w:rPr>
        <w:t>V</w:t>
      </w:r>
      <w:r w:rsidRPr="00515F33">
        <w:rPr>
          <w:b/>
          <w:color w:val="FF0000"/>
          <w:sz w:val="28"/>
          <w:szCs w:val="28"/>
        </w:rPr>
        <w:t xml:space="preserve"> </w:t>
      </w:r>
      <w:r>
        <w:rPr>
          <w:b/>
          <w:color w:val="FF0000"/>
          <w:sz w:val="28"/>
          <w:szCs w:val="28"/>
        </w:rPr>
        <w:t xml:space="preserve">– </w:t>
      </w:r>
      <w:r w:rsidR="00543AE1">
        <w:rPr>
          <w:b/>
          <w:color w:val="FF0000"/>
          <w:sz w:val="28"/>
          <w:szCs w:val="28"/>
        </w:rPr>
        <w:t>VENUE DE MACRON</w:t>
      </w:r>
    </w:p>
    <w:p w14:paraId="7DC3CD76" w14:textId="44DDD32F" w:rsidR="00EC7A96" w:rsidRDefault="00124ECE" w:rsidP="001517F4">
      <w:pPr>
        <w:spacing w:before="100" w:beforeAutospacing="1" w:after="240"/>
        <w:ind w:firstLine="567"/>
        <w:jc w:val="both"/>
        <w:rPr>
          <w:bCs/>
        </w:rPr>
      </w:pPr>
      <w:r w:rsidRPr="00EC7A96">
        <w:rPr>
          <w:bCs/>
        </w:rPr>
        <w:t>L</w:t>
      </w:r>
      <w:r w:rsidR="00EC7A96">
        <w:rPr>
          <w:bCs/>
        </w:rPr>
        <w:t>’Association sera présente à la venue de MACRON, telle qu’elle l’a été lors du passage d’HOLLANDE.</w:t>
      </w:r>
    </w:p>
    <w:p w14:paraId="1130F623" w14:textId="77777777" w:rsidR="00F90FBE" w:rsidRDefault="00EC7A96" w:rsidP="001517F4">
      <w:pPr>
        <w:spacing w:before="100" w:beforeAutospacing="1" w:after="240"/>
        <w:ind w:firstLine="567"/>
        <w:jc w:val="both"/>
        <w:rPr>
          <w:bCs/>
        </w:rPr>
      </w:pPr>
      <w:r>
        <w:rPr>
          <w:bCs/>
        </w:rPr>
        <w:t>L</w:t>
      </w:r>
      <w:r w:rsidR="00124ECE" w:rsidRPr="00EC7A96">
        <w:rPr>
          <w:bCs/>
        </w:rPr>
        <w:t xml:space="preserve">ors de la </w:t>
      </w:r>
      <w:r>
        <w:rPr>
          <w:bCs/>
        </w:rPr>
        <w:t xml:space="preserve">mission </w:t>
      </w:r>
      <w:r w:rsidR="00124ECE" w:rsidRPr="00EC7A96">
        <w:rPr>
          <w:bCs/>
        </w:rPr>
        <w:t>du Ministre des Outre mers</w:t>
      </w:r>
      <w:r>
        <w:rPr>
          <w:bCs/>
        </w:rPr>
        <w:t xml:space="preserve"> en mai dernier, il a clamé et médiatisé que le Président de la République est prêt à tout assumer</w:t>
      </w:r>
      <w:r w:rsidR="00657CD6">
        <w:rPr>
          <w:bCs/>
        </w:rPr>
        <w:t xml:space="preserve"> </w:t>
      </w:r>
      <w:r>
        <w:rPr>
          <w:bCs/>
        </w:rPr>
        <w:t>!</w:t>
      </w:r>
      <w:r w:rsidR="00657CD6">
        <w:rPr>
          <w:bCs/>
        </w:rPr>
        <w:t xml:space="preserve"> </w:t>
      </w:r>
    </w:p>
    <w:p w14:paraId="770F5690" w14:textId="7E11EFFF" w:rsidR="00124ECE" w:rsidRPr="001C0A23" w:rsidRDefault="00657CD6" w:rsidP="001517F4">
      <w:pPr>
        <w:spacing w:before="100" w:beforeAutospacing="1" w:after="240"/>
        <w:ind w:left="567"/>
        <w:jc w:val="both"/>
        <w:rPr>
          <w:bCs/>
        </w:rPr>
      </w:pPr>
      <w:r>
        <w:rPr>
          <w:bCs/>
        </w:rPr>
        <w:t xml:space="preserve">Question : </w:t>
      </w:r>
      <w:r w:rsidRPr="00F90FBE">
        <w:rPr>
          <w:b/>
        </w:rPr>
        <w:t>« </w:t>
      </w:r>
      <w:r w:rsidR="00F90FBE" w:rsidRPr="00F90FBE">
        <w:rPr>
          <w:b/>
        </w:rPr>
        <w:t>Q</w:t>
      </w:r>
      <w:r w:rsidRPr="00F90FBE">
        <w:rPr>
          <w:b/>
        </w:rPr>
        <w:t>u’entendre par tout assumer ?</w:t>
      </w:r>
      <w:r>
        <w:rPr>
          <w:bCs/>
        </w:rPr>
        <w:t> »</w:t>
      </w:r>
    </w:p>
    <w:sectPr w:rsidR="00124ECE" w:rsidRPr="001C0A23" w:rsidSect="00AA3A9E">
      <w:footerReference w:type="default" r:id="rId10"/>
      <w:pgSz w:w="11906" w:h="16838"/>
      <w:pgMar w:top="851" w:right="992" w:bottom="992" w:left="85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D56E" w14:textId="77777777" w:rsidR="00BD754C" w:rsidRDefault="00BD754C" w:rsidP="00620FF8">
      <w:r>
        <w:separator/>
      </w:r>
    </w:p>
  </w:endnote>
  <w:endnote w:type="continuationSeparator" w:id="0">
    <w:p w14:paraId="3DFE6CF2" w14:textId="77777777" w:rsidR="00BD754C" w:rsidRDefault="00BD754C" w:rsidP="006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1000417" w:usb3="00000000" w:csb0="0002000D" w:csb1="00000000"/>
  </w:font>
  <w:font w:name="Lucida Sans Unicode">
    <w:panose1 w:val="020B0602030504020204"/>
    <w:charset w:val="00"/>
    <w:family w:val="swiss"/>
    <w:pitch w:val="variable"/>
    <w:sig w:usb0="80000AFF" w:usb1="0000396B" w:usb2="00000000" w:usb3="00000000" w:csb0="000000B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9221"/>
      <w:docPartObj>
        <w:docPartGallery w:val="Page Numbers (Bottom of Page)"/>
        <w:docPartUnique/>
      </w:docPartObj>
    </w:sdtPr>
    <w:sdtEndPr/>
    <w:sdtContent>
      <w:p w14:paraId="085900DE" w14:textId="77777777" w:rsidR="00823552" w:rsidRDefault="00A94B47" w:rsidP="00AF6EA5">
        <w:pPr>
          <w:pStyle w:val="Pieddepage"/>
          <w:tabs>
            <w:tab w:val="left" w:pos="1772"/>
          </w:tabs>
          <w:jc w:val="right"/>
        </w:pPr>
        <w:r>
          <w:rPr>
            <w:noProof/>
          </w:rPr>
          <mc:AlternateContent>
            <mc:Choice Requires="wps">
              <w:drawing>
                <wp:anchor distT="0" distB="0" distL="114300" distR="114300" simplePos="0" relativeHeight="251659264" behindDoc="0" locked="0" layoutInCell="0" allowOverlap="1" wp14:anchorId="5B731FBC" wp14:editId="445D1CE2">
                  <wp:simplePos x="0" y="0"/>
                  <wp:positionH relativeFrom="rightMargin">
                    <wp:posOffset>-362585</wp:posOffset>
                  </wp:positionH>
                  <wp:positionV relativeFrom="bottomMargin">
                    <wp:posOffset>42546</wp:posOffset>
                  </wp:positionV>
                  <wp:extent cx="373380" cy="320040"/>
                  <wp:effectExtent l="0" t="0" r="26670"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20040"/>
                          </a:xfrm>
                          <a:prstGeom prst="foldedCorner">
                            <a:avLst>
                              <a:gd name="adj" fmla="val 34560"/>
                            </a:avLst>
                          </a:prstGeom>
                          <a:solidFill>
                            <a:srgbClr val="FFFFFF"/>
                          </a:solidFill>
                          <a:ln w="3175">
                            <a:solidFill>
                              <a:srgbClr val="808080"/>
                            </a:solidFill>
                            <a:round/>
                            <a:headEnd/>
                            <a:tailEnd/>
                          </a:ln>
                        </wps:spPr>
                        <wps:txbx>
                          <w:txbxContent>
                            <w:p w14:paraId="502B171C" w14:textId="43CB91CC" w:rsidR="00823552" w:rsidRDefault="003443E0">
                              <w:pPr>
                                <w:jc w:val="center"/>
                              </w:pPr>
                              <w:r>
                                <w:rPr>
                                  <w:sz w:val="22"/>
                                  <w:szCs w:val="22"/>
                                </w:rPr>
                                <w:fldChar w:fldCharType="begin"/>
                              </w:r>
                              <w:r w:rsidR="00823552">
                                <w:instrText>PAGE    \* MERGEFORMAT</w:instrText>
                              </w:r>
                              <w:r>
                                <w:rPr>
                                  <w:sz w:val="22"/>
                                  <w:szCs w:val="22"/>
                                </w:rPr>
                                <w:fldChar w:fldCharType="separate"/>
                              </w:r>
                              <w:r w:rsidR="001B4112" w:rsidRPr="001B4112">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31FB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28.55pt;margin-top:3.35pt;width:29.4pt;height:25.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" o:allowincell="f" adj="14135" strokecolor="gray" strokeweight=".25pt">
                  <v:textbox>
                    <w:txbxContent>
                      <w:p w14:paraId="502B171C" w14:textId="43CB91CC" w:rsidR="00823552" w:rsidRDefault="003443E0">
                        <w:pPr>
                          <w:jc w:val="center"/>
                        </w:pPr>
                        <w:r>
                          <w:rPr>
                            <w:sz w:val="22"/>
                            <w:szCs w:val="22"/>
                          </w:rPr>
                          <w:fldChar w:fldCharType="begin"/>
                        </w:r>
                        <w:r w:rsidR="00823552">
                          <w:instrText>PAGE    \* MERGEFORMAT</w:instrText>
                        </w:r>
                        <w:r>
                          <w:rPr>
                            <w:sz w:val="22"/>
                            <w:szCs w:val="22"/>
                          </w:rPr>
                          <w:fldChar w:fldCharType="separate"/>
                        </w:r>
                        <w:r w:rsidR="001B4112" w:rsidRPr="001B4112">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3544" w14:textId="77777777" w:rsidR="00BD754C" w:rsidRDefault="00BD754C" w:rsidP="00620FF8">
      <w:r>
        <w:separator/>
      </w:r>
    </w:p>
  </w:footnote>
  <w:footnote w:type="continuationSeparator" w:id="0">
    <w:p w14:paraId="2EDFDFFF" w14:textId="77777777" w:rsidR="00BD754C" w:rsidRDefault="00BD754C" w:rsidP="0062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009A"/>
    <w:multiLevelType w:val="hybridMultilevel"/>
    <w:tmpl w:val="268C39B6"/>
    <w:lvl w:ilvl="0" w:tplc="0EFE6FD8">
      <w:start w:val="1"/>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E5977"/>
    <w:multiLevelType w:val="hybridMultilevel"/>
    <w:tmpl w:val="1376FCE8"/>
    <w:lvl w:ilvl="0" w:tplc="18D88C40">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8DB4ED3"/>
    <w:multiLevelType w:val="hybridMultilevel"/>
    <w:tmpl w:val="D5525DE4"/>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1268B9"/>
    <w:multiLevelType w:val="hybridMultilevel"/>
    <w:tmpl w:val="7CF8DE1C"/>
    <w:lvl w:ilvl="0" w:tplc="0D140D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59C6020"/>
    <w:multiLevelType w:val="hybridMultilevel"/>
    <w:tmpl w:val="A1025AE0"/>
    <w:lvl w:ilvl="0" w:tplc="D8305D7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752C7A13"/>
    <w:multiLevelType w:val="hybridMultilevel"/>
    <w:tmpl w:val="12744F1E"/>
    <w:lvl w:ilvl="0" w:tplc="032AAF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4E"/>
    <w:rsid w:val="000008AC"/>
    <w:rsid w:val="00001858"/>
    <w:rsid w:val="00002BB6"/>
    <w:rsid w:val="000033E0"/>
    <w:rsid w:val="00003E71"/>
    <w:rsid w:val="000065CB"/>
    <w:rsid w:val="00007576"/>
    <w:rsid w:val="00007AC2"/>
    <w:rsid w:val="00010449"/>
    <w:rsid w:val="00013354"/>
    <w:rsid w:val="000158A8"/>
    <w:rsid w:val="000204E4"/>
    <w:rsid w:val="000213F3"/>
    <w:rsid w:val="0002204C"/>
    <w:rsid w:val="00023079"/>
    <w:rsid w:val="0002497F"/>
    <w:rsid w:val="00024CE2"/>
    <w:rsid w:val="00025469"/>
    <w:rsid w:val="0002679E"/>
    <w:rsid w:val="00027641"/>
    <w:rsid w:val="00031AE3"/>
    <w:rsid w:val="000375F9"/>
    <w:rsid w:val="0003777A"/>
    <w:rsid w:val="00041D9C"/>
    <w:rsid w:val="00043A6C"/>
    <w:rsid w:val="00043CA9"/>
    <w:rsid w:val="000444D8"/>
    <w:rsid w:val="0004534C"/>
    <w:rsid w:val="00045908"/>
    <w:rsid w:val="00046B45"/>
    <w:rsid w:val="00047C66"/>
    <w:rsid w:val="000502B8"/>
    <w:rsid w:val="00050747"/>
    <w:rsid w:val="0005647C"/>
    <w:rsid w:val="00061278"/>
    <w:rsid w:val="000633A1"/>
    <w:rsid w:val="00064787"/>
    <w:rsid w:val="00064D04"/>
    <w:rsid w:val="000652BC"/>
    <w:rsid w:val="00065357"/>
    <w:rsid w:val="000661C8"/>
    <w:rsid w:val="00066F4C"/>
    <w:rsid w:val="00071A7F"/>
    <w:rsid w:val="00072770"/>
    <w:rsid w:val="00073C04"/>
    <w:rsid w:val="00076398"/>
    <w:rsid w:val="0007687A"/>
    <w:rsid w:val="00077EC4"/>
    <w:rsid w:val="000821E5"/>
    <w:rsid w:val="0008455E"/>
    <w:rsid w:val="00086727"/>
    <w:rsid w:val="000908FE"/>
    <w:rsid w:val="000911AA"/>
    <w:rsid w:val="0009183F"/>
    <w:rsid w:val="00095373"/>
    <w:rsid w:val="000977A5"/>
    <w:rsid w:val="000A1D4C"/>
    <w:rsid w:val="000A37F6"/>
    <w:rsid w:val="000A4544"/>
    <w:rsid w:val="000A711C"/>
    <w:rsid w:val="000A7AD2"/>
    <w:rsid w:val="000B3334"/>
    <w:rsid w:val="000B49E4"/>
    <w:rsid w:val="000B57FE"/>
    <w:rsid w:val="000B601B"/>
    <w:rsid w:val="000B628E"/>
    <w:rsid w:val="000C1761"/>
    <w:rsid w:val="000C1EF8"/>
    <w:rsid w:val="000C50B0"/>
    <w:rsid w:val="000C64C1"/>
    <w:rsid w:val="000C76E0"/>
    <w:rsid w:val="000C78EC"/>
    <w:rsid w:val="000D2AFE"/>
    <w:rsid w:val="000D41BB"/>
    <w:rsid w:val="000D4E41"/>
    <w:rsid w:val="000D5822"/>
    <w:rsid w:val="000D5B00"/>
    <w:rsid w:val="000D6331"/>
    <w:rsid w:val="000E0784"/>
    <w:rsid w:val="000E14EE"/>
    <w:rsid w:val="000E2BEA"/>
    <w:rsid w:val="000E2D7A"/>
    <w:rsid w:val="000E32F8"/>
    <w:rsid w:val="000E4120"/>
    <w:rsid w:val="000E4793"/>
    <w:rsid w:val="000E52E7"/>
    <w:rsid w:val="000E5472"/>
    <w:rsid w:val="000E6FE9"/>
    <w:rsid w:val="000E7052"/>
    <w:rsid w:val="000E7977"/>
    <w:rsid w:val="000F155B"/>
    <w:rsid w:val="000F16AA"/>
    <w:rsid w:val="000F1829"/>
    <w:rsid w:val="000F53FB"/>
    <w:rsid w:val="000F72FD"/>
    <w:rsid w:val="0010008F"/>
    <w:rsid w:val="0010114A"/>
    <w:rsid w:val="001032ED"/>
    <w:rsid w:val="001054CA"/>
    <w:rsid w:val="00105DA2"/>
    <w:rsid w:val="0010678C"/>
    <w:rsid w:val="00107140"/>
    <w:rsid w:val="001075BC"/>
    <w:rsid w:val="00107B00"/>
    <w:rsid w:val="00110611"/>
    <w:rsid w:val="00110FE9"/>
    <w:rsid w:val="001111DF"/>
    <w:rsid w:val="001159A7"/>
    <w:rsid w:val="001159B2"/>
    <w:rsid w:val="00117544"/>
    <w:rsid w:val="00117763"/>
    <w:rsid w:val="00124949"/>
    <w:rsid w:val="00124B67"/>
    <w:rsid w:val="00124ECE"/>
    <w:rsid w:val="001251E1"/>
    <w:rsid w:val="00126D84"/>
    <w:rsid w:val="00127F35"/>
    <w:rsid w:val="001300A0"/>
    <w:rsid w:val="001313B6"/>
    <w:rsid w:val="00131AC0"/>
    <w:rsid w:val="0013461A"/>
    <w:rsid w:val="001376D6"/>
    <w:rsid w:val="001412FB"/>
    <w:rsid w:val="001428C1"/>
    <w:rsid w:val="0014330F"/>
    <w:rsid w:val="001434A3"/>
    <w:rsid w:val="00143E89"/>
    <w:rsid w:val="00143E8E"/>
    <w:rsid w:val="001455B4"/>
    <w:rsid w:val="00147BFB"/>
    <w:rsid w:val="001502DA"/>
    <w:rsid w:val="001517F4"/>
    <w:rsid w:val="00154F99"/>
    <w:rsid w:val="00156B2C"/>
    <w:rsid w:val="00157814"/>
    <w:rsid w:val="00160F49"/>
    <w:rsid w:val="00161DBA"/>
    <w:rsid w:val="0016276B"/>
    <w:rsid w:val="00163D1D"/>
    <w:rsid w:val="00166F51"/>
    <w:rsid w:val="0017088B"/>
    <w:rsid w:val="00173072"/>
    <w:rsid w:val="00173C50"/>
    <w:rsid w:val="00174397"/>
    <w:rsid w:val="00174972"/>
    <w:rsid w:val="0017543C"/>
    <w:rsid w:val="00176DD0"/>
    <w:rsid w:val="001776D4"/>
    <w:rsid w:val="00177741"/>
    <w:rsid w:val="00183112"/>
    <w:rsid w:val="00184195"/>
    <w:rsid w:val="00187079"/>
    <w:rsid w:val="00191F48"/>
    <w:rsid w:val="00192E70"/>
    <w:rsid w:val="001A60FA"/>
    <w:rsid w:val="001A6127"/>
    <w:rsid w:val="001A7535"/>
    <w:rsid w:val="001A7E40"/>
    <w:rsid w:val="001B0A19"/>
    <w:rsid w:val="001B1883"/>
    <w:rsid w:val="001B20EE"/>
    <w:rsid w:val="001B2950"/>
    <w:rsid w:val="001B2C89"/>
    <w:rsid w:val="001B3DAB"/>
    <w:rsid w:val="001B4112"/>
    <w:rsid w:val="001B5CE9"/>
    <w:rsid w:val="001B76C2"/>
    <w:rsid w:val="001B7E25"/>
    <w:rsid w:val="001C0A23"/>
    <w:rsid w:val="001C2450"/>
    <w:rsid w:val="001C4D6A"/>
    <w:rsid w:val="001C516F"/>
    <w:rsid w:val="001D2261"/>
    <w:rsid w:val="001D37C1"/>
    <w:rsid w:val="001D4EC1"/>
    <w:rsid w:val="001D52D0"/>
    <w:rsid w:val="001D57D1"/>
    <w:rsid w:val="001D7AF1"/>
    <w:rsid w:val="001F1B89"/>
    <w:rsid w:val="001F2860"/>
    <w:rsid w:val="001F4DC6"/>
    <w:rsid w:val="001F687A"/>
    <w:rsid w:val="00201711"/>
    <w:rsid w:val="00201C34"/>
    <w:rsid w:val="002027A0"/>
    <w:rsid w:val="002029A7"/>
    <w:rsid w:val="002048A7"/>
    <w:rsid w:val="0020507C"/>
    <w:rsid w:val="0020525D"/>
    <w:rsid w:val="002060F1"/>
    <w:rsid w:val="00206B08"/>
    <w:rsid w:val="002100F7"/>
    <w:rsid w:val="0021041E"/>
    <w:rsid w:val="00211091"/>
    <w:rsid w:val="002118F1"/>
    <w:rsid w:val="00211ED4"/>
    <w:rsid w:val="00212B09"/>
    <w:rsid w:val="00212EC4"/>
    <w:rsid w:val="00212F6B"/>
    <w:rsid w:val="00213978"/>
    <w:rsid w:val="00216C53"/>
    <w:rsid w:val="00220832"/>
    <w:rsid w:val="002210A7"/>
    <w:rsid w:val="002213D1"/>
    <w:rsid w:val="002214CE"/>
    <w:rsid w:val="00221B2E"/>
    <w:rsid w:val="002228E9"/>
    <w:rsid w:val="00222A39"/>
    <w:rsid w:val="002231C6"/>
    <w:rsid w:val="00223E08"/>
    <w:rsid w:val="00223F92"/>
    <w:rsid w:val="002249C2"/>
    <w:rsid w:val="00224C78"/>
    <w:rsid w:val="0022677C"/>
    <w:rsid w:val="00230422"/>
    <w:rsid w:val="002305CB"/>
    <w:rsid w:val="002314A2"/>
    <w:rsid w:val="00232261"/>
    <w:rsid w:val="00234AFE"/>
    <w:rsid w:val="00234BEE"/>
    <w:rsid w:val="00234BF2"/>
    <w:rsid w:val="00236F73"/>
    <w:rsid w:val="002377DB"/>
    <w:rsid w:val="00237AA0"/>
    <w:rsid w:val="00240BBF"/>
    <w:rsid w:val="0024206B"/>
    <w:rsid w:val="0024398B"/>
    <w:rsid w:val="00243DA5"/>
    <w:rsid w:val="00244393"/>
    <w:rsid w:val="00244D4F"/>
    <w:rsid w:val="00245DBC"/>
    <w:rsid w:val="00251B5F"/>
    <w:rsid w:val="002529EF"/>
    <w:rsid w:val="00254BB1"/>
    <w:rsid w:val="00254CAA"/>
    <w:rsid w:val="00255747"/>
    <w:rsid w:val="0025715B"/>
    <w:rsid w:val="00257B5F"/>
    <w:rsid w:val="00257E71"/>
    <w:rsid w:val="00260092"/>
    <w:rsid w:val="00261056"/>
    <w:rsid w:val="00261B2C"/>
    <w:rsid w:val="00261CCD"/>
    <w:rsid w:val="002631C0"/>
    <w:rsid w:val="00263724"/>
    <w:rsid w:val="0026711A"/>
    <w:rsid w:val="00270BD5"/>
    <w:rsid w:val="00272500"/>
    <w:rsid w:val="0027295B"/>
    <w:rsid w:val="00272F07"/>
    <w:rsid w:val="0027446F"/>
    <w:rsid w:val="002754FA"/>
    <w:rsid w:val="002802C6"/>
    <w:rsid w:val="002803E8"/>
    <w:rsid w:val="002828B2"/>
    <w:rsid w:val="002860A1"/>
    <w:rsid w:val="00290FFE"/>
    <w:rsid w:val="00292F73"/>
    <w:rsid w:val="00294887"/>
    <w:rsid w:val="00295B04"/>
    <w:rsid w:val="00295E8B"/>
    <w:rsid w:val="00296442"/>
    <w:rsid w:val="00297307"/>
    <w:rsid w:val="002A05FD"/>
    <w:rsid w:val="002A2874"/>
    <w:rsid w:val="002A4FA7"/>
    <w:rsid w:val="002A5E43"/>
    <w:rsid w:val="002A5E67"/>
    <w:rsid w:val="002A6508"/>
    <w:rsid w:val="002A7006"/>
    <w:rsid w:val="002B2807"/>
    <w:rsid w:val="002B36F2"/>
    <w:rsid w:val="002B3F9A"/>
    <w:rsid w:val="002B799B"/>
    <w:rsid w:val="002C0374"/>
    <w:rsid w:val="002C05FF"/>
    <w:rsid w:val="002C3701"/>
    <w:rsid w:val="002C4130"/>
    <w:rsid w:val="002C47C9"/>
    <w:rsid w:val="002C4D4F"/>
    <w:rsid w:val="002C5AEA"/>
    <w:rsid w:val="002C78CF"/>
    <w:rsid w:val="002C7B10"/>
    <w:rsid w:val="002C7B1C"/>
    <w:rsid w:val="002D0BC2"/>
    <w:rsid w:val="002D1628"/>
    <w:rsid w:val="002D1A27"/>
    <w:rsid w:val="002D1E0D"/>
    <w:rsid w:val="002D1FF1"/>
    <w:rsid w:val="002D2796"/>
    <w:rsid w:val="002D348B"/>
    <w:rsid w:val="002D35D3"/>
    <w:rsid w:val="002D4984"/>
    <w:rsid w:val="002D58BC"/>
    <w:rsid w:val="002D5DEE"/>
    <w:rsid w:val="002D6C5C"/>
    <w:rsid w:val="002E10F0"/>
    <w:rsid w:val="002E19DF"/>
    <w:rsid w:val="002E289F"/>
    <w:rsid w:val="002E515A"/>
    <w:rsid w:val="002F1376"/>
    <w:rsid w:val="002F1D26"/>
    <w:rsid w:val="002F467A"/>
    <w:rsid w:val="002F4B89"/>
    <w:rsid w:val="002F615C"/>
    <w:rsid w:val="002F6567"/>
    <w:rsid w:val="00302B07"/>
    <w:rsid w:val="00303BB1"/>
    <w:rsid w:val="003042C7"/>
    <w:rsid w:val="003073DA"/>
    <w:rsid w:val="00307DA0"/>
    <w:rsid w:val="00310111"/>
    <w:rsid w:val="00311537"/>
    <w:rsid w:val="00313A19"/>
    <w:rsid w:val="00314869"/>
    <w:rsid w:val="0032049B"/>
    <w:rsid w:val="003208FC"/>
    <w:rsid w:val="00320E52"/>
    <w:rsid w:val="003211CF"/>
    <w:rsid w:val="00321AC8"/>
    <w:rsid w:val="003222DC"/>
    <w:rsid w:val="003225D7"/>
    <w:rsid w:val="00324167"/>
    <w:rsid w:val="00325CEE"/>
    <w:rsid w:val="003268ED"/>
    <w:rsid w:val="00326B8D"/>
    <w:rsid w:val="00333AAC"/>
    <w:rsid w:val="00335569"/>
    <w:rsid w:val="00335A5B"/>
    <w:rsid w:val="00336CD2"/>
    <w:rsid w:val="00336D38"/>
    <w:rsid w:val="00336F73"/>
    <w:rsid w:val="00340076"/>
    <w:rsid w:val="0034090A"/>
    <w:rsid w:val="00340EBD"/>
    <w:rsid w:val="00341F64"/>
    <w:rsid w:val="003443E0"/>
    <w:rsid w:val="0034504F"/>
    <w:rsid w:val="00345ACD"/>
    <w:rsid w:val="003466C3"/>
    <w:rsid w:val="003504AF"/>
    <w:rsid w:val="00350D27"/>
    <w:rsid w:val="003518BD"/>
    <w:rsid w:val="0035239D"/>
    <w:rsid w:val="00352597"/>
    <w:rsid w:val="00355082"/>
    <w:rsid w:val="003555C0"/>
    <w:rsid w:val="00356343"/>
    <w:rsid w:val="003634B5"/>
    <w:rsid w:val="00363A89"/>
    <w:rsid w:val="0036629C"/>
    <w:rsid w:val="0036651C"/>
    <w:rsid w:val="00367507"/>
    <w:rsid w:val="00370A5B"/>
    <w:rsid w:val="00370ACA"/>
    <w:rsid w:val="003714C8"/>
    <w:rsid w:val="003738E2"/>
    <w:rsid w:val="00375160"/>
    <w:rsid w:val="003763E2"/>
    <w:rsid w:val="0037664F"/>
    <w:rsid w:val="00376B92"/>
    <w:rsid w:val="00377200"/>
    <w:rsid w:val="00377F20"/>
    <w:rsid w:val="00380F57"/>
    <w:rsid w:val="00382FE7"/>
    <w:rsid w:val="00383C83"/>
    <w:rsid w:val="003844CE"/>
    <w:rsid w:val="00385561"/>
    <w:rsid w:val="0038696D"/>
    <w:rsid w:val="003873A1"/>
    <w:rsid w:val="0039133F"/>
    <w:rsid w:val="00392DFC"/>
    <w:rsid w:val="00392EA9"/>
    <w:rsid w:val="003937D7"/>
    <w:rsid w:val="00393A12"/>
    <w:rsid w:val="00394281"/>
    <w:rsid w:val="003945BE"/>
    <w:rsid w:val="00397AD1"/>
    <w:rsid w:val="003A18A3"/>
    <w:rsid w:val="003A20C3"/>
    <w:rsid w:val="003A4C7D"/>
    <w:rsid w:val="003A571F"/>
    <w:rsid w:val="003A7828"/>
    <w:rsid w:val="003B1D4C"/>
    <w:rsid w:val="003B2775"/>
    <w:rsid w:val="003B2D3E"/>
    <w:rsid w:val="003B34A0"/>
    <w:rsid w:val="003B3EFE"/>
    <w:rsid w:val="003B4429"/>
    <w:rsid w:val="003B451A"/>
    <w:rsid w:val="003B4CBF"/>
    <w:rsid w:val="003B4E5F"/>
    <w:rsid w:val="003B5904"/>
    <w:rsid w:val="003B6B51"/>
    <w:rsid w:val="003B777B"/>
    <w:rsid w:val="003C1251"/>
    <w:rsid w:val="003C1579"/>
    <w:rsid w:val="003C29F8"/>
    <w:rsid w:val="003C2D34"/>
    <w:rsid w:val="003C3352"/>
    <w:rsid w:val="003C7125"/>
    <w:rsid w:val="003D035C"/>
    <w:rsid w:val="003D05C4"/>
    <w:rsid w:val="003D1F0F"/>
    <w:rsid w:val="003D30BA"/>
    <w:rsid w:val="003D32AC"/>
    <w:rsid w:val="003D45AD"/>
    <w:rsid w:val="003E1C33"/>
    <w:rsid w:val="003E3C2A"/>
    <w:rsid w:val="003E3F61"/>
    <w:rsid w:val="003E6620"/>
    <w:rsid w:val="003F301C"/>
    <w:rsid w:val="003F3333"/>
    <w:rsid w:val="003F377D"/>
    <w:rsid w:val="003F3A79"/>
    <w:rsid w:val="003F6B89"/>
    <w:rsid w:val="003F6FDC"/>
    <w:rsid w:val="003F716A"/>
    <w:rsid w:val="00402075"/>
    <w:rsid w:val="00403AEF"/>
    <w:rsid w:val="0040489E"/>
    <w:rsid w:val="004056AC"/>
    <w:rsid w:val="0041059B"/>
    <w:rsid w:val="004131F6"/>
    <w:rsid w:val="00414FCE"/>
    <w:rsid w:val="00415B6F"/>
    <w:rsid w:val="00416C76"/>
    <w:rsid w:val="00416F7F"/>
    <w:rsid w:val="0042059F"/>
    <w:rsid w:val="00421D41"/>
    <w:rsid w:val="00423C11"/>
    <w:rsid w:val="004243A5"/>
    <w:rsid w:val="004302CB"/>
    <w:rsid w:val="00432A5F"/>
    <w:rsid w:val="0043523D"/>
    <w:rsid w:val="004366AC"/>
    <w:rsid w:val="0044286F"/>
    <w:rsid w:val="00443B07"/>
    <w:rsid w:val="00445B56"/>
    <w:rsid w:val="00447BFC"/>
    <w:rsid w:val="004505D9"/>
    <w:rsid w:val="00451A46"/>
    <w:rsid w:val="00452855"/>
    <w:rsid w:val="004529C3"/>
    <w:rsid w:val="00452FCD"/>
    <w:rsid w:val="004533D9"/>
    <w:rsid w:val="00454271"/>
    <w:rsid w:val="0045542B"/>
    <w:rsid w:val="00455B8B"/>
    <w:rsid w:val="004570B8"/>
    <w:rsid w:val="00462480"/>
    <w:rsid w:val="00463197"/>
    <w:rsid w:val="00464C64"/>
    <w:rsid w:val="00464EDF"/>
    <w:rsid w:val="00465807"/>
    <w:rsid w:val="00465CF8"/>
    <w:rsid w:val="004662FF"/>
    <w:rsid w:val="00470A52"/>
    <w:rsid w:val="004751F7"/>
    <w:rsid w:val="0047763D"/>
    <w:rsid w:val="0048098F"/>
    <w:rsid w:val="00480B72"/>
    <w:rsid w:val="004818D5"/>
    <w:rsid w:val="00481F93"/>
    <w:rsid w:val="00482F1A"/>
    <w:rsid w:val="00483B7C"/>
    <w:rsid w:val="00483E8D"/>
    <w:rsid w:val="00484D8C"/>
    <w:rsid w:val="0048657A"/>
    <w:rsid w:val="00487127"/>
    <w:rsid w:val="00487263"/>
    <w:rsid w:val="00490552"/>
    <w:rsid w:val="004907C6"/>
    <w:rsid w:val="00490D87"/>
    <w:rsid w:val="00490D91"/>
    <w:rsid w:val="004937DD"/>
    <w:rsid w:val="004975C2"/>
    <w:rsid w:val="004A06D8"/>
    <w:rsid w:val="004A0C13"/>
    <w:rsid w:val="004A21B7"/>
    <w:rsid w:val="004A301F"/>
    <w:rsid w:val="004A306D"/>
    <w:rsid w:val="004A3CE3"/>
    <w:rsid w:val="004A4775"/>
    <w:rsid w:val="004A5019"/>
    <w:rsid w:val="004A63BB"/>
    <w:rsid w:val="004B1098"/>
    <w:rsid w:val="004B362F"/>
    <w:rsid w:val="004B7A0B"/>
    <w:rsid w:val="004C0A75"/>
    <w:rsid w:val="004C167E"/>
    <w:rsid w:val="004C2E10"/>
    <w:rsid w:val="004C2E3C"/>
    <w:rsid w:val="004C3B53"/>
    <w:rsid w:val="004C3C88"/>
    <w:rsid w:val="004C412D"/>
    <w:rsid w:val="004C7CA1"/>
    <w:rsid w:val="004D082A"/>
    <w:rsid w:val="004D2AC8"/>
    <w:rsid w:val="004D33E4"/>
    <w:rsid w:val="004D3BC8"/>
    <w:rsid w:val="004D56E3"/>
    <w:rsid w:val="004D5748"/>
    <w:rsid w:val="004D5F23"/>
    <w:rsid w:val="004D62D2"/>
    <w:rsid w:val="004D6747"/>
    <w:rsid w:val="004D694E"/>
    <w:rsid w:val="004D7549"/>
    <w:rsid w:val="004E3932"/>
    <w:rsid w:val="004E469B"/>
    <w:rsid w:val="004E4A2C"/>
    <w:rsid w:val="004E5139"/>
    <w:rsid w:val="004E5E1F"/>
    <w:rsid w:val="004E5ED9"/>
    <w:rsid w:val="004F019D"/>
    <w:rsid w:val="004F15A9"/>
    <w:rsid w:val="004F2B78"/>
    <w:rsid w:val="004F3E1F"/>
    <w:rsid w:val="004F5D05"/>
    <w:rsid w:val="004F5F8F"/>
    <w:rsid w:val="004F694E"/>
    <w:rsid w:val="004F6E56"/>
    <w:rsid w:val="004F6EF4"/>
    <w:rsid w:val="004F7203"/>
    <w:rsid w:val="005008E2"/>
    <w:rsid w:val="00501E70"/>
    <w:rsid w:val="0050757B"/>
    <w:rsid w:val="00507FE2"/>
    <w:rsid w:val="00510D10"/>
    <w:rsid w:val="005118B5"/>
    <w:rsid w:val="00513694"/>
    <w:rsid w:val="005156C6"/>
    <w:rsid w:val="00515F33"/>
    <w:rsid w:val="005167BF"/>
    <w:rsid w:val="00516B15"/>
    <w:rsid w:val="00517073"/>
    <w:rsid w:val="00522E0A"/>
    <w:rsid w:val="0052432A"/>
    <w:rsid w:val="00524522"/>
    <w:rsid w:val="0052627F"/>
    <w:rsid w:val="00526A4D"/>
    <w:rsid w:val="00526D32"/>
    <w:rsid w:val="005271AC"/>
    <w:rsid w:val="00530318"/>
    <w:rsid w:val="00532C32"/>
    <w:rsid w:val="00532D10"/>
    <w:rsid w:val="0053451B"/>
    <w:rsid w:val="00534F27"/>
    <w:rsid w:val="00535F9D"/>
    <w:rsid w:val="00541DAA"/>
    <w:rsid w:val="00542083"/>
    <w:rsid w:val="005421D7"/>
    <w:rsid w:val="00543199"/>
    <w:rsid w:val="00543AE1"/>
    <w:rsid w:val="00543E56"/>
    <w:rsid w:val="005443AD"/>
    <w:rsid w:val="00550299"/>
    <w:rsid w:val="00552603"/>
    <w:rsid w:val="00557F5C"/>
    <w:rsid w:val="0056212C"/>
    <w:rsid w:val="0056442C"/>
    <w:rsid w:val="00564EEF"/>
    <w:rsid w:val="005651AC"/>
    <w:rsid w:val="00566400"/>
    <w:rsid w:val="00567203"/>
    <w:rsid w:val="00571B87"/>
    <w:rsid w:val="00572E18"/>
    <w:rsid w:val="005746E4"/>
    <w:rsid w:val="00576461"/>
    <w:rsid w:val="00576A0C"/>
    <w:rsid w:val="00576A1D"/>
    <w:rsid w:val="00576DFA"/>
    <w:rsid w:val="00576F27"/>
    <w:rsid w:val="00582627"/>
    <w:rsid w:val="0058382C"/>
    <w:rsid w:val="005849FE"/>
    <w:rsid w:val="00593A79"/>
    <w:rsid w:val="005959BA"/>
    <w:rsid w:val="005A1D77"/>
    <w:rsid w:val="005A2673"/>
    <w:rsid w:val="005A6276"/>
    <w:rsid w:val="005A632B"/>
    <w:rsid w:val="005A7A0B"/>
    <w:rsid w:val="005B083B"/>
    <w:rsid w:val="005B320D"/>
    <w:rsid w:val="005B49AE"/>
    <w:rsid w:val="005B49C2"/>
    <w:rsid w:val="005B6A0D"/>
    <w:rsid w:val="005B7412"/>
    <w:rsid w:val="005C0B1A"/>
    <w:rsid w:val="005C3097"/>
    <w:rsid w:val="005C4E54"/>
    <w:rsid w:val="005C733A"/>
    <w:rsid w:val="005D01EA"/>
    <w:rsid w:val="005D0C06"/>
    <w:rsid w:val="005D13D2"/>
    <w:rsid w:val="005D16F7"/>
    <w:rsid w:val="005D29E7"/>
    <w:rsid w:val="005D387C"/>
    <w:rsid w:val="005D4422"/>
    <w:rsid w:val="005E1364"/>
    <w:rsid w:val="005E2221"/>
    <w:rsid w:val="005F1EF2"/>
    <w:rsid w:val="005F2590"/>
    <w:rsid w:val="005F3D85"/>
    <w:rsid w:val="005F4033"/>
    <w:rsid w:val="00600A95"/>
    <w:rsid w:val="0060128A"/>
    <w:rsid w:val="00602BD4"/>
    <w:rsid w:val="00603739"/>
    <w:rsid w:val="006040F1"/>
    <w:rsid w:val="006044A0"/>
    <w:rsid w:val="00605BD0"/>
    <w:rsid w:val="00606DEB"/>
    <w:rsid w:val="00607AA9"/>
    <w:rsid w:val="006101F6"/>
    <w:rsid w:val="00620FF8"/>
    <w:rsid w:val="006223CD"/>
    <w:rsid w:val="006241D7"/>
    <w:rsid w:val="0063187A"/>
    <w:rsid w:val="006329AA"/>
    <w:rsid w:val="00635536"/>
    <w:rsid w:val="00636C26"/>
    <w:rsid w:val="00640702"/>
    <w:rsid w:val="00640B7E"/>
    <w:rsid w:val="006411D6"/>
    <w:rsid w:val="00641334"/>
    <w:rsid w:val="00641718"/>
    <w:rsid w:val="00641DBB"/>
    <w:rsid w:val="00644ED6"/>
    <w:rsid w:val="00646518"/>
    <w:rsid w:val="0065057E"/>
    <w:rsid w:val="006529C0"/>
    <w:rsid w:val="00653249"/>
    <w:rsid w:val="00653891"/>
    <w:rsid w:val="00653BE6"/>
    <w:rsid w:val="00654670"/>
    <w:rsid w:val="006561E7"/>
    <w:rsid w:val="00656D92"/>
    <w:rsid w:val="00657CD6"/>
    <w:rsid w:val="00660F4B"/>
    <w:rsid w:val="00662732"/>
    <w:rsid w:val="00663F48"/>
    <w:rsid w:val="0066494D"/>
    <w:rsid w:val="0067065C"/>
    <w:rsid w:val="00670BA0"/>
    <w:rsid w:val="00670E3A"/>
    <w:rsid w:val="006724C0"/>
    <w:rsid w:val="00673FB7"/>
    <w:rsid w:val="006753F4"/>
    <w:rsid w:val="00676B40"/>
    <w:rsid w:val="00676F5F"/>
    <w:rsid w:val="0068162C"/>
    <w:rsid w:val="00686FDD"/>
    <w:rsid w:val="006911BE"/>
    <w:rsid w:val="00692103"/>
    <w:rsid w:val="00693BA0"/>
    <w:rsid w:val="0069463C"/>
    <w:rsid w:val="00694E93"/>
    <w:rsid w:val="00696975"/>
    <w:rsid w:val="006A3213"/>
    <w:rsid w:val="006A3FA9"/>
    <w:rsid w:val="006A5B00"/>
    <w:rsid w:val="006A6BCF"/>
    <w:rsid w:val="006B167B"/>
    <w:rsid w:val="006B3103"/>
    <w:rsid w:val="006B3A1F"/>
    <w:rsid w:val="006B4622"/>
    <w:rsid w:val="006B56D1"/>
    <w:rsid w:val="006B5A97"/>
    <w:rsid w:val="006B70B7"/>
    <w:rsid w:val="006B736A"/>
    <w:rsid w:val="006B7EA1"/>
    <w:rsid w:val="006B7F78"/>
    <w:rsid w:val="006C2897"/>
    <w:rsid w:val="006C298E"/>
    <w:rsid w:val="006C334B"/>
    <w:rsid w:val="006C501E"/>
    <w:rsid w:val="006C5C91"/>
    <w:rsid w:val="006C7CA1"/>
    <w:rsid w:val="006D069D"/>
    <w:rsid w:val="006D0814"/>
    <w:rsid w:val="006D3AB8"/>
    <w:rsid w:val="006D51F3"/>
    <w:rsid w:val="006D6A3D"/>
    <w:rsid w:val="006D6CF2"/>
    <w:rsid w:val="006D7DED"/>
    <w:rsid w:val="006E17A8"/>
    <w:rsid w:val="006E1A2B"/>
    <w:rsid w:val="006E3E82"/>
    <w:rsid w:val="006E6153"/>
    <w:rsid w:val="006E79C6"/>
    <w:rsid w:val="006F1111"/>
    <w:rsid w:val="006F1868"/>
    <w:rsid w:val="006F2AA6"/>
    <w:rsid w:val="006F60A9"/>
    <w:rsid w:val="00700B85"/>
    <w:rsid w:val="00700DA7"/>
    <w:rsid w:val="00705885"/>
    <w:rsid w:val="00705DB1"/>
    <w:rsid w:val="00712A1C"/>
    <w:rsid w:val="00712A45"/>
    <w:rsid w:val="00714102"/>
    <w:rsid w:val="0071551C"/>
    <w:rsid w:val="00717C30"/>
    <w:rsid w:val="00722309"/>
    <w:rsid w:val="00722AAF"/>
    <w:rsid w:val="00730883"/>
    <w:rsid w:val="007319E6"/>
    <w:rsid w:val="00734075"/>
    <w:rsid w:val="00734404"/>
    <w:rsid w:val="007349A3"/>
    <w:rsid w:val="00735F33"/>
    <w:rsid w:val="00743014"/>
    <w:rsid w:val="00746BE6"/>
    <w:rsid w:val="00747E4E"/>
    <w:rsid w:val="00747FC8"/>
    <w:rsid w:val="00750463"/>
    <w:rsid w:val="007512CD"/>
    <w:rsid w:val="00751B80"/>
    <w:rsid w:val="0075228F"/>
    <w:rsid w:val="00757A5E"/>
    <w:rsid w:val="00757B16"/>
    <w:rsid w:val="007600D2"/>
    <w:rsid w:val="0076076F"/>
    <w:rsid w:val="00764BC6"/>
    <w:rsid w:val="00764C2C"/>
    <w:rsid w:val="007651FF"/>
    <w:rsid w:val="00766F68"/>
    <w:rsid w:val="00770725"/>
    <w:rsid w:val="00772853"/>
    <w:rsid w:val="00772F05"/>
    <w:rsid w:val="007761C0"/>
    <w:rsid w:val="00776CD0"/>
    <w:rsid w:val="007777AB"/>
    <w:rsid w:val="007812CA"/>
    <w:rsid w:val="007818F3"/>
    <w:rsid w:val="0078213A"/>
    <w:rsid w:val="00783F5F"/>
    <w:rsid w:val="00784C5F"/>
    <w:rsid w:val="007855F8"/>
    <w:rsid w:val="0078596D"/>
    <w:rsid w:val="00785FC7"/>
    <w:rsid w:val="00786A95"/>
    <w:rsid w:val="00792742"/>
    <w:rsid w:val="007930A3"/>
    <w:rsid w:val="0079445F"/>
    <w:rsid w:val="00795BEB"/>
    <w:rsid w:val="00796296"/>
    <w:rsid w:val="00796FAE"/>
    <w:rsid w:val="00797BB0"/>
    <w:rsid w:val="00797D95"/>
    <w:rsid w:val="007A0FFE"/>
    <w:rsid w:val="007A2909"/>
    <w:rsid w:val="007A2F1E"/>
    <w:rsid w:val="007A6FE7"/>
    <w:rsid w:val="007A7133"/>
    <w:rsid w:val="007B2E72"/>
    <w:rsid w:val="007B5D44"/>
    <w:rsid w:val="007B69E4"/>
    <w:rsid w:val="007B71DF"/>
    <w:rsid w:val="007C04EB"/>
    <w:rsid w:val="007C11BD"/>
    <w:rsid w:val="007C4BD2"/>
    <w:rsid w:val="007C56C0"/>
    <w:rsid w:val="007C6535"/>
    <w:rsid w:val="007C7369"/>
    <w:rsid w:val="007C7DA4"/>
    <w:rsid w:val="007D0E7A"/>
    <w:rsid w:val="007D129E"/>
    <w:rsid w:val="007D48A7"/>
    <w:rsid w:val="007D5368"/>
    <w:rsid w:val="007E1208"/>
    <w:rsid w:val="007E1B7D"/>
    <w:rsid w:val="007E6148"/>
    <w:rsid w:val="007E61FD"/>
    <w:rsid w:val="007F09CB"/>
    <w:rsid w:val="007F1F36"/>
    <w:rsid w:val="007F2175"/>
    <w:rsid w:val="007F22E7"/>
    <w:rsid w:val="007F59A6"/>
    <w:rsid w:val="007F6FDC"/>
    <w:rsid w:val="008002F7"/>
    <w:rsid w:val="008025C6"/>
    <w:rsid w:val="008056C8"/>
    <w:rsid w:val="00805BE3"/>
    <w:rsid w:val="00806D3C"/>
    <w:rsid w:val="00807063"/>
    <w:rsid w:val="0080707B"/>
    <w:rsid w:val="00810BF9"/>
    <w:rsid w:val="00811105"/>
    <w:rsid w:val="00812217"/>
    <w:rsid w:val="00814155"/>
    <w:rsid w:val="0081675C"/>
    <w:rsid w:val="008219F1"/>
    <w:rsid w:val="00821BC9"/>
    <w:rsid w:val="00823552"/>
    <w:rsid w:val="00823AA6"/>
    <w:rsid w:val="008240F7"/>
    <w:rsid w:val="008245E2"/>
    <w:rsid w:val="0082716C"/>
    <w:rsid w:val="00830DD5"/>
    <w:rsid w:val="00830EE5"/>
    <w:rsid w:val="00831E93"/>
    <w:rsid w:val="0083215D"/>
    <w:rsid w:val="00833141"/>
    <w:rsid w:val="00833597"/>
    <w:rsid w:val="00833D50"/>
    <w:rsid w:val="0083402D"/>
    <w:rsid w:val="00834B25"/>
    <w:rsid w:val="00834F6A"/>
    <w:rsid w:val="00834FDF"/>
    <w:rsid w:val="008352BA"/>
    <w:rsid w:val="00835CE9"/>
    <w:rsid w:val="008364C8"/>
    <w:rsid w:val="0084589A"/>
    <w:rsid w:val="008461CE"/>
    <w:rsid w:val="008467AA"/>
    <w:rsid w:val="00851CE9"/>
    <w:rsid w:val="0085522F"/>
    <w:rsid w:val="00855472"/>
    <w:rsid w:val="00856846"/>
    <w:rsid w:val="008568F4"/>
    <w:rsid w:val="008578CA"/>
    <w:rsid w:val="00860480"/>
    <w:rsid w:val="0086171B"/>
    <w:rsid w:val="00862524"/>
    <w:rsid w:val="00862845"/>
    <w:rsid w:val="0086335A"/>
    <w:rsid w:val="00863E5A"/>
    <w:rsid w:val="008640B1"/>
    <w:rsid w:val="008656B0"/>
    <w:rsid w:val="008666A3"/>
    <w:rsid w:val="00866A4D"/>
    <w:rsid w:val="00866B4A"/>
    <w:rsid w:val="008678F9"/>
    <w:rsid w:val="00867A1D"/>
    <w:rsid w:val="008715A2"/>
    <w:rsid w:val="00871C00"/>
    <w:rsid w:val="00873D79"/>
    <w:rsid w:val="008820FF"/>
    <w:rsid w:val="00884DDF"/>
    <w:rsid w:val="00885756"/>
    <w:rsid w:val="008909C2"/>
    <w:rsid w:val="00894160"/>
    <w:rsid w:val="00894423"/>
    <w:rsid w:val="008971F7"/>
    <w:rsid w:val="00897572"/>
    <w:rsid w:val="008A05E2"/>
    <w:rsid w:val="008A196A"/>
    <w:rsid w:val="008A1ADC"/>
    <w:rsid w:val="008A2393"/>
    <w:rsid w:val="008A30B7"/>
    <w:rsid w:val="008A3C8C"/>
    <w:rsid w:val="008A5A58"/>
    <w:rsid w:val="008A5AE2"/>
    <w:rsid w:val="008A6202"/>
    <w:rsid w:val="008A6E49"/>
    <w:rsid w:val="008A70B9"/>
    <w:rsid w:val="008A7426"/>
    <w:rsid w:val="008A790B"/>
    <w:rsid w:val="008B04CD"/>
    <w:rsid w:val="008B0C08"/>
    <w:rsid w:val="008B0CDE"/>
    <w:rsid w:val="008B2F38"/>
    <w:rsid w:val="008B34FA"/>
    <w:rsid w:val="008B7631"/>
    <w:rsid w:val="008C22D8"/>
    <w:rsid w:val="008C4C98"/>
    <w:rsid w:val="008D5817"/>
    <w:rsid w:val="008D5F3E"/>
    <w:rsid w:val="008D6200"/>
    <w:rsid w:val="008D7468"/>
    <w:rsid w:val="008D7B1D"/>
    <w:rsid w:val="008E0671"/>
    <w:rsid w:val="008E1984"/>
    <w:rsid w:val="008E1DD7"/>
    <w:rsid w:val="008E21A3"/>
    <w:rsid w:val="008E3BA7"/>
    <w:rsid w:val="008E41B3"/>
    <w:rsid w:val="008E6536"/>
    <w:rsid w:val="008E6FB2"/>
    <w:rsid w:val="008F0CC3"/>
    <w:rsid w:val="008F131C"/>
    <w:rsid w:val="008F2CC9"/>
    <w:rsid w:val="008F538F"/>
    <w:rsid w:val="008F54D6"/>
    <w:rsid w:val="008F6C56"/>
    <w:rsid w:val="008F6E32"/>
    <w:rsid w:val="008F7768"/>
    <w:rsid w:val="008F7B7A"/>
    <w:rsid w:val="00900FF3"/>
    <w:rsid w:val="00901FF8"/>
    <w:rsid w:val="00902EB7"/>
    <w:rsid w:val="0090621D"/>
    <w:rsid w:val="009101BC"/>
    <w:rsid w:val="00913AFF"/>
    <w:rsid w:val="00914B48"/>
    <w:rsid w:val="00916CA9"/>
    <w:rsid w:val="0091795E"/>
    <w:rsid w:val="00917E7A"/>
    <w:rsid w:val="00920E8C"/>
    <w:rsid w:val="00922408"/>
    <w:rsid w:val="00922599"/>
    <w:rsid w:val="009232B7"/>
    <w:rsid w:val="009244E0"/>
    <w:rsid w:val="0092455A"/>
    <w:rsid w:val="00926649"/>
    <w:rsid w:val="009309AF"/>
    <w:rsid w:val="00931E5F"/>
    <w:rsid w:val="009321EB"/>
    <w:rsid w:val="0093298D"/>
    <w:rsid w:val="009369BA"/>
    <w:rsid w:val="00937BF8"/>
    <w:rsid w:val="00942F0E"/>
    <w:rsid w:val="00942F18"/>
    <w:rsid w:val="00944032"/>
    <w:rsid w:val="0094414A"/>
    <w:rsid w:val="009453EB"/>
    <w:rsid w:val="00946175"/>
    <w:rsid w:val="00946AF1"/>
    <w:rsid w:val="00950ED7"/>
    <w:rsid w:val="00951E62"/>
    <w:rsid w:val="009541BF"/>
    <w:rsid w:val="00955EBE"/>
    <w:rsid w:val="009567AB"/>
    <w:rsid w:val="00960004"/>
    <w:rsid w:val="009617A1"/>
    <w:rsid w:val="00961DB7"/>
    <w:rsid w:val="00963146"/>
    <w:rsid w:val="00973332"/>
    <w:rsid w:val="00974A35"/>
    <w:rsid w:val="00975218"/>
    <w:rsid w:val="00976134"/>
    <w:rsid w:val="009767A8"/>
    <w:rsid w:val="00976EC7"/>
    <w:rsid w:val="00980011"/>
    <w:rsid w:val="0098046E"/>
    <w:rsid w:val="00981352"/>
    <w:rsid w:val="00981D37"/>
    <w:rsid w:val="0098324C"/>
    <w:rsid w:val="009832C0"/>
    <w:rsid w:val="00984850"/>
    <w:rsid w:val="00985999"/>
    <w:rsid w:val="00986EDC"/>
    <w:rsid w:val="009906DC"/>
    <w:rsid w:val="0099216B"/>
    <w:rsid w:val="009923A7"/>
    <w:rsid w:val="00993E57"/>
    <w:rsid w:val="00994AA1"/>
    <w:rsid w:val="00995F4F"/>
    <w:rsid w:val="00996996"/>
    <w:rsid w:val="00996F68"/>
    <w:rsid w:val="009978D5"/>
    <w:rsid w:val="00997F1C"/>
    <w:rsid w:val="009A0A38"/>
    <w:rsid w:val="009A1FA2"/>
    <w:rsid w:val="009A22D4"/>
    <w:rsid w:val="009A692E"/>
    <w:rsid w:val="009A6AB3"/>
    <w:rsid w:val="009A707B"/>
    <w:rsid w:val="009B09E7"/>
    <w:rsid w:val="009B16C0"/>
    <w:rsid w:val="009B2835"/>
    <w:rsid w:val="009B2DB5"/>
    <w:rsid w:val="009B4CC8"/>
    <w:rsid w:val="009B5C7A"/>
    <w:rsid w:val="009B65E4"/>
    <w:rsid w:val="009C0140"/>
    <w:rsid w:val="009C0FA5"/>
    <w:rsid w:val="009C1E91"/>
    <w:rsid w:val="009C21C0"/>
    <w:rsid w:val="009C31F3"/>
    <w:rsid w:val="009C48A5"/>
    <w:rsid w:val="009C5BDB"/>
    <w:rsid w:val="009C7766"/>
    <w:rsid w:val="009D1C94"/>
    <w:rsid w:val="009D3AD9"/>
    <w:rsid w:val="009D3C3C"/>
    <w:rsid w:val="009D4097"/>
    <w:rsid w:val="009D517F"/>
    <w:rsid w:val="009D611E"/>
    <w:rsid w:val="009E26EB"/>
    <w:rsid w:val="009E3591"/>
    <w:rsid w:val="009E4478"/>
    <w:rsid w:val="009E4E28"/>
    <w:rsid w:val="009E580C"/>
    <w:rsid w:val="009E59B4"/>
    <w:rsid w:val="009E6179"/>
    <w:rsid w:val="009E6C6A"/>
    <w:rsid w:val="009F003B"/>
    <w:rsid w:val="009F090E"/>
    <w:rsid w:val="009F16F9"/>
    <w:rsid w:val="009F19E0"/>
    <w:rsid w:val="009F211B"/>
    <w:rsid w:val="009F3532"/>
    <w:rsid w:val="009F6455"/>
    <w:rsid w:val="00A0022F"/>
    <w:rsid w:val="00A011AF"/>
    <w:rsid w:val="00A01203"/>
    <w:rsid w:val="00A10752"/>
    <w:rsid w:val="00A1338B"/>
    <w:rsid w:val="00A1431A"/>
    <w:rsid w:val="00A15C0B"/>
    <w:rsid w:val="00A161CD"/>
    <w:rsid w:val="00A176EF"/>
    <w:rsid w:val="00A17E9D"/>
    <w:rsid w:val="00A200FC"/>
    <w:rsid w:val="00A217F4"/>
    <w:rsid w:val="00A23293"/>
    <w:rsid w:val="00A255A9"/>
    <w:rsid w:val="00A303ED"/>
    <w:rsid w:val="00A37B1F"/>
    <w:rsid w:val="00A425BA"/>
    <w:rsid w:val="00A44199"/>
    <w:rsid w:val="00A4595F"/>
    <w:rsid w:val="00A468A3"/>
    <w:rsid w:val="00A46DBB"/>
    <w:rsid w:val="00A473A4"/>
    <w:rsid w:val="00A5054F"/>
    <w:rsid w:val="00A515BD"/>
    <w:rsid w:val="00A52428"/>
    <w:rsid w:val="00A52FA9"/>
    <w:rsid w:val="00A53946"/>
    <w:rsid w:val="00A55B3B"/>
    <w:rsid w:val="00A564E7"/>
    <w:rsid w:val="00A57EA2"/>
    <w:rsid w:val="00A60F44"/>
    <w:rsid w:val="00A617EE"/>
    <w:rsid w:val="00A61CA6"/>
    <w:rsid w:val="00A63F2A"/>
    <w:rsid w:val="00A65152"/>
    <w:rsid w:val="00A65BA2"/>
    <w:rsid w:val="00A6612C"/>
    <w:rsid w:val="00A670A3"/>
    <w:rsid w:val="00A7056C"/>
    <w:rsid w:val="00A709DE"/>
    <w:rsid w:val="00A75738"/>
    <w:rsid w:val="00A77ADA"/>
    <w:rsid w:val="00A80CDF"/>
    <w:rsid w:val="00A816F1"/>
    <w:rsid w:val="00A825C9"/>
    <w:rsid w:val="00A85298"/>
    <w:rsid w:val="00A85DE5"/>
    <w:rsid w:val="00A86FBF"/>
    <w:rsid w:val="00A90403"/>
    <w:rsid w:val="00A92E8F"/>
    <w:rsid w:val="00A94B47"/>
    <w:rsid w:val="00A96778"/>
    <w:rsid w:val="00AA18C6"/>
    <w:rsid w:val="00AA1EFA"/>
    <w:rsid w:val="00AA3A9E"/>
    <w:rsid w:val="00AA3CE3"/>
    <w:rsid w:val="00AA5DCA"/>
    <w:rsid w:val="00AA5E88"/>
    <w:rsid w:val="00AA70B7"/>
    <w:rsid w:val="00AB125F"/>
    <w:rsid w:val="00AB2B1E"/>
    <w:rsid w:val="00AB2D6F"/>
    <w:rsid w:val="00AB5702"/>
    <w:rsid w:val="00AB6C4F"/>
    <w:rsid w:val="00AB7475"/>
    <w:rsid w:val="00AC0969"/>
    <w:rsid w:val="00AC2295"/>
    <w:rsid w:val="00AD15DA"/>
    <w:rsid w:val="00AD2090"/>
    <w:rsid w:val="00AD3E51"/>
    <w:rsid w:val="00AD4256"/>
    <w:rsid w:val="00AD5BFE"/>
    <w:rsid w:val="00AD6D38"/>
    <w:rsid w:val="00AD6DAB"/>
    <w:rsid w:val="00AD6DDC"/>
    <w:rsid w:val="00AD70BC"/>
    <w:rsid w:val="00AE0028"/>
    <w:rsid w:val="00AE0D8E"/>
    <w:rsid w:val="00AE2147"/>
    <w:rsid w:val="00AE31B0"/>
    <w:rsid w:val="00AE3498"/>
    <w:rsid w:val="00AE3BBA"/>
    <w:rsid w:val="00AE43AD"/>
    <w:rsid w:val="00AE5C84"/>
    <w:rsid w:val="00AE7B11"/>
    <w:rsid w:val="00AE7D29"/>
    <w:rsid w:val="00AF4374"/>
    <w:rsid w:val="00AF4383"/>
    <w:rsid w:val="00AF5B84"/>
    <w:rsid w:val="00AF607F"/>
    <w:rsid w:val="00AF6625"/>
    <w:rsid w:val="00AF6BBA"/>
    <w:rsid w:val="00AF6DCA"/>
    <w:rsid w:val="00AF6EA5"/>
    <w:rsid w:val="00B01862"/>
    <w:rsid w:val="00B02143"/>
    <w:rsid w:val="00B02A6E"/>
    <w:rsid w:val="00B0431D"/>
    <w:rsid w:val="00B059E3"/>
    <w:rsid w:val="00B061E3"/>
    <w:rsid w:val="00B07245"/>
    <w:rsid w:val="00B076BB"/>
    <w:rsid w:val="00B07C96"/>
    <w:rsid w:val="00B1145C"/>
    <w:rsid w:val="00B129C9"/>
    <w:rsid w:val="00B1423C"/>
    <w:rsid w:val="00B14685"/>
    <w:rsid w:val="00B15C27"/>
    <w:rsid w:val="00B1745B"/>
    <w:rsid w:val="00B2292A"/>
    <w:rsid w:val="00B2299D"/>
    <w:rsid w:val="00B22D35"/>
    <w:rsid w:val="00B2691E"/>
    <w:rsid w:val="00B274F9"/>
    <w:rsid w:val="00B27644"/>
    <w:rsid w:val="00B34FE2"/>
    <w:rsid w:val="00B36D92"/>
    <w:rsid w:val="00B41765"/>
    <w:rsid w:val="00B4199C"/>
    <w:rsid w:val="00B41C72"/>
    <w:rsid w:val="00B42C56"/>
    <w:rsid w:val="00B43090"/>
    <w:rsid w:val="00B4724C"/>
    <w:rsid w:val="00B472D3"/>
    <w:rsid w:val="00B4754E"/>
    <w:rsid w:val="00B56A29"/>
    <w:rsid w:val="00B57AFB"/>
    <w:rsid w:val="00B60FBE"/>
    <w:rsid w:val="00B6150F"/>
    <w:rsid w:val="00B62E9C"/>
    <w:rsid w:val="00B6535B"/>
    <w:rsid w:val="00B65A1D"/>
    <w:rsid w:val="00B66139"/>
    <w:rsid w:val="00B66C79"/>
    <w:rsid w:val="00B7182A"/>
    <w:rsid w:val="00B723BC"/>
    <w:rsid w:val="00B72A31"/>
    <w:rsid w:val="00B74E4E"/>
    <w:rsid w:val="00B7623D"/>
    <w:rsid w:val="00B81572"/>
    <w:rsid w:val="00B84451"/>
    <w:rsid w:val="00B84A9A"/>
    <w:rsid w:val="00B86967"/>
    <w:rsid w:val="00B86A75"/>
    <w:rsid w:val="00B87006"/>
    <w:rsid w:val="00B907DB"/>
    <w:rsid w:val="00B912F9"/>
    <w:rsid w:val="00B9325C"/>
    <w:rsid w:val="00B93E68"/>
    <w:rsid w:val="00BA1B6A"/>
    <w:rsid w:val="00BA1C6C"/>
    <w:rsid w:val="00BA3705"/>
    <w:rsid w:val="00BA4B3B"/>
    <w:rsid w:val="00BB01AC"/>
    <w:rsid w:val="00BB09C8"/>
    <w:rsid w:val="00BB136A"/>
    <w:rsid w:val="00BB21B5"/>
    <w:rsid w:val="00BB5CD4"/>
    <w:rsid w:val="00BB6A14"/>
    <w:rsid w:val="00BB7B34"/>
    <w:rsid w:val="00BC060D"/>
    <w:rsid w:val="00BC071B"/>
    <w:rsid w:val="00BC5BA3"/>
    <w:rsid w:val="00BC7907"/>
    <w:rsid w:val="00BC7E69"/>
    <w:rsid w:val="00BD00C8"/>
    <w:rsid w:val="00BD0737"/>
    <w:rsid w:val="00BD314C"/>
    <w:rsid w:val="00BD5448"/>
    <w:rsid w:val="00BD5480"/>
    <w:rsid w:val="00BD5B8B"/>
    <w:rsid w:val="00BD754C"/>
    <w:rsid w:val="00BE0AFF"/>
    <w:rsid w:val="00BE0FB5"/>
    <w:rsid w:val="00BE244E"/>
    <w:rsid w:val="00BE28AD"/>
    <w:rsid w:val="00BE35AB"/>
    <w:rsid w:val="00BE3E6E"/>
    <w:rsid w:val="00BE507A"/>
    <w:rsid w:val="00BE5291"/>
    <w:rsid w:val="00BE54D8"/>
    <w:rsid w:val="00BE6496"/>
    <w:rsid w:val="00BF0802"/>
    <w:rsid w:val="00BF0F61"/>
    <w:rsid w:val="00BF1363"/>
    <w:rsid w:val="00BF1EE3"/>
    <w:rsid w:val="00BF57BB"/>
    <w:rsid w:val="00C016D7"/>
    <w:rsid w:val="00C02A7F"/>
    <w:rsid w:val="00C032E6"/>
    <w:rsid w:val="00C0584E"/>
    <w:rsid w:val="00C06D23"/>
    <w:rsid w:val="00C07855"/>
    <w:rsid w:val="00C078A3"/>
    <w:rsid w:val="00C110ED"/>
    <w:rsid w:val="00C1132A"/>
    <w:rsid w:val="00C113E4"/>
    <w:rsid w:val="00C135FF"/>
    <w:rsid w:val="00C13B8D"/>
    <w:rsid w:val="00C14A5E"/>
    <w:rsid w:val="00C14AE3"/>
    <w:rsid w:val="00C15B83"/>
    <w:rsid w:val="00C20176"/>
    <w:rsid w:val="00C212F8"/>
    <w:rsid w:val="00C26150"/>
    <w:rsid w:val="00C27FA3"/>
    <w:rsid w:val="00C310D4"/>
    <w:rsid w:val="00C3250A"/>
    <w:rsid w:val="00C3538E"/>
    <w:rsid w:val="00C357F7"/>
    <w:rsid w:val="00C35922"/>
    <w:rsid w:val="00C35A30"/>
    <w:rsid w:val="00C36BDB"/>
    <w:rsid w:val="00C37548"/>
    <w:rsid w:val="00C37BF7"/>
    <w:rsid w:val="00C37F9A"/>
    <w:rsid w:val="00C40206"/>
    <w:rsid w:val="00C40272"/>
    <w:rsid w:val="00C430B3"/>
    <w:rsid w:val="00C45341"/>
    <w:rsid w:val="00C456EC"/>
    <w:rsid w:val="00C47D33"/>
    <w:rsid w:val="00C515C0"/>
    <w:rsid w:val="00C519AE"/>
    <w:rsid w:val="00C529F6"/>
    <w:rsid w:val="00C53185"/>
    <w:rsid w:val="00C53742"/>
    <w:rsid w:val="00C54E1F"/>
    <w:rsid w:val="00C55CCB"/>
    <w:rsid w:val="00C560D1"/>
    <w:rsid w:val="00C57850"/>
    <w:rsid w:val="00C57EEC"/>
    <w:rsid w:val="00C60E1F"/>
    <w:rsid w:val="00C623C3"/>
    <w:rsid w:val="00C63079"/>
    <w:rsid w:val="00C656C1"/>
    <w:rsid w:val="00C71755"/>
    <w:rsid w:val="00C72D90"/>
    <w:rsid w:val="00C758BA"/>
    <w:rsid w:val="00C76310"/>
    <w:rsid w:val="00C76EC3"/>
    <w:rsid w:val="00C82D6B"/>
    <w:rsid w:val="00C82FD4"/>
    <w:rsid w:val="00C83AB0"/>
    <w:rsid w:val="00C850EB"/>
    <w:rsid w:val="00C875A9"/>
    <w:rsid w:val="00C87FC6"/>
    <w:rsid w:val="00C91942"/>
    <w:rsid w:val="00C940BF"/>
    <w:rsid w:val="00C96D4B"/>
    <w:rsid w:val="00CA26FE"/>
    <w:rsid w:val="00CA3EFB"/>
    <w:rsid w:val="00CA3F44"/>
    <w:rsid w:val="00CA6C32"/>
    <w:rsid w:val="00CA763A"/>
    <w:rsid w:val="00CA7F39"/>
    <w:rsid w:val="00CB0CB2"/>
    <w:rsid w:val="00CB2881"/>
    <w:rsid w:val="00CB2A98"/>
    <w:rsid w:val="00CB5345"/>
    <w:rsid w:val="00CC0D9B"/>
    <w:rsid w:val="00CC157C"/>
    <w:rsid w:val="00CC22C1"/>
    <w:rsid w:val="00CC2852"/>
    <w:rsid w:val="00CD21E7"/>
    <w:rsid w:val="00CD32BB"/>
    <w:rsid w:val="00CD5177"/>
    <w:rsid w:val="00CE09B6"/>
    <w:rsid w:val="00CE2F1C"/>
    <w:rsid w:val="00CE54D4"/>
    <w:rsid w:val="00CE5D55"/>
    <w:rsid w:val="00CE6B8F"/>
    <w:rsid w:val="00CE7B7F"/>
    <w:rsid w:val="00CE7E67"/>
    <w:rsid w:val="00CF00C4"/>
    <w:rsid w:val="00CF08D0"/>
    <w:rsid w:val="00CF1104"/>
    <w:rsid w:val="00CF13BC"/>
    <w:rsid w:val="00CF3C1C"/>
    <w:rsid w:val="00CF5A0A"/>
    <w:rsid w:val="00CF609B"/>
    <w:rsid w:val="00D012E9"/>
    <w:rsid w:val="00D017FD"/>
    <w:rsid w:val="00D01989"/>
    <w:rsid w:val="00D02C23"/>
    <w:rsid w:val="00D062A6"/>
    <w:rsid w:val="00D06785"/>
    <w:rsid w:val="00D067CE"/>
    <w:rsid w:val="00D11CCA"/>
    <w:rsid w:val="00D12F4F"/>
    <w:rsid w:val="00D12F5F"/>
    <w:rsid w:val="00D1438D"/>
    <w:rsid w:val="00D170B8"/>
    <w:rsid w:val="00D178FB"/>
    <w:rsid w:val="00D20326"/>
    <w:rsid w:val="00D23433"/>
    <w:rsid w:val="00D25B17"/>
    <w:rsid w:val="00D2717B"/>
    <w:rsid w:val="00D310A1"/>
    <w:rsid w:val="00D31BDD"/>
    <w:rsid w:val="00D33063"/>
    <w:rsid w:val="00D3358E"/>
    <w:rsid w:val="00D33A04"/>
    <w:rsid w:val="00D34115"/>
    <w:rsid w:val="00D36AA8"/>
    <w:rsid w:val="00D36CAC"/>
    <w:rsid w:val="00D41DE4"/>
    <w:rsid w:val="00D41E99"/>
    <w:rsid w:val="00D44A11"/>
    <w:rsid w:val="00D45F07"/>
    <w:rsid w:val="00D5046D"/>
    <w:rsid w:val="00D50873"/>
    <w:rsid w:val="00D54BAB"/>
    <w:rsid w:val="00D54C9F"/>
    <w:rsid w:val="00D55940"/>
    <w:rsid w:val="00D5602B"/>
    <w:rsid w:val="00D60A79"/>
    <w:rsid w:val="00D6106A"/>
    <w:rsid w:val="00D61B13"/>
    <w:rsid w:val="00D62BA4"/>
    <w:rsid w:val="00D64596"/>
    <w:rsid w:val="00D65E3B"/>
    <w:rsid w:val="00D676D3"/>
    <w:rsid w:val="00D73907"/>
    <w:rsid w:val="00D75266"/>
    <w:rsid w:val="00D7589A"/>
    <w:rsid w:val="00D76292"/>
    <w:rsid w:val="00D7635E"/>
    <w:rsid w:val="00D76629"/>
    <w:rsid w:val="00D77A8D"/>
    <w:rsid w:val="00D80DBD"/>
    <w:rsid w:val="00D823F4"/>
    <w:rsid w:val="00D82E4B"/>
    <w:rsid w:val="00D83011"/>
    <w:rsid w:val="00D831EA"/>
    <w:rsid w:val="00D83D69"/>
    <w:rsid w:val="00D848D4"/>
    <w:rsid w:val="00D87950"/>
    <w:rsid w:val="00D90985"/>
    <w:rsid w:val="00D9336C"/>
    <w:rsid w:val="00D94245"/>
    <w:rsid w:val="00D951B2"/>
    <w:rsid w:val="00DA12F1"/>
    <w:rsid w:val="00DA15CF"/>
    <w:rsid w:val="00DA2D63"/>
    <w:rsid w:val="00DA39DE"/>
    <w:rsid w:val="00DA4052"/>
    <w:rsid w:val="00DA4561"/>
    <w:rsid w:val="00DA4E34"/>
    <w:rsid w:val="00DA57CE"/>
    <w:rsid w:val="00DA5B38"/>
    <w:rsid w:val="00DA5D6A"/>
    <w:rsid w:val="00DA6D74"/>
    <w:rsid w:val="00DA764C"/>
    <w:rsid w:val="00DA7759"/>
    <w:rsid w:val="00DA7FE6"/>
    <w:rsid w:val="00DB09AF"/>
    <w:rsid w:val="00DB0E2A"/>
    <w:rsid w:val="00DB4D78"/>
    <w:rsid w:val="00DB4F9C"/>
    <w:rsid w:val="00DB4FE2"/>
    <w:rsid w:val="00DB5C18"/>
    <w:rsid w:val="00DB69DD"/>
    <w:rsid w:val="00DB6C12"/>
    <w:rsid w:val="00DC09DB"/>
    <w:rsid w:val="00DC13E0"/>
    <w:rsid w:val="00DC317D"/>
    <w:rsid w:val="00DC3C21"/>
    <w:rsid w:val="00DC68E4"/>
    <w:rsid w:val="00DC6944"/>
    <w:rsid w:val="00DD4191"/>
    <w:rsid w:val="00DD5BB3"/>
    <w:rsid w:val="00DD60D2"/>
    <w:rsid w:val="00DD6F9F"/>
    <w:rsid w:val="00DE1558"/>
    <w:rsid w:val="00DE34D0"/>
    <w:rsid w:val="00DE38DE"/>
    <w:rsid w:val="00DE678B"/>
    <w:rsid w:val="00DF029A"/>
    <w:rsid w:val="00DF17C1"/>
    <w:rsid w:val="00DF2F83"/>
    <w:rsid w:val="00DF4C23"/>
    <w:rsid w:val="00DF530E"/>
    <w:rsid w:val="00DF5B1B"/>
    <w:rsid w:val="00DF623E"/>
    <w:rsid w:val="00E06FA4"/>
    <w:rsid w:val="00E071E0"/>
    <w:rsid w:val="00E07D87"/>
    <w:rsid w:val="00E07DC6"/>
    <w:rsid w:val="00E105EC"/>
    <w:rsid w:val="00E11EE8"/>
    <w:rsid w:val="00E12742"/>
    <w:rsid w:val="00E128FC"/>
    <w:rsid w:val="00E13876"/>
    <w:rsid w:val="00E141B2"/>
    <w:rsid w:val="00E145B3"/>
    <w:rsid w:val="00E14A16"/>
    <w:rsid w:val="00E170AE"/>
    <w:rsid w:val="00E2089A"/>
    <w:rsid w:val="00E23657"/>
    <w:rsid w:val="00E23DFE"/>
    <w:rsid w:val="00E25E2C"/>
    <w:rsid w:val="00E27305"/>
    <w:rsid w:val="00E301CC"/>
    <w:rsid w:val="00E30C0E"/>
    <w:rsid w:val="00E35F9C"/>
    <w:rsid w:val="00E409CF"/>
    <w:rsid w:val="00E42D00"/>
    <w:rsid w:val="00E43BB2"/>
    <w:rsid w:val="00E43FC3"/>
    <w:rsid w:val="00E4510D"/>
    <w:rsid w:val="00E465F5"/>
    <w:rsid w:val="00E50266"/>
    <w:rsid w:val="00E52714"/>
    <w:rsid w:val="00E527B7"/>
    <w:rsid w:val="00E54286"/>
    <w:rsid w:val="00E543C3"/>
    <w:rsid w:val="00E57FF1"/>
    <w:rsid w:val="00E60BC8"/>
    <w:rsid w:val="00E64482"/>
    <w:rsid w:val="00E670EB"/>
    <w:rsid w:val="00E705AC"/>
    <w:rsid w:val="00E70D8E"/>
    <w:rsid w:val="00E71B64"/>
    <w:rsid w:val="00E73CF4"/>
    <w:rsid w:val="00E7418E"/>
    <w:rsid w:val="00E74BAC"/>
    <w:rsid w:val="00E75056"/>
    <w:rsid w:val="00E75B6E"/>
    <w:rsid w:val="00E76416"/>
    <w:rsid w:val="00E76680"/>
    <w:rsid w:val="00E770C5"/>
    <w:rsid w:val="00E773EA"/>
    <w:rsid w:val="00E81364"/>
    <w:rsid w:val="00E81E8B"/>
    <w:rsid w:val="00E82062"/>
    <w:rsid w:val="00E831AA"/>
    <w:rsid w:val="00E84C73"/>
    <w:rsid w:val="00E867CC"/>
    <w:rsid w:val="00E86E25"/>
    <w:rsid w:val="00E907DD"/>
    <w:rsid w:val="00E9112B"/>
    <w:rsid w:val="00E91FD5"/>
    <w:rsid w:val="00E92283"/>
    <w:rsid w:val="00E92A7D"/>
    <w:rsid w:val="00E931C7"/>
    <w:rsid w:val="00E973E0"/>
    <w:rsid w:val="00E97728"/>
    <w:rsid w:val="00EA1A59"/>
    <w:rsid w:val="00EA2B41"/>
    <w:rsid w:val="00EA2B66"/>
    <w:rsid w:val="00EA5601"/>
    <w:rsid w:val="00EA6BF3"/>
    <w:rsid w:val="00EB035C"/>
    <w:rsid w:val="00EB0ED8"/>
    <w:rsid w:val="00EB32C5"/>
    <w:rsid w:val="00EB3F8D"/>
    <w:rsid w:val="00EB40DB"/>
    <w:rsid w:val="00EB4172"/>
    <w:rsid w:val="00EB647B"/>
    <w:rsid w:val="00EB7178"/>
    <w:rsid w:val="00EB7503"/>
    <w:rsid w:val="00EB7B1D"/>
    <w:rsid w:val="00EC063D"/>
    <w:rsid w:val="00EC076E"/>
    <w:rsid w:val="00EC28F2"/>
    <w:rsid w:val="00EC5BF4"/>
    <w:rsid w:val="00EC6AFB"/>
    <w:rsid w:val="00EC731F"/>
    <w:rsid w:val="00EC7A96"/>
    <w:rsid w:val="00ED12EB"/>
    <w:rsid w:val="00ED186F"/>
    <w:rsid w:val="00ED2661"/>
    <w:rsid w:val="00ED32A9"/>
    <w:rsid w:val="00ED396D"/>
    <w:rsid w:val="00ED40EA"/>
    <w:rsid w:val="00ED5190"/>
    <w:rsid w:val="00ED5EF4"/>
    <w:rsid w:val="00ED6D86"/>
    <w:rsid w:val="00EE05D2"/>
    <w:rsid w:val="00EE0AFB"/>
    <w:rsid w:val="00EE23B0"/>
    <w:rsid w:val="00EE2C3D"/>
    <w:rsid w:val="00EE7A04"/>
    <w:rsid w:val="00EF0D21"/>
    <w:rsid w:val="00EF13F4"/>
    <w:rsid w:val="00EF1D21"/>
    <w:rsid w:val="00EF1DC7"/>
    <w:rsid w:val="00EF4760"/>
    <w:rsid w:val="00EF4DF5"/>
    <w:rsid w:val="00EF6BDB"/>
    <w:rsid w:val="00EF6E6B"/>
    <w:rsid w:val="00EF6E88"/>
    <w:rsid w:val="00F002C2"/>
    <w:rsid w:val="00F02DFD"/>
    <w:rsid w:val="00F046FA"/>
    <w:rsid w:val="00F06188"/>
    <w:rsid w:val="00F06A72"/>
    <w:rsid w:val="00F06AE5"/>
    <w:rsid w:val="00F120C8"/>
    <w:rsid w:val="00F12EA2"/>
    <w:rsid w:val="00F12FDD"/>
    <w:rsid w:val="00F1606D"/>
    <w:rsid w:val="00F17E2A"/>
    <w:rsid w:val="00F247F9"/>
    <w:rsid w:val="00F24CDE"/>
    <w:rsid w:val="00F27E99"/>
    <w:rsid w:val="00F30A09"/>
    <w:rsid w:val="00F344D5"/>
    <w:rsid w:val="00F345FD"/>
    <w:rsid w:val="00F36196"/>
    <w:rsid w:val="00F36D18"/>
    <w:rsid w:val="00F37CE9"/>
    <w:rsid w:val="00F40B22"/>
    <w:rsid w:val="00F40ED5"/>
    <w:rsid w:val="00F41909"/>
    <w:rsid w:val="00F424EF"/>
    <w:rsid w:val="00F447DD"/>
    <w:rsid w:val="00F45847"/>
    <w:rsid w:val="00F47738"/>
    <w:rsid w:val="00F51A95"/>
    <w:rsid w:val="00F51E07"/>
    <w:rsid w:val="00F5331D"/>
    <w:rsid w:val="00F5397A"/>
    <w:rsid w:val="00F54181"/>
    <w:rsid w:val="00F552A3"/>
    <w:rsid w:val="00F56BAA"/>
    <w:rsid w:val="00F6065B"/>
    <w:rsid w:val="00F613A2"/>
    <w:rsid w:val="00F613F1"/>
    <w:rsid w:val="00F634B7"/>
    <w:rsid w:val="00F64DFA"/>
    <w:rsid w:val="00F673B4"/>
    <w:rsid w:val="00F7285A"/>
    <w:rsid w:val="00F737A8"/>
    <w:rsid w:val="00F74EF7"/>
    <w:rsid w:val="00F75B0E"/>
    <w:rsid w:val="00F77013"/>
    <w:rsid w:val="00F80534"/>
    <w:rsid w:val="00F8110B"/>
    <w:rsid w:val="00F850D9"/>
    <w:rsid w:val="00F855F3"/>
    <w:rsid w:val="00F86787"/>
    <w:rsid w:val="00F875AD"/>
    <w:rsid w:val="00F90FBE"/>
    <w:rsid w:val="00F92901"/>
    <w:rsid w:val="00F92AAD"/>
    <w:rsid w:val="00F94CA0"/>
    <w:rsid w:val="00F95726"/>
    <w:rsid w:val="00F96589"/>
    <w:rsid w:val="00F97DB8"/>
    <w:rsid w:val="00FA260B"/>
    <w:rsid w:val="00FA3768"/>
    <w:rsid w:val="00FA4268"/>
    <w:rsid w:val="00FA4E2D"/>
    <w:rsid w:val="00FA71DF"/>
    <w:rsid w:val="00FA77E4"/>
    <w:rsid w:val="00FB2FCB"/>
    <w:rsid w:val="00FB3A11"/>
    <w:rsid w:val="00FB40E5"/>
    <w:rsid w:val="00FB5960"/>
    <w:rsid w:val="00FB5E05"/>
    <w:rsid w:val="00FB66DF"/>
    <w:rsid w:val="00FC384C"/>
    <w:rsid w:val="00FC6214"/>
    <w:rsid w:val="00FC62FB"/>
    <w:rsid w:val="00FC7038"/>
    <w:rsid w:val="00FD1F61"/>
    <w:rsid w:val="00FD4A9A"/>
    <w:rsid w:val="00FD4C24"/>
    <w:rsid w:val="00FD5B06"/>
    <w:rsid w:val="00FE009A"/>
    <w:rsid w:val="00FE3070"/>
    <w:rsid w:val="00FE3367"/>
    <w:rsid w:val="00FE47A2"/>
    <w:rsid w:val="00FE73E8"/>
    <w:rsid w:val="00FE764F"/>
    <w:rsid w:val="00FE766E"/>
    <w:rsid w:val="00FF15A7"/>
    <w:rsid w:val="00FF23A6"/>
    <w:rsid w:val="00FF3627"/>
    <w:rsid w:val="00FF41DC"/>
    <w:rsid w:val="00FF5E15"/>
    <w:rsid w:val="00FF66C4"/>
    <w:rsid w:val="00FF711D"/>
    <w:rsid w:val="00FF7CD2"/>
    <w:rsid w:val="00FF7DC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2902B"/>
  <w15:docId w15:val="{7BEEA44E-6CFE-4E40-B20C-3D8733B9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2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A65BA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SuiteORefPJGEDA">
    <w:name w:val="- Lettre:Suite O/Ref/PJ GEDA"/>
    <w:rsid w:val="00BF0802"/>
    <w:pPr>
      <w:suppressAutoHyphens/>
      <w:overflowPunct w:val="0"/>
      <w:autoSpaceDE w:val="0"/>
      <w:spacing w:after="0" w:line="240" w:lineRule="auto"/>
      <w:ind w:left="851"/>
      <w:jc w:val="both"/>
      <w:textAlignment w:val="baseline"/>
    </w:pPr>
    <w:rPr>
      <w:rFonts w:ascii="Times New Roman" w:eastAsia="Arial" w:hAnsi="Times New Roman" w:cs="Times New Roman"/>
      <w:sz w:val="24"/>
      <w:szCs w:val="20"/>
      <w:lang w:eastAsia="ar-SA"/>
    </w:rPr>
  </w:style>
  <w:style w:type="table" w:styleId="Grilledutableau">
    <w:name w:val="Table Grid"/>
    <w:basedOn w:val="TableauNormal"/>
    <w:uiPriority w:val="59"/>
    <w:rsid w:val="002A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0FF8"/>
    <w:pPr>
      <w:tabs>
        <w:tab w:val="center" w:pos="4536"/>
        <w:tab w:val="right" w:pos="9072"/>
      </w:tabs>
    </w:pPr>
  </w:style>
  <w:style w:type="character" w:customStyle="1" w:styleId="En-tteCar">
    <w:name w:val="En-tête Car"/>
    <w:basedOn w:val="Policepardfaut"/>
    <w:link w:val="En-tte"/>
    <w:uiPriority w:val="99"/>
    <w:rsid w:val="00620FF8"/>
  </w:style>
  <w:style w:type="paragraph" w:styleId="Pieddepage">
    <w:name w:val="footer"/>
    <w:basedOn w:val="Normal"/>
    <w:link w:val="PieddepageCar"/>
    <w:uiPriority w:val="99"/>
    <w:unhideWhenUsed/>
    <w:rsid w:val="00620FF8"/>
    <w:pPr>
      <w:tabs>
        <w:tab w:val="center" w:pos="4536"/>
        <w:tab w:val="right" w:pos="9072"/>
      </w:tabs>
    </w:pPr>
  </w:style>
  <w:style w:type="character" w:customStyle="1" w:styleId="PieddepageCar">
    <w:name w:val="Pied de page Car"/>
    <w:basedOn w:val="Policepardfaut"/>
    <w:link w:val="Pieddepage"/>
    <w:uiPriority w:val="99"/>
    <w:rsid w:val="00620FF8"/>
  </w:style>
  <w:style w:type="paragraph" w:styleId="Textedebulles">
    <w:name w:val="Balloon Text"/>
    <w:basedOn w:val="Normal"/>
    <w:link w:val="TextedebullesCar"/>
    <w:uiPriority w:val="99"/>
    <w:semiHidden/>
    <w:unhideWhenUsed/>
    <w:rsid w:val="00620FF8"/>
    <w:rPr>
      <w:rFonts w:ascii="Tahoma" w:hAnsi="Tahoma" w:cs="Tahoma"/>
      <w:sz w:val="16"/>
      <w:szCs w:val="16"/>
    </w:rPr>
  </w:style>
  <w:style w:type="character" w:customStyle="1" w:styleId="TextedebullesCar">
    <w:name w:val="Texte de bulles Car"/>
    <w:basedOn w:val="Policepardfaut"/>
    <w:link w:val="Textedebulles"/>
    <w:uiPriority w:val="99"/>
    <w:semiHidden/>
    <w:rsid w:val="00620FF8"/>
    <w:rPr>
      <w:rFonts w:ascii="Tahoma" w:hAnsi="Tahoma" w:cs="Tahoma"/>
      <w:sz w:val="16"/>
      <w:szCs w:val="16"/>
    </w:rPr>
  </w:style>
  <w:style w:type="character" w:styleId="Lienhypertexte">
    <w:name w:val="Hyperlink"/>
    <w:basedOn w:val="Policepardfaut"/>
    <w:uiPriority w:val="99"/>
    <w:unhideWhenUsed/>
    <w:rsid w:val="00F54181"/>
    <w:rPr>
      <w:color w:val="0000FF" w:themeColor="hyperlink"/>
      <w:u w:val="single"/>
    </w:rPr>
  </w:style>
  <w:style w:type="paragraph" w:styleId="Date">
    <w:name w:val="Date"/>
    <w:basedOn w:val="Normal"/>
    <w:next w:val="Normal"/>
    <w:link w:val="DateCar"/>
    <w:rsid w:val="002F1D26"/>
    <w:pPr>
      <w:spacing w:after="220" w:line="220" w:lineRule="atLeast"/>
      <w:jc w:val="both"/>
    </w:pPr>
    <w:rPr>
      <w:rFonts w:ascii="Arial" w:hAnsi="Arial"/>
      <w:spacing w:val="-5"/>
      <w:sz w:val="20"/>
      <w:szCs w:val="20"/>
      <w:lang w:eastAsia="en-US"/>
    </w:rPr>
  </w:style>
  <w:style w:type="character" w:customStyle="1" w:styleId="DateCar">
    <w:name w:val="Date Car"/>
    <w:basedOn w:val="Policepardfaut"/>
    <w:link w:val="Date"/>
    <w:rsid w:val="002F1D26"/>
    <w:rPr>
      <w:rFonts w:ascii="Arial" w:eastAsia="Times New Roman" w:hAnsi="Arial" w:cs="Times New Roman"/>
      <w:spacing w:val="-5"/>
      <w:sz w:val="20"/>
      <w:szCs w:val="20"/>
    </w:rPr>
  </w:style>
  <w:style w:type="paragraph" w:customStyle="1" w:styleId="Adressedest">
    <w:name w:val="Adresse dest."/>
    <w:basedOn w:val="Normal"/>
    <w:rsid w:val="002F1D26"/>
    <w:pPr>
      <w:spacing w:line="220" w:lineRule="atLeast"/>
      <w:jc w:val="both"/>
    </w:pPr>
    <w:rPr>
      <w:rFonts w:ascii="Arial" w:hAnsi="Arial"/>
      <w:spacing w:val="-5"/>
      <w:sz w:val="20"/>
      <w:szCs w:val="20"/>
      <w:lang w:eastAsia="en-US"/>
    </w:rPr>
  </w:style>
  <w:style w:type="paragraph" w:customStyle="1" w:styleId="Formatlibre">
    <w:name w:val="Format libre"/>
    <w:rsid w:val="00C212F8"/>
    <w:pPr>
      <w:spacing w:after="0" w:line="240" w:lineRule="auto"/>
    </w:pPr>
    <w:rPr>
      <w:rFonts w:ascii="Times New Roman" w:eastAsia="ヒラギノ角ゴ Pro W3" w:hAnsi="Times New Roman" w:cs="Times New Roman"/>
      <w:color w:val="000000"/>
      <w:sz w:val="24"/>
      <w:szCs w:val="24"/>
      <w:lang w:eastAsia="fr-FR"/>
    </w:rPr>
  </w:style>
  <w:style w:type="paragraph" w:styleId="Paragraphedeliste">
    <w:name w:val="List Paragraph"/>
    <w:basedOn w:val="Normal"/>
    <w:uiPriority w:val="34"/>
    <w:qFormat/>
    <w:rsid w:val="00C212F8"/>
    <w:pPr>
      <w:ind w:left="720"/>
      <w:contextualSpacing/>
    </w:pPr>
  </w:style>
  <w:style w:type="table" w:customStyle="1" w:styleId="Trameclaire-Accent11">
    <w:name w:val="Trame claire - Accent 11"/>
    <w:basedOn w:val="TableauNormal"/>
    <w:uiPriority w:val="60"/>
    <w:rsid w:val="003F716A"/>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uiPriority w:val="1"/>
    <w:qFormat/>
    <w:rsid w:val="007E61FD"/>
    <w:pPr>
      <w:spacing w:after="0" w:line="360" w:lineRule="auto"/>
    </w:pPr>
    <w:rPr>
      <w:rFonts w:eastAsiaTheme="minorEastAsia"/>
      <w:lang w:eastAsia="fr-FR"/>
    </w:rPr>
  </w:style>
  <w:style w:type="character" w:customStyle="1" w:styleId="SansinterligneCar">
    <w:name w:val="Sans interligne Car"/>
    <w:basedOn w:val="Policepardfaut"/>
    <w:link w:val="Sansinterligne"/>
    <w:uiPriority w:val="1"/>
    <w:rsid w:val="007E61FD"/>
    <w:rPr>
      <w:rFonts w:eastAsiaTheme="minorEastAsia"/>
      <w:lang w:eastAsia="fr-FR"/>
    </w:rPr>
  </w:style>
  <w:style w:type="paragraph" w:styleId="Lgende">
    <w:name w:val="caption"/>
    <w:basedOn w:val="Normal"/>
    <w:next w:val="Normal"/>
    <w:uiPriority w:val="35"/>
    <w:semiHidden/>
    <w:unhideWhenUsed/>
    <w:qFormat/>
    <w:rsid w:val="00CC157C"/>
    <w:pPr>
      <w:spacing w:after="200"/>
    </w:pPr>
    <w:rPr>
      <w:b/>
      <w:bCs/>
      <w:color w:val="4F81BD" w:themeColor="accent1"/>
      <w:sz w:val="18"/>
      <w:szCs w:val="18"/>
    </w:rPr>
  </w:style>
  <w:style w:type="character" w:styleId="Marquedecommentaire">
    <w:name w:val="annotation reference"/>
    <w:uiPriority w:val="99"/>
    <w:semiHidden/>
    <w:unhideWhenUsed/>
    <w:rsid w:val="00DF029A"/>
    <w:rPr>
      <w:sz w:val="16"/>
      <w:szCs w:val="16"/>
    </w:rPr>
  </w:style>
  <w:style w:type="character" w:customStyle="1" w:styleId="Titre2Car">
    <w:name w:val="Titre 2 Car"/>
    <w:basedOn w:val="Policepardfaut"/>
    <w:link w:val="Titre2"/>
    <w:uiPriority w:val="9"/>
    <w:rsid w:val="00A65BA2"/>
    <w:rPr>
      <w:rFonts w:ascii="Times New Roman" w:eastAsia="Times New Roman" w:hAnsi="Times New Roman" w:cs="Times New Roman"/>
      <w:b/>
      <w:bCs/>
      <w:sz w:val="36"/>
      <w:szCs w:val="36"/>
      <w:lang w:eastAsia="fr-FR"/>
    </w:rPr>
  </w:style>
  <w:style w:type="character" w:customStyle="1" w:styleId="st">
    <w:name w:val="st"/>
    <w:basedOn w:val="Policepardfaut"/>
    <w:rsid w:val="00173072"/>
  </w:style>
  <w:style w:type="character" w:styleId="Accentuation">
    <w:name w:val="Emphasis"/>
    <w:basedOn w:val="Policepardfaut"/>
    <w:uiPriority w:val="20"/>
    <w:qFormat/>
    <w:rsid w:val="00173072"/>
    <w:rPr>
      <w:i/>
      <w:iCs/>
    </w:rPr>
  </w:style>
  <w:style w:type="paragraph" w:customStyle="1" w:styleId="SNNature">
    <w:name w:val="SNNature"/>
    <w:basedOn w:val="Normal"/>
    <w:autoRedefine/>
    <w:rsid w:val="00CA7F39"/>
    <w:pPr>
      <w:widowControl w:val="0"/>
      <w:suppressLineNumbers/>
      <w:tabs>
        <w:tab w:val="left" w:pos="1965"/>
        <w:tab w:val="center" w:pos="4677"/>
      </w:tabs>
      <w:suppressAutoHyphens/>
      <w:spacing w:before="720" w:after="240"/>
      <w:jc w:val="center"/>
    </w:pPr>
    <w:rPr>
      <w:rFonts w:eastAsia="Lucida Sans Unicode"/>
      <w:b/>
      <w:bCs/>
    </w:rPr>
  </w:style>
  <w:style w:type="paragraph" w:customStyle="1" w:styleId="SNTimbre">
    <w:name w:val="SNTimbre"/>
    <w:basedOn w:val="Normal"/>
    <w:autoRedefine/>
    <w:rsid w:val="00CA7F39"/>
    <w:pPr>
      <w:widowControl w:val="0"/>
      <w:suppressAutoHyphens/>
      <w:snapToGrid w:val="0"/>
      <w:spacing w:before="120"/>
      <w:jc w:val="center"/>
    </w:pPr>
    <w:rPr>
      <w:rFonts w:eastAsia="Lucida Sans Unicode"/>
    </w:rPr>
  </w:style>
  <w:style w:type="paragraph" w:styleId="NormalWeb">
    <w:name w:val="Normal (Web)"/>
    <w:basedOn w:val="Normal"/>
    <w:uiPriority w:val="99"/>
    <w:rsid w:val="00CA7F39"/>
    <w:pPr>
      <w:spacing w:before="100" w:beforeAutospacing="1" w:after="100" w:afterAutospacing="1"/>
    </w:pPr>
  </w:style>
  <w:style w:type="paragraph" w:customStyle="1" w:styleId="SNRpublique">
    <w:name w:val="SNRŽpublique"/>
    <w:basedOn w:val="Normal"/>
    <w:rsid w:val="00CA7F39"/>
    <w:pPr>
      <w:widowControl w:val="0"/>
      <w:suppressAutoHyphens/>
      <w:jc w:val="center"/>
    </w:pPr>
    <w:rPr>
      <w:b/>
      <w:bCs/>
    </w:rPr>
  </w:style>
  <w:style w:type="character" w:customStyle="1" w:styleId="sdic-0020---0020normal--char">
    <w:name w:val="sdic-0020---0020normal--char"/>
    <w:rsid w:val="00CA7F39"/>
  </w:style>
  <w:style w:type="character" w:customStyle="1" w:styleId="hascaption">
    <w:name w:val="hascaption"/>
    <w:basedOn w:val="Policepardfaut"/>
    <w:rsid w:val="004C2E3C"/>
  </w:style>
  <w:style w:type="character" w:customStyle="1" w:styleId="textexposedshow">
    <w:name w:val="text_exposed_show"/>
    <w:basedOn w:val="Policepardfaut"/>
    <w:rsid w:val="00E91FD5"/>
  </w:style>
  <w:style w:type="paragraph" w:styleId="Notedebasdepage">
    <w:name w:val="footnote text"/>
    <w:basedOn w:val="Normal"/>
    <w:link w:val="NotedebasdepageCar"/>
    <w:uiPriority w:val="99"/>
    <w:rsid w:val="005B083B"/>
    <w:pPr>
      <w:spacing w:line="360" w:lineRule="auto"/>
    </w:pPr>
    <w:rPr>
      <w:rFonts w:ascii="Times" w:eastAsia="Times" w:hAnsi="Times"/>
      <w:szCs w:val="20"/>
    </w:rPr>
  </w:style>
  <w:style w:type="character" w:customStyle="1" w:styleId="NotedebasdepageCar">
    <w:name w:val="Note de bas de page Car"/>
    <w:basedOn w:val="Policepardfaut"/>
    <w:link w:val="Notedebasdepage"/>
    <w:uiPriority w:val="99"/>
    <w:rsid w:val="005B083B"/>
    <w:rPr>
      <w:rFonts w:ascii="Times" w:eastAsia="Times" w:hAnsi="Times" w:cs="Times New Roman"/>
      <w:sz w:val="24"/>
      <w:szCs w:val="20"/>
      <w:lang w:eastAsia="fr-FR"/>
    </w:rPr>
  </w:style>
  <w:style w:type="character" w:styleId="Appelnotedebasdep">
    <w:name w:val="footnote reference"/>
    <w:uiPriority w:val="99"/>
    <w:semiHidden/>
    <w:rsid w:val="005B083B"/>
    <w:rPr>
      <w:vertAlign w:val="superscript"/>
    </w:rPr>
  </w:style>
  <w:style w:type="table" w:customStyle="1" w:styleId="Grilledutableau1">
    <w:name w:val="Grille du tableau1"/>
    <w:basedOn w:val="TableauNormal"/>
    <w:next w:val="Grilledutableau"/>
    <w:uiPriority w:val="59"/>
    <w:rsid w:val="00BF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sid w:val="00B02A6E"/>
    <w:rPr>
      <w:b/>
      <w:bCs/>
      <w:smallCaps/>
      <w:color w:val="C0504D" w:themeColor="accent2"/>
      <w:spacing w:val="5"/>
      <w:u w:val="single"/>
    </w:rPr>
  </w:style>
  <w:style w:type="paragraph" w:customStyle="1" w:styleId="vaffp15257">
    <w:name w:val="vaffp15257"/>
    <w:basedOn w:val="Normal"/>
    <w:rsid w:val="000661C8"/>
    <w:pPr>
      <w:spacing w:before="100" w:beforeAutospacing="1" w:after="100" w:afterAutospacing="1"/>
    </w:pPr>
  </w:style>
  <w:style w:type="character" w:customStyle="1" w:styleId="Mentionnonrsolue1">
    <w:name w:val="Mention non résolue1"/>
    <w:basedOn w:val="Policepardfaut"/>
    <w:uiPriority w:val="99"/>
    <w:semiHidden/>
    <w:unhideWhenUsed/>
    <w:rsid w:val="002D58BC"/>
    <w:rPr>
      <w:color w:val="605E5C"/>
      <w:shd w:val="clear" w:color="auto" w:fill="E1DFDD"/>
    </w:rPr>
  </w:style>
  <w:style w:type="character" w:customStyle="1" w:styleId="intervention">
    <w:name w:val="intervention"/>
    <w:basedOn w:val="Policepardfaut"/>
    <w:rsid w:val="00E76680"/>
  </w:style>
  <w:style w:type="character" w:customStyle="1" w:styleId="italique">
    <w:name w:val="italique"/>
    <w:basedOn w:val="Policepardfaut"/>
    <w:rsid w:val="00C2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0823">
      <w:bodyDiv w:val="1"/>
      <w:marLeft w:val="0"/>
      <w:marRight w:val="0"/>
      <w:marTop w:val="0"/>
      <w:marBottom w:val="0"/>
      <w:divBdr>
        <w:top w:val="none" w:sz="0" w:space="0" w:color="auto"/>
        <w:left w:val="none" w:sz="0" w:space="0" w:color="auto"/>
        <w:bottom w:val="none" w:sz="0" w:space="0" w:color="auto"/>
        <w:right w:val="none" w:sz="0" w:space="0" w:color="auto"/>
      </w:divBdr>
    </w:div>
    <w:div w:id="759764068">
      <w:bodyDiv w:val="1"/>
      <w:marLeft w:val="0"/>
      <w:marRight w:val="0"/>
      <w:marTop w:val="0"/>
      <w:marBottom w:val="0"/>
      <w:divBdr>
        <w:top w:val="none" w:sz="0" w:space="0" w:color="auto"/>
        <w:left w:val="none" w:sz="0" w:space="0" w:color="auto"/>
        <w:bottom w:val="none" w:sz="0" w:space="0" w:color="auto"/>
        <w:right w:val="none" w:sz="0" w:space="0" w:color="auto"/>
      </w:divBdr>
    </w:div>
    <w:div w:id="1033505576">
      <w:bodyDiv w:val="1"/>
      <w:marLeft w:val="0"/>
      <w:marRight w:val="0"/>
      <w:marTop w:val="0"/>
      <w:marBottom w:val="0"/>
      <w:divBdr>
        <w:top w:val="none" w:sz="0" w:space="0" w:color="auto"/>
        <w:left w:val="none" w:sz="0" w:space="0" w:color="auto"/>
        <w:bottom w:val="none" w:sz="0" w:space="0" w:color="auto"/>
        <w:right w:val="none" w:sz="0" w:space="0" w:color="auto"/>
      </w:divBdr>
    </w:div>
    <w:div w:id="1242446915">
      <w:bodyDiv w:val="1"/>
      <w:marLeft w:val="0"/>
      <w:marRight w:val="0"/>
      <w:marTop w:val="0"/>
      <w:marBottom w:val="0"/>
      <w:divBdr>
        <w:top w:val="none" w:sz="0" w:space="0" w:color="auto"/>
        <w:left w:val="none" w:sz="0" w:space="0" w:color="auto"/>
        <w:bottom w:val="none" w:sz="0" w:space="0" w:color="auto"/>
        <w:right w:val="none" w:sz="0" w:space="0" w:color="auto"/>
      </w:divBdr>
      <w:divsChild>
        <w:div w:id="1778595609">
          <w:marLeft w:val="0"/>
          <w:marRight w:val="0"/>
          <w:marTop w:val="0"/>
          <w:marBottom w:val="0"/>
          <w:divBdr>
            <w:top w:val="none" w:sz="0" w:space="0" w:color="auto"/>
            <w:left w:val="none" w:sz="0" w:space="0" w:color="auto"/>
            <w:bottom w:val="none" w:sz="0" w:space="0" w:color="auto"/>
            <w:right w:val="none" w:sz="0" w:space="0" w:color="auto"/>
          </w:divBdr>
        </w:div>
        <w:div w:id="1032075907">
          <w:marLeft w:val="0"/>
          <w:marRight w:val="0"/>
          <w:marTop w:val="0"/>
          <w:marBottom w:val="0"/>
          <w:divBdr>
            <w:top w:val="none" w:sz="0" w:space="0" w:color="auto"/>
            <w:left w:val="none" w:sz="0" w:space="0" w:color="auto"/>
            <w:bottom w:val="none" w:sz="0" w:space="0" w:color="auto"/>
            <w:right w:val="none" w:sz="0" w:space="0" w:color="auto"/>
          </w:divBdr>
        </w:div>
      </w:divsChild>
    </w:div>
    <w:div w:id="1955942259">
      <w:bodyDiv w:val="1"/>
      <w:marLeft w:val="0"/>
      <w:marRight w:val="0"/>
      <w:marTop w:val="0"/>
      <w:marBottom w:val="0"/>
      <w:divBdr>
        <w:top w:val="none" w:sz="0" w:space="0" w:color="auto"/>
        <w:left w:val="none" w:sz="0" w:space="0" w:color="auto"/>
        <w:bottom w:val="none" w:sz="0" w:space="0" w:color="auto"/>
        <w:right w:val="none" w:sz="0" w:space="0" w:color="auto"/>
      </w:divBdr>
      <w:divsChild>
        <w:div w:id="1473987472">
          <w:marLeft w:val="0"/>
          <w:marRight w:val="0"/>
          <w:marTop w:val="0"/>
          <w:marBottom w:val="0"/>
          <w:divBdr>
            <w:top w:val="none" w:sz="0" w:space="0" w:color="auto"/>
            <w:left w:val="none" w:sz="0" w:space="0" w:color="auto"/>
            <w:bottom w:val="none" w:sz="0" w:space="0" w:color="auto"/>
            <w:right w:val="none" w:sz="0" w:space="0" w:color="auto"/>
          </w:divBdr>
        </w:div>
        <w:div w:id="2030257854">
          <w:marLeft w:val="0"/>
          <w:marRight w:val="0"/>
          <w:marTop w:val="0"/>
          <w:marBottom w:val="0"/>
          <w:divBdr>
            <w:top w:val="none" w:sz="0" w:space="0" w:color="auto"/>
            <w:left w:val="none" w:sz="0" w:space="0" w:color="auto"/>
            <w:bottom w:val="none" w:sz="0" w:space="0" w:color="auto"/>
            <w:right w:val="none" w:sz="0" w:space="0" w:color="auto"/>
          </w:divBdr>
        </w:div>
        <w:div w:id="210700571">
          <w:marLeft w:val="0"/>
          <w:marRight w:val="0"/>
          <w:marTop w:val="0"/>
          <w:marBottom w:val="0"/>
          <w:divBdr>
            <w:top w:val="none" w:sz="0" w:space="0" w:color="auto"/>
            <w:left w:val="none" w:sz="0" w:space="0" w:color="auto"/>
            <w:bottom w:val="none" w:sz="0" w:space="0" w:color="auto"/>
            <w:right w:val="none" w:sz="0" w:space="0" w:color="auto"/>
          </w:divBdr>
        </w:div>
        <w:div w:id="1434396040">
          <w:marLeft w:val="0"/>
          <w:marRight w:val="0"/>
          <w:marTop w:val="0"/>
          <w:marBottom w:val="0"/>
          <w:divBdr>
            <w:top w:val="none" w:sz="0" w:space="0" w:color="auto"/>
            <w:left w:val="none" w:sz="0" w:space="0" w:color="auto"/>
            <w:bottom w:val="none" w:sz="0" w:space="0" w:color="auto"/>
            <w:right w:val="none" w:sz="0" w:space="0" w:color="auto"/>
          </w:divBdr>
        </w:div>
      </w:divsChild>
    </w:div>
    <w:div w:id="2048069589">
      <w:bodyDiv w:val="1"/>
      <w:marLeft w:val="0"/>
      <w:marRight w:val="0"/>
      <w:marTop w:val="0"/>
      <w:marBottom w:val="0"/>
      <w:divBdr>
        <w:top w:val="none" w:sz="0" w:space="0" w:color="auto"/>
        <w:left w:val="none" w:sz="0" w:space="0" w:color="auto"/>
        <w:bottom w:val="none" w:sz="0" w:space="0" w:color="auto"/>
        <w:right w:val="none" w:sz="0" w:space="0" w:color="auto"/>
      </w:divBdr>
      <w:divsChild>
        <w:div w:id="1678189706">
          <w:marLeft w:val="0"/>
          <w:marRight w:val="0"/>
          <w:marTop w:val="0"/>
          <w:marBottom w:val="115"/>
          <w:divBdr>
            <w:top w:val="none" w:sz="0" w:space="0" w:color="auto"/>
            <w:left w:val="none" w:sz="0" w:space="0" w:color="auto"/>
            <w:bottom w:val="none" w:sz="0" w:space="0" w:color="auto"/>
            <w:right w:val="none" w:sz="0" w:space="0" w:color="auto"/>
          </w:divBdr>
        </w:div>
        <w:div w:id="248543437">
          <w:marLeft w:val="0"/>
          <w:marRight w:val="0"/>
          <w:marTop w:val="0"/>
          <w:marBottom w:val="0"/>
          <w:divBdr>
            <w:top w:val="none" w:sz="0" w:space="0" w:color="auto"/>
            <w:left w:val="none" w:sz="0" w:space="0" w:color="auto"/>
            <w:bottom w:val="none" w:sz="0" w:space="0" w:color="auto"/>
            <w:right w:val="none" w:sz="0" w:space="0" w:color="auto"/>
          </w:divBdr>
          <w:divsChild>
            <w:div w:id="1049451850">
              <w:marLeft w:val="0"/>
              <w:marRight w:val="0"/>
              <w:marTop w:val="0"/>
              <w:marBottom w:val="0"/>
              <w:divBdr>
                <w:top w:val="none" w:sz="0" w:space="0" w:color="auto"/>
                <w:left w:val="none" w:sz="0" w:space="0" w:color="auto"/>
                <w:bottom w:val="none" w:sz="0" w:space="0" w:color="auto"/>
                <w:right w:val="none" w:sz="0" w:space="0" w:color="auto"/>
              </w:divBdr>
              <w:divsChild>
                <w:div w:id="14053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3A7D-BBCD-41C3-98BD-94549C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4056</Words>
  <Characters>22311</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Service de l'Informatique de la Polynésie Française</Company>
  <LinksUpToDate>false</LinksUpToDate>
  <CharactersWithSpaces>26315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CONFERENCE DE PRESSE - 28 JUIN 2021</dc:subject>
  <dc:creator>ASSOCIATION 193</dc:creator>
  <cp:keywords/>
  <dc:description/>
  <cp:lastModifiedBy>JUNE BU-LUC</cp:lastModifiedBy>
  <cp:revision>2</cp:revision>
  <cp:lastPrinted>2021-06-28T06:03:00Z</cp:lastPrinted>
  <dcterms:created xsi:type="dcterms:W3CDTF">2021-06-28T21:41:00Z</dcterms:created>
  <dcterms:modified xsi:type="dcterms:W3CDTF">2021-06-28T21:41:00Z</dcterms:modified>
  <cp:category/>
</cp:coreProperties>
</file>