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297694EE"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EF1DB1">
        <w:rPr>
          <w:rFonts w:ascii="Cambria" w:hAnsi="Cambria" w:cs="Arial"/>
          <w:b/>
          <w:i/>
        </w:rPr>
        <w:t>9</w:t>
      </w:r>
      <w:r w:rsidR="007E62B3" w:rsidRPr="00964474">
        <w:rPr>
          <w:rFonts w:ascii="Cambria" w:hAnsi="Cambria" w:cs="Arial"/>
          <w:b/>
          <w:i/>
        </w:rPr>
        <w:t xml:space="preserve"> </w:t>
      </w:r>
      <w:r w:rsidR="00EF1DB1">
        <w:rPr>
          <w:rFonts w:ascii="Cambria" w:hAnsi="Cambria" w:cs="Arial"/>
          <w:b/>
          <w:i/>
        </w:rPr>
        <w:t>juin</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013FEBA0" w14:textId="7B78F9EB" w:rsidR="00E226B8" w:rsidRDefault="00E226B8" w:rsidP="00E226B8">
      <w:pPr>
        <w:pStyle w:val="-LettreTexteGEDA"/>
        <w:spacing w:before="0"/>
        <w:ind w:firstLine="0"/>
        <w:rPr>
          <w:rFonts w:ascii="Cambria" w:hAnsi="Cambria"/>
          <w:b/>
          <w:bCs/>
          <w:noProof w:val="0"/>
          <w:color w:val="FF0000"/>
          <w:szCs w:val="24"/>
        </w:rPr>
      </w:pPr>
    </w:p>
    <w:p w14:paraId="00F91798" w14:textId="124F0CA2" w:rsidR="00373A04" w:rsidRPr="00373A04" w:rsidRDefault="00373A04" w:rsidP="00373A04">
      <w:pPr>
        <w:pStyle w:val="-LettreTexteGEDA"/>
        <w:spacing w:before="0"/>
        <w:ind w:firstLine="0"/>
        <w:rPr>
          <w:rFonts w:ascii="Cambria" w:hAnsi="Cambria"/>
          <w:b/>
          <w:noProof w:val="0"/>
          <w:szCs w:val="24"/>
        </w:rPr>
      </w:pPr>
      <w:r w:rsidRPr="00373A04">
        <w:rPr>
          <w:rFonts w:ascii="Cambria" w:hAnsi="Cambria"/>
          <w:b/>
          <w:noProof w:val="0"/>
          <w:szCs w:val="24"/>
        </w:rPr>
        <w:t xml:space="preserve">Accord-cadre de coopération entre la Polynésie française et l’O.N.G. The Nature </w:t>
      </w:r>
      <w:proofErr w:type="spellStart"/>
      <w:r w:rsidRPr="00373A04">
        <w:rPr>
          <w:rFonts w:ascii="Cambria" w:hAnsi="Cambria"/>
          <w:b/>
          <w:noProof w:val="0"/>
          <w:szCs w:val="24"/>
        </w:rPr>
        <w:t>Conservancy</w:t>
      </w:r>
      <w:proofErr w:type="spellEnd"/>
    </w:p>
    <w:p w14:paraId="6F0AD8C4" w14:textId="77777777" w:rsidR="00373A04" w:rsidRPr="00373A04" w:rsidRDefault="00373A04" w:rsidP="00373A04">
      <w:pPr>
        <w:pStyle w:val="-LettreTexteGEDA"/>
        <w:spacing w:before="0"/>
        <w:ind w:firstLine="0"/>
        <w:rPr>
          <w:rFonts w:ascii="Cambria" w:hAnsi="Cambria"/>
          <w:szCs w:val="24"/>
        </w:rPr>
      </w:pPr>
      <w:r w:rsidRPr="00373A04">
        <w:rPr>
          <w:rFonts w:ascii="Cambria" w:hAnsi="Cambria"/>
          <w:szCs w:val="24"/>
        </w:rPr>
        <w:tab/>
        <w:t xml:space="preserve"> </w:t>
      </w:r>
    </w:p>
    <w:p w14:paraId="0E2ABA0A" w14:textId="77777777" w:rsidR="00373A04" w:rsidRPr="00373A04" w:rsidRDefault="00373A04" w:rsidP="00373A04">
      <w:pPr>
        <w:pStyle w:val="-ConventionPrambuleGEDA"/>
        <w:ind w:firstLine="0"/>
        <w:rPr>
          <w:rFonts w:ascii="Cambria" w:hAnsi="Cambria"/>
          <w:szCs w:val="24"/>
        </w:rPr>
      </w:pPr>
      <w:r w:rsidRPr="00373A04">
        <w:rPr>
          <w:rFonts w:ascii="Cambria" w:hAnsi="Cambria"/>
          <w:szCs w:val="24"/>
        </w:rPr>
        <w:t xml:space="preserve">La Polynésie française possède un environnement marin exceptionnel mais fragile qui fournit des services écosystémiques multiples à sa population. Cet environnement est en effet un socle important de la sécurité alimentaire de ses habitants mais également une source de revenus à travers les différentes activités économiques liées à l’utilisation de ses ressources vivantes et du tourisme mais aussi un élément clé de sa culture. </w:t>
      </w:r>
    </w:p>
    <w:p w14:paraId="182FC0C4" w14:textId="77777777" w:rsidR="00373A04" w:rsidRPr="00373A04" w:rsidRDefault="00373A04" w:rsidP="00373A04">
      <w:pPr>
        <w:pStyle w:val="-ConventionPrambuleGEDA"/>
        <w:rPr>
          <w:rFonts w:ascii="Cambria" w:hAnsi="Cambria"/>
          <w:szCs w:val="24"/>
        </w:rPr>
      </w:pPr>
    </w:p>
    <w:p w14:paraId="7B02DC57" w14:textId="308B2038" w:rsidR="00373A04" w:rsidRPr="00373A04" w:rsidRDefault="00373A04" w:rsidP="00373A04">
      <w:pPr>
        <w:jc w:val="both"/>
        <w:rPr>
          <w:rFonts w:ascii="Cambria" w:hAnsi="Cambria"/>
        </w:rPr>
      </w:pPr>
      <w:r w:rsidRPr="00373A04">
        <w:rPr>
          <w:rFonts w:ascii="Cambria" w:hAnsi="Cambria"/>
        </w:rPr>
        <w:t xml:space="preserve">Afin d’améliorer ses connaissances et de renforcer ses outils d’aide à la décision, la Polynésie française souhaite bénéficier du concours de The Nature </w:t>
      </w:r>
      <w:proofErr w:type="spellStart"/>
      <w:r w:rsidRPr="00373A04">
        <w:rPr>
          <w:rFonts w:ascii="Cambria" w:hAnsi="Cambria"/>
        </w:rPr>
        <w:t>Conservancy</w:t>
      </w:r>
      <w:proofErr w:type="spellEnd"/>
      <w:r w:rsidRPr="00373A04">
        <w:rPr>
          <w:rFonts w:ascii="Cambria" w:hAnsi="Cambria"/>
        </w:rPr>
        <w:t xml:space="preserve">, </w:t>
      </w:r>
      <w:r>
        <w:rPr>
          <w:rFonts w:ascii="Cambria" w:hAnsi="Cambria"/>
        </w:rPr>
        <w:t>une organisation non-gouvernementale (O.N.G)</w:t>
      </w:r>
      <w:r w:rsidRPr="00373A04">
        <w:rPr>
          <w:rFonts w:ascii="Cambria" w:hAnsi="Cambria"/>
        </w:rPr>
        <w:t xml:space="preserve"> américaine, reconnue pour sa compétence en matière de recherche et développement dans le domaine de la </w:t>
      </w:r>
      <w:r>
        <w:rPr>
          <w:rFonts w:ascii="Cambria" w:hAnsi="Cambria"/>
        </w:rPr>
        <w:t>m</w:t>
      </w:r>
      <w:r w:rsidRPr="00373A04">
        <w:rPr>
          <w:rFonts w:ascii="Cambria" w:hAnsi="Cambria"/>
        </w:rPr>
        <w:t>er.</w:t>
      </w:r>
    </w:p>
    <w:p w14:paraId="37CBFE33" w14:textId="77777777" w:rsidR="00373A04" w:rsidRPr="00373A04" w:rsidRDefault="00373A04" w:rsidP="00373A04">
      <w:pPr>
        <w:pStyle w:val="-LettreTexteGEDA"/>
        <w:spacing w:before="0"/>
        <w:rPr>
          <w:rFonts w:ascii="Cambria" w:hAnsi="Cambria"/>
          <w:szCs w:val="24"/>
        </w:rPr>
      </w:pPr>
    </w:p>
    <w:p w14:paraId="27E3C977" w14:textId="473F576C" w:rsidR="00373A04" w:rsidRPr="00373A04" w:rsidRDefault="00373A04" w:rsidP="00373A04">
      <w:pPr>
        <w:pStyle w:val="-LettreTexteGEDA"/>
        <w:spacing w:before="0"/>
        <w:ind w:firstLine="0"/>
        <w:rPr>
          <w:rFonts w:ascii="Cambria" w:hAnsi="Cambria"/>
          <w:noProof w:val="0"/>
          <w:szCs w:val="24"/>
        </w:rPr>
      </w:pPr>
      <w:r w:rsidRPr="00373A04">
        <w:rPr>
          <w:rFonts w:ascii="Cambria" w:hAnsi="Cambria"/>
          <w:szCs w:val="24"/>
        </w:rPr>
        <w:t xml:space="preserve">Le Conseil des </w:t>
      </w:r>
      <w:r>
        <w:rPr>
          <w:rFonts w:ascii="Cambria" w:hAnsi="Cambria"/>
          <w:szCs w:val="24"/>
        </w:rPr>
        <w:t>m</w:t>
      </w:r>
      <w:r w:rsidRPr="00373A04">
        <w:rPr>
          <w:rFonts w:ascii="Cambria" w:hAnsi="Cambria"/>
          <w:szCs w:val="24"/>
        </w:rPr>
        <w:t>inistres a ainsi autorisé la transmission</w:t>
      </w:r>
      <w:r>
        <w:rPr>
          <w:rFonts w:ascii="Cambria" w:hAnsi="Cambria"/>
          <w:szCs w:val="24"/>
        </w:rPr>
        <w:t>,</w:t>
      </w:r>
      <w:r w:rsidRPr="00373A04">
        <w:rPr>
          <w:rFonts w:ascii="Cambria" w:hAnsi="Cambria"/>
          <w:szCs w:val="24"/>
        </w:rPr>
        <w:t xml:space="preserve"> aux fins d’examen par l’Assemblée de la Polynésie française</w:t>
      </w:r>
      <w:r>
        <w:rPr>
          <w:rFonts w:ascii="Cambria" w:hAnsi="Cambria"/>
          <w:szCs w:val="24"/>
        </w:rPr>
        <w:t>,</w:t>
      </w:r>
      <w:r w:rsidRPr="00373A04">
        <w:rPr>
          <w:rFonts w:ascii="Cambria" w:hAnsi="Cambria"/>
          <w:szCs w:val="24"/>
        </w:rPr>
        <w:t xml:space="preserve"> d’un projet de délibération portant habilitation du Président de la Polynésie française à négocier et à signer un accord-cadre de coopération entre la Polynésie française et The Nature Conservancy.</w:t>
      </w:r>
      <w:r w:rsidRPr="00373A04">
        <w:rPr>
          <w:rFonts w:ascii="Cambria" w:hAnsi="Cambria"/>
          <w:noProof w:val="0"/>
          <w:szCs w:val="24"/>
        </w:rPr>
        <w:t xml:space="preserve"> </w:t>
      </w:r>
    </w:p>
    <w:p w14:paraId="1CB904C7" w14:textId="77777777" w:rsidR="00373A04" w:rsidRPr="00E42C99" w:rsidRDefault="00373A04" w:rsidP="00E226B8">
      <w:pPr>
        <w:pStyle w:val="-LettreTexteGEDA"/>
        <w:spacing w:before="0"/>
        <w:ind w:firstLine="0"/>
        <w:rPr>
          <w:rFonts w:ascii="Cambria" w:hAnsi="Cambria"/>
          <w:b/>
          <w:bCs/>
          <w:noProof w:val="0"/>
          <w:color w:val="FF0000"/>
          <w:szCs w:val="24"/>
        </w:rPr>
      </w:pPr>
    </w:p>
    <w:p w14:paraId="04C61F3F" w14:textId="5F8F4E17" w:rsidR="005A5AAB" w:rsidRPr="005A5AAB" w:rsidRDefault="00373A04" w:rsidP="005A5AAB">
      <w:pPr>
        <w:spacing w:before="100" w:beforeAutospacing="1" w:after="100" w:afterAutospacing="1"/>
        <w:jc w:val="both"/>
        <w:rPr>
          <w:rFonts w:ascii="Cambria" w:hAnsi="Cambria"/>
          <w:lang w:eastAsia="fr-FR"/>
        </w:rPr>
      </w:pPr>
      <w:r>
        <w:rPr>
          <w:rFonts w:ascii="Cambria" w:hAnsi="Cambria"/>
          <w:b/>
          <w:bCs/>
          <w:lang w:eastAsia="fr-FR"/>
        </w:rPr>
        <w:t>S</w:t>
      </w:r>
      <w:r w:rsidR="005A5AAB" w:rsidRPr="005A5AAB">
        <w:rPr>
          <w:rFonts w:ascii="Cambria" w:hAnsi="Cambria"/>
          <w:b/>
          <w:bCs/>
          <w:lang w:eastAsia="fr-FR"/>
        </w:rPr>
        <w:t>ubvention d’investissement en faveur du Centre des métiers de la mer de Polynésie française pour financer l’achat de matériels pédagogiques</w:t>
      </w:r>
    </w:p>
    <w:p w14:paraId="3FA969D6" w14:textId="17B3C3EA"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lang w:eastAsia="fr-FR"/>
        </w:rPr>
        <w:t>Le Centre des métiers de la mer de Polynésie française (CMMPF) est un établissement public à caractère administratif dont la mission est la formation professionnelle et le perfectionnement des officiers et marins de commerce, de la pêche</w:t>
      </w:r>
      <w:r w:rsidR="00373A04">
        <w:rPr>
          <w:rFonts w:ascii="Cambria" w:hAnsi="Cambria"/>
          <w:lang w:eastAsia="fr-FR"/>
        </w:rPr>
        <w:t>,</w:t>
      </w:r>
      <w:r w:rsidRPr="005A5AAB">
        <w:rPr>
          <w:rFonts w:ascii="Cambria" w:hAnsi="Cambria"/>
          <w:lang w:eastAsia="fr-FR"/>
        </w:rPr>
        <w:t xml:space="preserve"> et plus généralement de tout marin professionnel.</w:t>
      </w:r>
    </w:p>
    <w:p w14:paraId="614E0830" w14:textId="65B1F2EE"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lang w:eastAsia="fr-FR"/>
        </w:rPr>
        <w:t xml:space="preserve">Le matériel actuellement utilisé au sein des locaux de Motu Uta devenant obsolète et ne répondant plus aux exigences pédagogiques requises pour la délivrance de certains titres et de certains brevets, le Conseil des </w:t>
      </w:r>
      <w:r w:rsidR="00373A04">
        <w:rPr>
          <w:rFonts w:ascii="Cambria" w:hAnsi="Cambria"/>
          <w:lang w:eastAsia="fr-FR"/>
        </w:rPr>
        <w:t>m</w:t>
      </w:r>
      <w:r w:rsidRPr="005A5AAB">
        <w:rPr>
          <w:rFonts w:ascii="Cambria" w:hAnsi="Cambria"/>
          <w:lang w:eastAsia="fr-FR"/>
        </w:rPr>
        <w:t xml:space="preserve">inistres a autorisé l’attribution d’une subvention d’investissement de 180 millions </w:t>
      </w:r>
      <w:proofErr w:type="spellStart"/>
      <w:r w:rsidRPr="005A5AAB">
        <w:rPr>
          <w:rFonts w:ascii="Cambria" w:hAnsi="Cambria"/>
          <w:lang w:eastAsia="fr-FR"/>
        </w:rPr>
        <w:t>Fcfp</w:t>
      </w:r>
      <w:proofErr w:type="spellEnd"/>
      <w:r w:rsidRPr="005A5AAB">
        <w:rPr>
          <w:rFonts w:ascii="Cambria" w:hAnsi="Cambria"/>
          <w:lang w:eastAsia="fr-FR"/>
        </w:rPr>
        <w:t xml:space="preserve"> pour permettre au CMMPF d’acquérir des nouveaux simulateurs passerelles et des simulateurs de navigation, entièrement équipés avec toutes les licences d’exploitation correspondantes.</w:t>
      </w:r>
    </w:p>
    <w:p w14:paraId="264829B6" w14:textId="4F1A96BD" w:rsidR="003C398F" w:rsidRDefault="005A5AAB" w:rsidP="005A5AAB">
      <w:pPr>
        <w:spacing w:before="100" w:beforeAutospacing="1" w:after="100" w:afterAutospacing="1"/>
        <w:jc w:val="both"/>
        <w:rPr>
          <w:rFonts w:ascii="Cambria" w:hAnsi="Cambria"/>
          <w:lang w:eastAsia="fr-FR"/>
        </w:rPr>
      </w:pPr>
      <w:r w:rsidRPr="005A5AAB">
        <w:rPr>
          <w:rFonts w:ascii="Cambria" w:hAnsi="Cambria"/>
          <w:lang w:eastAsia="fr-FR"/>
        </w:rPr>
        <w:lastRenderedPageBreak/>
        <w:t xml:space="preserve">Cet investissement s’inscrit dans le cadre du projet de réhabilitation du CMMPF sur le site de l’ex-IRD à </w:t>
      </w:r>
      <w:proofErr w:type="spellStart"/>
      <w:r w:rsidRPr="005A5AAB">
        <w:rPr>
          <w:rFonts w:ascii="Cambria" w:hAnsi="Cambria"/>
          <w:lang w:eastAsia="fr-FR"/>
        </w:rPr>
        <w:t>Arue</w:t>
      </w:r>
      <w:proofErr w:type="spellEnd"/>
      <w:r w:rsidRPr="005A5AAB">
        <w:rPr>
          <w:rFonts w:ascii="Cambria" w:hAnsi="Cambria"/>
          <w:lang w:eastAsia="fr-FR"/>
        </w:rPr>
        <w:t>, sur une emprise foncière de 6 788 m² acquise par la Polynésie française, après le départ de l’IRD en 2017. Ce projet a pour objectif, d’ici la fin du premier semestre 2022, de permettre au centre d’intégrer des locaux rénovés, adaptés aux contraintes de la formation maritime, avec un potentiel de développement vers un niveau d’intervention plus élevé.</w:t>
      </w:r>
    </w:p>
    <w:p w14:paraId="4A15B31E" w14:textId="77777777" w:rsidR="003C398F" w:rsidRPr="003C398F" w:rsidRDefault="003C398F" w:rsidP="005A5AAB">
      <w:pPr>
        <w:spacing w:before="100" w:beforeAutospacing="1" w:after="100" w:afterAutospacing="1"/>
        <w:jc w:val="both"/>
        <w:rPr>
          <w:rFonts w:ascii="Cambria" w:hAnsi="Cambria"/>
          <w:lang w:eastAsia="fr-FR"/>
        </w:rPr>
      </w:pPr>
    </w:p>
    <w:p w14:paraId="6F13DFCC" w14:textId="3BC24119" w:rsidR="005A5AAB" w:rsidRPr="005A5AAB" w:rsidRDefault="00373A04" w:rsidP="005A5AAB">
      <w:pPr>
        <w:spacing w:before="100" w:beforeAutospacing="1" w:after="100" w:afterAutospacing="1"/>
        <w:jc w:val="both"/>
        <w:rPr>
          <w:rFonts w:ascii="Cambria" w:hAnsi="Cambria"/>
          <w:lang w:eastAsia="fr-FR"/>
        </w:rPr>
      </w:pPr>
      <w:r>
        <w:rPr>
          <w:rFonts w:ascii="Cambria" w:hAnsi="Cambria"/>
          <w:b/>
          <w:bCs/>
          <w:lang w:eastAsia="fr-FR"/>
        </w:rPr>
        <w:t>C</w:t>
      </w:r>
      <w:r w:rsidR="005A5AAB" w:rsidRPr="005A5AAB">
        <w:rPr>
          <w:rFonts w:ascii="Cambria" w:hAnsi="Cambria"/>
          <w:b/>
          <w:bCs/>
          <w:lang w:eastAsia="fr-FR"/>
        </w:rPr>
        <w:t>réation d’un compte d’affectation spéciale dénommé « </w:t>
      </w:r>
      <w:r>
        <w:rPr>
          <w:rFonts w:ascii="Cambria" w:hAnsi="Cambria"/>
          <w:b/>
          <w:bCs/>
          <w:lang w:eastAsia="fr-FR"/>
        </w:rPr>
        <w:t>F</w:t>
      </w:r>
      <w:r w:rsidR="005A5AAB" w:rsidRPr="005A5AAB">
        <w:rPr>
          <w:rFonts w:ascii="Cambria" w:hAnsi="Cambria"/>
          <w:b/>
          <w:bCs/>
          <w:lang w:eastAsia="fr-FR"/>
        </w:rPr>
        <w:t>onds intergénérationnel en faveur de la protection de l’environnement »</w:t>
      </w:r>
    </w:p>
    <w:p w14:paraId="687D9203" w14:textId="47534995"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lang w:eastAsia="fr-FR"/>
        </w:rPr>
        <w:t>Le Conseil des ministres a rendu un avis favorable au projet de délibération portant création d’un compte d’affectation spéciale dénommé « </w:t>
      </w:r>
      <w:r w:rsidR="00373A04">
        <w:rPr>
          <w:rFonts w:ascii="Cambria" w:hAnsi="Cambria"/>
          <w:lang w:eastAsia="fr-FR"/>
        </w:rPr>
        <w:t>F</w:t>
      </w:r>
      <w:r w:rsidRPr="005A5AAB">
        <w:rPr>
          <w:rFonts w:ascii="Cambria" w:hAnsi="Cambria"/>
          <w:lang w:eastAsia="fr-FR"/>
        </w:rPr>
        <w:t>onds intergénérationnel en faveur de la protection de l’environnement », qui sera soumis très prochainement à l’Assemblée de la Polynésie française.</w:t>
      </w:r>
    </w:p>
    <w:p w14:paraId="34B3478E" w14:textId="7CE32E16" w:rsidR="005A5AAB" w:rsidRPr="005A5AAB" w:rsidRDefault="005A5AAB" w:rsidP="00373A04">
      <w:pPr>
        <w:spacing w:before="100" w:beforeAutospacing="1" w:after="100" w:afterAutospacing="1"/>
        <w:jc w:val="both"/>
        <w:rPr>
          <w:rFonts w:ascii="Cambria" w:hAnsi="Cambria"/>
          <w:lang w:eastAsia="fr-FR"/>
        </w:rPr>
      </w:pPr>
      <w:r w:rsidRPr="005A5AAB">
        <w:rPr>
          <w:rFonts w:ascii="Cambria" w:hAnsi="Cambria"/>
          <w:lang w:eastAsia="fr-FR"/>
        </w:rPr>
        <w:t>Ce fonds vise à financer des actions tendant à la protection et à la valorisation des milieux naturels et de la biodiversité,</w:t>
      </w:r>
      <w:r w:rsidR="00373A04">
        <w:rPr>
          <w:rFonts w:ascii="Cambria" w:hAnsi="Cambria"/>
          <w:lang w:eastAsia="fr-FR"/>
        </w:rPr>
        <w:t xml:space="preserve"> </w:t>
      </w:r>
      <w:r w:rsidRPr="005A5AAB">
        <w:rPr>
          <w:rFonts w:ascii="Cambria" w:hAnsi="Cambria"/>
          <w:lang w:eastAsia="fr-FR"/>
        </w:rPr>
        <w:t>des actions tendant à la valorisation des déchets,</w:t>
      </w:r>
      <w:r w:rsidR="00373A04">
        <w:rPr>
          <w:rFonts w:ascii="Cambria" w:hAnsi="Cambria"/>
          <w:lang w:eastAsia="fr-FR"/>
        </w:rPr>
        <w:t xml:space="preserve"> </w:t>
      </w:r>
      <w:r w:rsidRPr="005A5AAB">
        <w:rPr>
          <w:rFonts w:ascii="Cambria" w:hAnsi="Cambria"/>
          <w:lang w:eastAsia="fr-FR"/>
        </w:rPr>
        <w:t>des actions en faveur de la réhabilitation des sites pollués,</w:t>
      </w:r>
      <w:r w:rsidR="00373A04">
        <w:rPr>
          <w:rFonts w:ascii="Cambria" w:hAnsi="Cambria"/>
          <w:lang w:eastAsia="fr-FR"/>
        </w:rPr>
        <w:t xml:space="preserve"> et </w:t>
      </w:r>
      <w:r w:rsidRPr="005A5AAB">
        <w:rPr>
          <w:rFonts w:ascii="Cambria" w:hAnsi="Cambria"/>
          <w:lang w:eastAsia="fr-FR"/>
        </w:rPr>
        <w:t>des actions identifiées au titre de la stratégie ou du plan bas carbone de la Polynésie française.</w:t>
      </w:r>
    </w:p>
    <w:p w14:paraId="67A39828" w14:textId="3ED97CCD" w:rsidR="003C398F" w:rsidRDefault="005A5AAB" w:rsidP="005A5AAB">
      <w:pPr>
        <w:spacing w:before="100" w:beforeAutospacing="1" w:after="100" w:afterAutospacing="1"/>
        <w:jc w:val="both"/>
        <w:rPr>
          <w:rFonts w:ascii="Cambria" w:hAnsi="Cambria"/>
          <w:lang w:eastAsia="fr-FR"/>
        </w:rPr>
      </w:pPr>
      <w:r w:rsidRPr="005A5AAB">
        <w:rPr>
          <w:rFonts w:ascii="Cambria" w:hAnsi="Cambria"/>
          <w:lang w:eastAsia="fr-FR"/>
        </w:rPr>
        <w:t>Ce projet de délibération propose notamment que les ressources du fonds soient constituées par le produit de la taxe sur les extractions minières et les matériaux issus des carrières. Il s’agit en effet de prendre en compte l’impact indéniable de ces activités sur l’environnement et de s’assurer que l’exercice de ces activités puisse participer en parallèle à des actions en faveur de l’environnement.</w:t>
      </w:r>
    </w:p>
    <w:p w14:paraId="3895976B" w14:textId="77777777" w:rsidR="003C398F" w:rsidRPr="003C398F" w:rsidRDefault="003C398F" w:rsidP="005A5AAB">
      <w:pPr>
        <w:spacing w:before="100" w:beforeAutospacing="1" w:after="100" w:afterAutospacing="1"/>
        <w:jc w:val="both"/>
        <w:rPr>
          <w:rFonts w:ascii="Cambria" w:hAnsi="Cambria"/>
          <w:lang w:eastAsia="fr-FR"/>
        </w:rPr>
      </w:pPr>
    </w:p>
    <w:p w14:paraId="1F959134" w14:textId="77777777"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b/>
          <w:bCs/>
          <w:lang w:eastAsia="fr-FR"/>
        </w:rPr>
        <w:t>Mise en œuvre de la règlementation relative aux conditions d’importation et de commercialisation des jouets en Polynésie française</w:t>
      </w:r>
    </w:p>
    <w:p w14:paraId="47F03C00" w14:textId="77777777"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lang w:eastAsia="fr-FR"/>
        </w:rPr>
        <w:t>Dans le cadre du renforcement des conditions de contrôle des importations et de l’amélioration de la sécurité du consommateur, le Conseil des ministres a adopté un arrêté visant à encadrer les conditions d’importation et la commercialisation des jouets.</w:t>
      </w:r>
    </w:p>
    <w:p w14:paraId="663AAA1C" w14:textId="6F218C11"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lang w:eastAsia="fr-FR"/>
        </w:rPr>
        <w:t>Ce nouvel arrêté abroge les dispositions de l’arrêté du 22 décembre 2009 relatif aux normes de sécurité des jouets</w:t>
      </w:r>
      <w:r w:rsidR="00436FB8">
        <w:rPr>
          <w:rFonts w:ascii="Cambria" w:hAnsi="Cambria"/>
          <w:lang w:eastAsia="fr-FR"/>
        </w:rPr>
        <w:t xml:space="preserve">, </w:t>
      </w:r>
      <w:r w:rsidRPr="005A5AAB">
        <w:rPr>
          <w:rFonts w:ascii="Cambria" w:hAnsi="Cambria"/>
          <w:lang w:eastAsia="fr-FR"/>
        </w:rPr>
        <w:t xml:space="preserve">et sa modification par arrêté </w:t>
      </w:r>
      <w:r w:rsidR="00436FB8">
        <w:rPr>
          <w:rFonts w:ascii="Cambria" w:hAnsi="Cambria"/>
          <w:lang w:eastAsia="fr-FR"/>
        </w:rPr>
        <w:t>en date du</w:t>
      </w:r>
      <w:r w:rsidRPr="005A5AAB">
        <w:rPr>
          <w:rFonts w:ascii="Cambria" w:hAnsi="Cambria"/>
          <w:lang w:eastAsia="fr-FR"/>
        </w:rPr>
        <w:t xml:space="preserve"> 21</w:t>
      </w:r>
      <w:r w:rsidR="00436FB8">
        <w:rPr>
          <w:rFonts w:ascii="Cambria" w:hAnsi="Cambria"/>
          <w:lang w:eastAsia="fr-FR"/>
        </w:rPr>
        <w:t xml:space="preserve"> septembre </w:t>
      </w:r>
      <w:r w:rsidRPr="005A5AAB">
        <w:rPr>
          <w:rFonts w:ascii="Cambria" w:hAnsi="Cambria"/>
          <w:lang w:eastAsia="fr-FR"/>
        </w:rPr>
        <w:t>2018.</w:t>
      </w:r>
    </w:p>
    <w:p w14:paraId="739CD367" w14:textId="77777777"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lang w:eastAsia="fr-FR"/>
        </w:rPr>
        <w:t>Il détaille les dispositions relatives à l’étiquetage, à l’importation et à la commercialisation des jouets, et prévoit notamment :</w:t>
      </w:r>
    </w:p>
    <w:p w14:paraId="62671173" w14:textId="77777777" w:rsidR="005A5AAB" w:rsidRPr="005A5AAB" w:rsidRDefault="005A5AAB" w:rsidP="005A5AAB">
      <w:pPr>
        <w:numPr>
          <w:ilvl w:val="0"/>
          <w:numId w:val="27"/>
        </w:numPr>
        <w:spacing w:before="100" w:beforeAutospacing="1" w:after="100" w:afterAutospacing="1"/>
        <w:jc w:val="both"/>
        <w:rPr>
          <w:rFonts w:ascii="Cambria" w:hAnsi="Cambria"/>
          <w:lang w:eastAsia="fr-FR"/>
        </w:rPr>
      </w:pPr>
      <w:proofErr w:type="gramStart"/>
      <w:r w:rsidRPr="005A5AAB">
        <w:rPr>
          <w:rFonts w:ascii="Cambria" w:hAnsi="Cambria"/>
          <w:lang w:eastAsia="fr-FR"/>
        </w:rPr>
        <w:t>des</w:t>
      </w:r>
      <w:proofErr w:type="gramEnd"/>
      <w:r w:rsidRPr="005A5AAB">
        <w:rPr>
          <w:rFonts w:ascii="Cambria" w:hAnsi="Cambria"/>
          <w:lang w:eastAsia="fr-FR"/>
        </w:rPr>
        <w:t xml:space="preserve"> mentions d’étiquetages claires et détaillées présentes sur le produit ;</w:t>
      </w:r>
    </w:p>
    <w:p w14:paraId="27154C82" w14:textId="77777777" w:rsidR="005A5AAB" w:rsidRPr="005A5AAB" w:rsidRDefault="005A5AAB" w:rsidP="005A5AAB">
      <w:pPr>
        <w:numPr>
          <w:ilvl w:val="0"/>
          <w:numId w:val="27"/>
        </w:numPr>
        <w:spacing w:before="100" w:beforeAutospacing="1" w:after="100" w:afterAutospacing="1"/>
        <w:jc w:val="both"/>
        <w:rPr>
          <w:rFonts w:ascii="Cambria" w:hAnsi="Cambria"/>
          <w:lang w:eastAsia="fr-FR"/>
        </w:rPr>
      </w:pPr>
      <w:proofErr w:type="gramStart"/>
      <w:r w:rsidRPr="005A5AAB">
        <w:rPr>
          <w:rFonts w:ascii="Cambria" w:hAnsi="Cambria"/>
          <w:lang w:eastAsia="fr-FR"/>
        </w:rPr>
        <w:t>des</w:t>
      </w:r>
      <w:proofErr w:type="gramEnd"/>
      <w:r w:rsidRPr="005A5AAB">
        <w:rPr>
          <w:rFonts w:ascii="Cambria" w:hAnsi="Cambria"/>
          <w:lang w:eastAsia="fr-FR"/>
        </w:rPr>
        <w:t xml:space="preserve"> doses maximales de produits chimiques et substances allergisantes dans les jouets ;</w:t>
      </w:r>
    </w:p>
    <w:p w14:paraId="7724E7FF" w14:textId="77777777" w:rsidR="005A5AAB" w:rsidRPr="005A5AAB" w:rsidRDefault="005A5AAB" w:rsidP="005A5AAB">
      <w:pPr>
        <w:numPr>
          <w:ilvl w:val="0"/>
          <w:numId w:val="27"/>
        </w:numPr>
        <w:spacing w:before="100" w:beforeAutospacing="1" w:after="100" w:afterAutospacing="1"/>
        <w:jc w:val="both"/>
        <w:rPr>
          <w:rFonts w:ascii="Cambria" w:hAnsi="Cambria"/>
          <w:lang w:eastAsia="fr-FR"/>
        </w:rPr>
      </w:pPr>
      <w:proofErr w:type="gramStart"/>
      <w:r w:rsidRPr="005A5AAB">
        <w:rPr>
          <w:rFonts w:ascii="Cambria" w:hAnsi="Cambria"/>
          <w:lang w:eastAsia="fr-FR"/>
        </w:rPr>
        <w:t>une</w:t>
      </w:r>
      <w:proofErr w:type="gramEnd"/>
      <w:r w:rsidRPr="005A5AAB">
        <w:rPr>
          <w:rFonts w:ascii="Cambria" w:hAnsi="Cambria"/>
          <w:lang w:eastAsia="fr-FR"/>
        </w:rPr>
        <w:t xml:space="preserve"> liste complète des produits considérés comme n’appartenant pas à la définition d’un jouet ;</w:t>
      </w:r>
    </w:p>
    <w:p w14:paraId="5DE51A7F" w14:textId="77777777" w:rsidR="005A5AAB" w:rsidRPr="005A5AAB" w:rsidRDefault="005A5AAB" w:rsidP="005A5AAB">
      <w:pPr>
        <w:numPr>
          <w:ilvl w:val="0"/>
          <w:numId w:val="27"/>
        </w:numPr>
        <w:spacing w:before="100" w:beforeAutospacing="1" w:after="100" w:afterAutospacing="1"/>
        <w:jc w:val="both"/>
        <w:rPr>
          <w:rFonts w:ascii="Cambria" w:hAnsi="Cambria"/>
          <w:lang w:eastAsia="fr-FR"/>
        </w:rPr>
      </w:pPr>
      <w:proofErr w:type="gramStart"/>
      <w:r w:rsidRPr="005A5AAB">
        <w:rPr>
          <w:rFonts w:ascii="Cambria" w:hAnsi="Cambria"/>
          <w:lang w:eastAsia="fr-FR"/>
        </w:rPr>
        <w:lastRenderedPageBreak/>
        <w:t>le</w:t>
      </w:r>
      <w:proofErr w:type="gramEnd"/>
      <w:r w:rsidRPr="005A5AAB">
        <w:rPr>
          <w:rFonts w:ascii="Cambria" w:hAnsi="Cambria"/>
          <w:lang w:eastAsia="fr-FR"/>
        </w:rPr>
        <w:t xml:space="preserve"> détail de tous les référentiels de qualité relatifs aux jouets reconnus en Polynésie française comme apportant une présomption de conformité aux exigences essentielles de sécurité.</w:t>
      </w:r>
    </w:p>
    <w:p w14:paraId="515B92D1" w14:textId="1DE2A2B9"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lang w:eastAsia="fr-FR"/>
        </w:rPr>
        <w:t xml:space="preserve">De plus, cet arrêté précise pour l’importateur et le fabricant les exigences auxquelles le jouet doit </w:t>
      </w:r>
      <w:proofErr w:type="gramStart"/>
      <w:r w:rsidRPr="005A5AAB">
        <w:rPr>
          <w:rFonts w:ascii="Cambria" w:hAnsi="Cambria"/>
          <w:lang w:eastAsia="fr-FR"/>
        </w:rPr>
        <w:t>répondre:</w:t>
      </w:r>
      <w:proofErr w:type="gramEnd"/>
      <w:r w:rsidR="00436FB8">
        <w:rPr>
          <w:rFonts w:ascii="Cambria" w:hAnsi="Cambria"/>
          <w:lang w:eastAsia="fr-FR"/>
        </w:rPr>
        <w:t xml:space="preserve"> </w:t>
      </w:r>
      <w:r w:rsidRPr="005A5AAB">
        <w:rPr>
          <w:rFonts w:ascii="Cambria" w:hAnsi="Cambria"/>
          <w:lang w:eastAsia="fr-FR"/>
        </w:rPr>
        <w:t>soit les exigences essentielles de sécurité (EES)</w:t>
      </w:r>
      <w:r w:rsidR="00436FB8">
        <w:rPr>
          <w:rFonts w:ascii="Cambria" w:hAnsi="Cambria"/>
          <w:lang w:eastAsia="fr-FR"/>
        </w:rPr>
        <w:t xml:space="preserve">, </w:t>
      </w:r>
      <w:r w:rsidRPr="005A5AAB">
        <w:rPr>
          <w:rFonts w:ascii="Cambria" w:hAnsi="Cambria"/>
          <w:lang w:eastAsia="fr-FR"/>
        </w:rPr>
        <w:t>soit l’un des référentiels visés à l'annexe 4 de l’arrêté (Normes AFNOR par exemple).</w:t>
      </w:r>
    </w:p>
    <w:p w14:paraId="4590DBBF" w14:textId="77777777" w:rsidR="003C398F" w:rsidRDefault="003C398F" w:rsidP="005A5AAB">
      <w:pPr>
        <w:spacing w:before="100" w:beforeAutospacing="1" w:after="100" w:afterAutospacing="1"/>
        <w:jc w:val="both"/>
        <w:rPr>
          <w:rFonts w:ascii="Cambria" w:hAnsi="Cambria"/>
          <w:lang w:eastAsia="fr-FR"/>
        </w:rPr>
      </w:pPr>
    </w:p>
    <w:p w14:paraId="201A1B26" w14:textId="5DDEC0A1" w:rsidR="00436FB8" w:rsidRPr="00436FB8" w:rsidRDefault="00436FB8" w:rsidP="005A5AAB">
      <w:pPr>
        <w:spacing w:before="100" w:beforeAutospacing="1" w:after="100" w:afterAutospacing="1"/>
        <w:jc w:val="both"/>
        <w:rPr>
          <w:rFonts w:ascii="Cambria" w:hAnsi="Cambria"/>
          <w:b/>
          <w:bCs/>
          <w:lang w:eastAsia="fr-FR"/>
        </w:rPr>
      </w:pPr>
      <w:r w:rsidRPr="00436FB8">
        <w:rPr>
          <w:rFonts w:ascii="Cambria" w:hAnsi="Cambria"/>
          <w:b/>
          <w:bCs/>
          <w:lang w:eastAsia="fr-FR"/>
        </w:rPr>
        <w:t>Projet de loi du Pays modifiant le Code de l’énergie</w:t>
      </w:r>
    </w:p>
    <w:p w14:paraId="51539DCB" w14:textId="57323D9E" w:rsidR="00373A04" w:rsidRPr="00436FB8" w:rsidRDefault="00436FB8" w:rsidP="00373A04">
      <w:pPr>
        <w:pStyle w:val="-LettreTexteGEDA"/>
        <w:ind w:firstLine="0"/>
        <w:rPr>
          <w:rFonts w:ascii="Cambria" w:hAnsi="Cambria"/>
          <w:szCs w:val="24"/>
        </w:rPr>
      </w:pPr>
      <w:r w:rsidRPr="00436FB8">
        <w:rPr>
          <w:rFonts w:ascii="Cambria" w:hAnsi="Cambria" w:cs="Calibri"/>
          <w:lang w:eastAsia="en-US"/>
        </w:rPr>
        <w:t xml:space="preserve">Un </w:t>
      </w:r>
      <w:r w:rsidR="00373A04" w:rsidRPr="00436FB8">
        <w:rPr>
          <w:rFonts w:ascii="Cambria" w:hAnsi="Cambria"/>
        </w:rPr>
        <w:t xml:space="preserve">projet de loi du </w:t>
      </w:r>
      <w:r w:rsidRPr="00436FB8">
        <w:rPr>
          <w:rFonts w:ascii="Cambria" w:hAnsi="Cambria"/>
        </w:rPr>
        <w:t>P</w:t>
      </w:r>
      <w:r w:rsidR="00373A04" w:rsidRPr="00436FB8">
        <w:rPr>
          <w:rFonts w:ascii="Cambria" w:hAnsi="Cambria"/>
        </w:rPr>
        <w:t>ays modifi</w:t>
      </w:r>
      <w:r w:rsidRPr="00436FB8">
        <w:rPr>
          <w:rFonts w:ascii="Cambria" w:hAnsi="Cambria"/>
        </w:rPr>
        <w:t>ant</w:t>
      </w:r>
      <w:r w:rsidR="00373A04" w:rsidRPr="00436FB8">
        <w:rPr>
          <w:rFonts w:ascii="Cambria" w:hAnsi="Cambria"/>
        </w:rPr>
        <w:t xml:space="preserve"> le code de l’énergie de la Polynésie française</w:t>
      </w:r>
      <w:r w:rsidRPr="00436FB8">
        <w:rPr>
          <w:rFonts w:ascii="Cambria" w:hAnsi="Cambria"/>
        </w:rPr>
        <w:t xml:space="preserve"> a été présenté en Conseil des ministres</w:t>
      </w:r>
      <w:r w:rsidR="00373A04" w:rsidRPr="00436FB8">
        <w:rPr>
          <w:rFonts w:ascii="Cambria" w:hAnsi="Cambria"/>
        </w:rPr>
        <w:t>. Il tient compte de l’évolution des orientations retenues dans le secteur des énergies postérieurement à l’adoption des titres I et II en 2019, notamment en ce qui concerne les appels à projets et l’obligation d’achat. Il permet ainsi de sécuriser les futurs travaux en matière de transition énergétique.</w:t>
      </w:r>
    </w:p>
    <w:p w14:paraId="7279413E" w14:textId="77777777" w:rsidR="00373A04" w:rsidRPr="005A5AAB" w:rsidRDefault="00373A04" w:rsidP="005A5AAB">
      <w:pPr>
        <w:spacing w:before="100" w:beforeAutospacing="1" w:after="100" w:afterAutospacing="1"/>
        <w:jc w:val="both"/>
        <w:rPr>
          <w:rFonts w:ascii="Cambria" w:hAnsi="Cambria"/>
          <w:lang w:eastAsia="fr-FR"/>
        </w:rPr>
      </w:pPr>
    </w:p>
    <w:p w14:paraId="75F64774" w14:textId="77777777"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b/>
          <w:bCs/>
          <w:lang w:eastAsia="fr-FR"/>
        </w:rPr>
        <w:t>Subvention de fonctionnement à l’ADIE</w:t>
      </w:r>
    </w:p>
    <w:p w14:paraId="042023E8" w14:textId="76ED3BD0"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lang w:eastAsia="fr-FR"/>
        </w:rPr>
        <w:t xml:space="preserve">Le Conseil des ministres a approuvé l’attribution d’une subvention de 35 millions </w:t>
      </w:r>
      <w:proofErr w:type="spellStart"/>
      <w:r w:rsidRPr="005A5AAB">
        <w:rPr>
          <w:rFonts w:ascii="Cambria" w:hAnsi="Cambria"/>
          <w:lang w:eastAsia="fr-FR"/>
        </w:rPr>
        <w:t>Fcfp</w:t>
      </w:r>
      <w:proofErr w:type="spellEnd"/>
      <w:r w:rsidRPr="005A5AAB">
        <w:rPr>
          <w:rFonts w:ascii="Cambria" w:hAnsi="Cambria"/>
          <w:lang w:eastAsia="fr-FR"/>
        </w:rPr>
        <w:t xml:space="preserve"> à l’ADIE pour contribuer au fonctionnement de l’association en 2021.</w:t>
      </w:r>
    </w:p>
    <w:p w14:paraId="600E2B02" w14:textId="061C9779"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lang w:eastAsia="fr-FR"/>
        </w:rPr>
        <w:t>L’ADIE (Association pour le Droit à l’Initiative Economique) est présente depuis 2009 en Polynésie française où elle compte onze antennes, 30 permanences et une direction régionale. L’engagement, la participation active et le soutien de ses partenaires lui ont déjà permis d’aider plus de six mille personnes à créer leur entreprise. L’ADIE donne sa chance à toute personne ayant un projet et la motivation de le réaliser, même sans argent, même sans diplôme, même sans relations, par le biais du microcrédit accompagné.</w:t>
      </w:r>
    </w:p>
    <w:p w14:paraId="1A94E09E" w14:textId="305AF7E9"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lang w:eastAsia="fr-FR"/>
        </w:rPr>
        <w:t>En 2020, l’ADIE a financé et accompagné 1 376 personnes dans les archipels éloignés dont 643 personnes issues du RSPF</w:t>
      </w:r>
      <w:r w:rsidR="00436FB8">
        <w:rPr>
          <w:rFonts w:ascii="Cambria" w:hAnsi="Cambria"/>
          <w:lang w:eastAsia="fr-FR"/>
        </w:rPr>
        <w:t xml:space="preserve"> (régime de solidarité de la Polynésie française)</w:t>
      </w:r>
      <w:r w:rsidRPr="005A5AAB">
        <w:rPr>
          <w:rFonts w:ascii="Cambria" w:hAnsi="Cambria"/>
          <w:lang w:eastAsia="fr-FR"/>
        </w:rPr>
        <w:t xml:space="preserve">. Ce qui représente près de 750 millions </w:t>
      </w:r>
      <w:proofErr w:type="spellStart"/>
      <w:r w:rsidRPr="005A5AAB">
        <w:rPr>
          <w:rFonts w:ascii="Cambria" w:hAnsi="Cambria"/>
          <w:lang w:eastAsia="fr-FR"/>
        </w:rPr>
        <w:t>Fcfp</w:t>
      </w:r>
      <w:proofErr w:type="spellEnd"/>
      <w:r w:rsidRPr="005A5AAB">
        <w:rPr>
          <w:rFonts w:ascii="Cambria" w:hAnsi="Cambria"/>
          <w:lang w:eastAsia="fr-FR"/>
        </w:rPr>
        <w:t xml:space="preserve"> injectés dans l’économie de ces archipels. Globalement</w:t>
      </w:r>
      <w:r w:rsidR="00436FB8">
        <w:rPr>
          <w:rFonts w:ascii="Cambria" w:hAnsi="Cambria"/>
          <w:lang w:eastAsia="fr-FR"/>
        </w:rPr>
        <w:t>,</w:t>
      </w:r>
      <w:r w:rsidRPr="005A5AAB">
        <w:rPr>
          <w:rFonts w:ascii="Cambria" w:hAnsi="Cambria"/>
          <w:lang w:eastAsia="fr-FR"/>
        </w:rPr>
        <w:t xml:space="preserve"> en Polynésie française</w:t>
      </w:r>
      <w:r w:rsidR="00436FB8">
        <w:rPr>
          <w:rFonts w:ascii="Cambria" w:hAnsi="Cambria"/>
          <w:lang w:eastAsia="fr-FR"/>
        </w:rPr>
        <w:t>,</w:t>
      </w:r>
      <w:r w:rsidRPr="005A5AAB">
        <w:rPr>
          <w:rFonts w:ascii="Cambria" w:hAnsi="Cambria"/>
          <w:lang w:eastAsia="fr-FR"/>
        </w:rPr>
        <w:t xml:space="preserve"> ce sont 1 739 entrepreneurs financés pour un montant de 950 millions </w:t>
      </w:r>
      <w:proofErr w:type="spellStart"/>
      <w:r w:rsidRPr="005A5AAB">
        <w:rPr>
          <w:rFonts w:ascii="Cambria" w:hAnsi="Cambria"/>
          <w:lang w:eastAsia="fr-FR"/>
        </w:rPr>
        <w:t>Fcfp</w:t>
      </w:r>
      <w:proofErr w:type="spellEnd"/>
      <w:r w:rsidR="00436FB8">
        <w:rPr>
          <w:rFonts w:ascii="Cambria" w:hAnsi="Cambria"/>
          <w:lang w:eastAsia="fr-FR"/>
        </w:rPr>
        <w:t>,</w:t>
      </w:r>
      <w:r w:rsidRPr="005A5AAB">
        <w:rPr>
          <w:rFonts w:ascii="Cambria" w:hAnsi="Cambria"/>
          <w:lang w:eastAsia="fr-FR"/>
        </w:rPr>
        <w:t xml:space="preserve"> soit </w:t>
      </w:r>
      <w:r w:rsidR="00436FB8">
        <w:rPr>
          <w:rFonts w:ascii="Cambria" w:hAnsi="Cambria"/>
          <w:lang w:eastAsia="fr-FR"/>
        </w:rPr>
        <w:t xml:space="preserve">une hausse de </w:t>
      </w:r>
      <w:r w:rsidRPr="005A5AAB">
        <w:rPr>
          <w:rFonts w:ascii="Cambria" w:hAnsi="Cambria"/>
          <w:lang w:eastAsia="fr-FR"/>
        </w:rPr>
        <w:t>11% par rapport à 2019.</w:t>
      </w:r>
    </w:p>
    <w:p w14:paraId="5C79CEA9" w14:textId="06CE754D"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lang w:eastAsia="fr-FR"/>
        </w:rPr>
        <w:t xml:space="preserve">Le projet 2021 de l’ADIE est de poursuivre le développement engagé en 2020, </w:t>
      </w:r>
      <w:r w:rsidR="00436FB8">
        <w:rPr>
          <w:rFonts w:ascii="Cambria" w:hAnsi="Cambria"/>
          <w:lang w:eastAsia="fr-FR"/>
        </w:rPr>
        <w:t xml:space="preserve">de </w:t>
      </w:r>
      <w:r w:rsidRPr="005A5AAB">
        <w:rPr>
          <w:rFonts w:ascii="Cambria" w:hAnsi="Cambria"/>
          <w:lang w:eastAsia="fr-FR"/>
        </w:rPr>
        <w:t xml:space="preserve">sécuriser les emplois créés et </w:t>
      </w:r>
      <w:r w:rsidR="00436FB8">
        <w:rPr>
          <w:rFonts w:ascii="Cambria" w:hAnsi="Cambria"/>
          <w:lang w:eastAsia="fr-FR"/>
        </w:rPr>
        <w:t xml:space="preserve">de </w:t>
      </w:r>
      <w:r w:rsidRPr="005A5AAB">
        <w:rPr>
          <w:rFonts w:ascii="Cambria" w:hAnsi="Cambria"/>
          <w:lang w:eastAsia="fr-FR"/>
        </w:rPr>
        <w:t>répondre aux attentes des familles qui ont perdu leur travail et qui se tourne</w:t>
      </w:r>
      <w:r w:rsidR="00436FB8">
        <w:rPr>
          <w:rFonts w:ascii="Cambria" w:hAnsi="Cambria"/>
          <w:lang w:eastAsia="fr-FR"/>
        </w:rPr>
        <w:t xml:space="preserve">nt </w:t>
      </w:r>
      <w:r w:rsidRPr="005A5AAB">
        <w:rPr>
          <w:rFonts w:ascii="Cambria" w:hAnsi="Cambria"/>
          <w:lang w:eastAsia="fr-FR"/>
        </w:rPr>
        <w:t>vers l’entrepreneuriat pour subvenir à leurs besoins.</w:t>
      </w:r>
    </w:p>
    <w:p w14:paraId="7CDA82E2" w14:textId="77777777" w:rsidR="00436FB8" w:rsidRDefault="00436FB8" w:rsidP="005A5AAB">
      <w:pPr>
        <w:spacing w:before="100" w:beforeAutospacing="1" w:after="100" w:afterAutospacing="1"/>
        <w:jc w:val="both"/>
        <w:rPr>
          <w:rFonts w:ascii="Cambria" w:hAnsi="Cambria"/>
          <w:lang w:eastAsia="fr-FR"/>
        </w:rPr>
      </w:pPr>
    </w:p>
    <w:p w14:paraId="5E8E78A1" w14:textId="1CAB653D"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b/>
          <w:bCs/>
          <w:lang w:eastAsia="fr-FR"/>
        </w:rPr>
        <w:t xml:space="preserve">Indice des </w:t>
      </w:r>
      <w:proofErr w:type="gramStart"/>
      <w:r w:rsidRPr="005A5AAB">
        <w:rPr>
          <w:rFonts w:ascii="Cambria" w:hAnsi="Cambria"/>
          <w:b/>
          <w:bCs/>
          <w:lang w:eastAsia="fr-FR"/>
        </w:rPr>
        <w:t>prix:</w:t>
      </w:r>
      <w:proofErr w:type="gramEnd"/>
      <w:r w:rsidRPr="005A5AAB">
        <w:rPr>
          <w:rFonts w:ascii="Cambria" w:hAnsi="Cambria"/>
          <w:b/>
          <w:bCs/>
          <w:lang w:eastAsia="fr-FR"/>
        </w:rPr>
        <w:t xml:space="preserve"> baisse de 0,2% au mois de mai </w:t>
      </w:r>
    </w:p>
    <w:p w14:paraId="1AB6A549" w14:textId="77777777"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lang w:eastAsia="fr-FR"/>
        </w:rPr>
        <w:t>En mai, l'indice des prix à la consommation baisse de 0,2 % et s'établit à 99,16, essentiellement en raison de la baisse des prix de 1,1 % dans la division Transports. Sur douze mois, l'indice général des prix à la consommation baisse de 0,2 %.</w:t>
      </w:r>
    </w:p>
    <w:p w14:paraId="65781B2A" w14:textId="48A5AE2F"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lang w:eastAsia="fr-FR"/>
        </w:rPr>
        <w:lastRenderedPageBreak/>
        <w:t>L’indice ouvrier baisse de 0,1 % en mai 2021 et diminue de 0,3 % en glissement sur douze mois.</w:t>
      </w:r>
      <w:r w:rsidR="00436FB8">
        <w:rPr>
          <w:rFonts w:ascii="Cambria" w:hAnsi="Cambria"/>
          <w:lang w:eastAsia="fr-FR"/>
        </w:rPr>
        <w:t xml:space="preserve"> </w:t>
      </w:r>
      <w:r w:rsidRPr="005A5AAB">
        <w:rPr>
          <w:rFonts w:ascii="Cambria" w:hAnsi="Cambria"/>
          <w:lang w:eastAsia="fr-FR"/>
        </w:rPr>
        <w:t>L'indice général hors Transport aérien international est en baisse de 0,1 % en mai 2021 et diminue de 0,2 % en glissement sur douze mois.</w:t>
      </w:r>
    </w:p>
    <w:p w14:paraId="4BB6FAB1" w14:textId="77777777"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lang w:eastAsia="fr-FR"/>
        </w:rPr>
        <w:t>Toujours pour le mois de mai, l'index du Bâtiment et des Travaux Publics (BTP) est stable et s'établit à 111,95. La hausse des prix de 0,3 % des matériaux végétaux et de 0,8 % des matériaux métalliques compense la baisse des prix de 0,2 % des matériaux chimiques, de 0,3 % des matériaux minéraux et de 0,1 % des services. Sur douze mois, l'index général du Bâtiment et Travaux publics augmente de 2,4 %.</w:t>
      </w:r>
    </w:p>
    <w:p w14:paraId="5E8C0FE1" w14:textId="712ADF3E"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lang w:eastAsia="fr-FR"/>
        </w:rPr>
        <w:t>Dans le Bâtiment, l'index du Gros Œuvre et celui du Second Œuvre augmente</w:t>
      </w:r>
      <w:r w:rsidR="0038799A">
        <w:rPr>
          <w:rFonts w:ascii="Cambria" w:hAnsi="Cambria"/>
          <w:lang w:eastAsia="fr-FR"/>
        </w:rPr>
        <w:t>nt</w:t>
      </w:r>
      <w:r w:rsidRPr="005A5AAB">
        <w:rPr>
          <w:rFonts w:ascii="Cambria" w:hAnsi="Cambria"/>
          <w:lang w:eastAsia="fr-FR"/>
        </w:rPr>
        <w:t xml:space="preserve"> de 0,1 %. Sur douze mois, l'index général du Bâtiment est en hausse de 1,0 %.</w:t>
      </w:r>
      <w:r w:rsidR="0038799A">
        <w:rPr>
          <w:rFonts w:ascii="Cambria" w:hAnsi="Cambria"/>
          <w:lang w:eastAsia="fr-FR"/>
        </w:rPr>
        <w:t xml:space="preserve"> </w:t>
      </w:r>
      <w:r w:rsidRPr="005A5AAB">
        <w:rPr>
          <w:rFonts w:ascii="Cambria" w:hAnsi="Cambria"/>
          <w:lang w:eastAsia="fr-FR"/>
        </w:rPr>
        <w:t>Dans les Travaux Publics, l'index du Génie Civil baisse de 0,1 % et celui des Travaux spécialisés reste stable. Sur douze mois, l'index général des Travaux Publics est en hausse de 4,1 %.</w:t>
      </w:r>
    </w:p>
    <w:p w14:paraId="3E4A19EF" w14:textId="77777777" w:rsidR="005A5AAB" w:rsidRPr="005A5AAB" w:rsidRDefault="005A5AAB" w:rsidP="005A5AAB">
      <w:pPr>
        <w:spacing w:before="100" w:beforeAutospacing="1" w:after="100" w:afterAutospacing="1"/>
        <w:jc w:val="both"/>
        <w:rPr>
          <w:rFonts w:ascii="Cambria" w:hAnsi="Cambria"/>
          <w:lang w:eastAsia="fr-FR"/>
        </w:rPr>
      </w:pPr>
      <w:r w:rsidRPr="005A5AAB">
        <w:rPr>
          <w:rFonts w:ascii="Cambria" w:hAnsi="Cambria"/>
          <w:lang w:eastAsia="fr-FR"/>
        </w:rPr>
        <w:t>En mai également, les index hybrides prennent les valeurs suivantes (base 100 en décembre 2010) :</w:t>
      </w:r>
    </w:p>
    <w:p w14:paraId="701B1117" w14:textId="77777777" w:rsidR="00661801" w:rsidRDefault="00661801" w:rsidP="00661801">
      <w:pPr>
        <w:rPr>
          <w:rFonts w:ascii="Cambria" w:hAnsi="Cambria"/>
        </w:rPr>
      </w:pPr>
    </w:p>
    <w:tbl>
      <w:tblPr>
        <w:tblW w:w="9634" w:type="dxa"/>
        <w:tblInd w:w="75" w:type="dxa"/>
        <w:tblCellMar>
          <w:left w:w="0" w:type="dxa"/>
          <w:right w:w="0" w:type="dxa"/>
        </w:tblCellMar>
        <w:tblLook w:val="04A0" w:firstRow="1" w:lastRow="0" w:firstColumn="1" w:lastColumn="0" w:noHBand="0" w:noVBand="1"/>
      </w:tblPr>
      <w:tblGrid>
        <w:gridCol w:w="5665"/>
        <w:gridCol w:w="1276"/>
        <w:gridCol w:w="1309"/>
        <w:gridCol w:w="1384"/>
      </w:tblGrid>
      <w:tr w:rsidR="00661801" w14:paraId="30C7DC46" w14:textId="77777777" w:rsidTr="00661801">
        <w:trPr>
          <w:trHeight w:val="315"/>
        </w:trPr>
        <w:tc>
          <w:tcPr>
            <w:tcW w:w="5665" w:type="dxa"/>
            <w:vMerge w:val="restart"/>
            <w:tcBorders>
              <w:top w:val="dotted" w:sz="8" w:space="0" w:color="auto"/>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596BA22E" w14:textId="77777777" w:rsidR="00661801" w:rsidRDefault="00661801">
            <w:pPr>
              <w:rPr>
                <w:rFonts w:ascii="Cambria" w:hAnsi="Cambria"/>
                <w:b/>
                <w:bCs/>
              </w:rPr>
            </w:pPr>
            <w:r>
              <w:rPr>
                <w:rFonts w:ascii="Cambria" w:hAnsi="Cambria"/>
                <w:b/>
                <w:bCs/>
              </w:rPr>
              <w:t>Index</w:t>
            </w:r>
          </w:p>
        </w:tc>
        <w:tc>
          <w:tcPr>
            <w:tcW w:w="1276" w:type="dxa"/>
            <w:vMerge w:val="restart"/>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14:paraId="11399E3F" w14:textId="77777777" w:rsidR="00661801" w:rsidRDefault="00661801">
            <w:pPr>
              <w:rPr>
                <w:rFonts w:ascii="Cambria" w:hAnsi="Cambria"/>
                <w:b/>
                <w:bCs/>
              </w:rPr>
            </w:pPr>
            <w:r>
              <w:rPr>
                <w:rFonts w:ascii="Cambria" w:hAnsi="Cambria"/>
                <w:b/>
                <w:bCs/>
              </w:rPr>
              <w:t>Valeur</w:t>
            </w:r>
          </w:p>
        </w:tc>
        <w:tc>
          <w:tcPr>
            <w:tcW w:w="2693" w:type="dxa"/>
            <w:gridSpan w:val="2"/>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14:paraId="6A78A110" w14:textId="77777777" w:rsidR="00661801" w:rsidRDefault="00661801">
            <w:pPr>
              <w:rPr>
                <w:rFonts w:ascii="Cambria" w:hAnsi="Cambria"/>
                <w:b/>
                <w:bCs/>
              </w:rPr>
            </w:pPr>
            <w:r>
              <w:rPr>
                <w:rFonts w:ascii="Cambria" w:hAnsi="Cambria"/>
                <w:b/>
                <w:bCs/>
              </w:rPr>
              <w:t>Variations en %</w:t>
            </w:r>
          </w:p>
        </w:tc>
      </w:tr>
      <w:tr w:rsidR="00661801" w14:paraId="1C2AF405" w14:textId="77777777" w:rsidTr="00661801">
        <w:trPr>
          <w:trHeight w:val="315"/>
        </w:trPr>
        <w:tc>
          <w:tcPr>
            <w:tcW w:w="0" w:type="auto"/>
            <w:vMerge/>
            <w:tcBorders>
              <w:top w:val="dotted" w:sz="8" w:space="0" w:color="auto"/>
              <w:left w:val="dotted" w:sz="8" w:space="0" w:color="auto"/>
              <w:bottom w:val="dotted" w:sz="8" w:space="0" w:color="auto"/>
              <w:right w:val="dotted" w:sz="8" w:space="0" w:color="auto"/>
            </w:tcBorders>
            <w:vAlign w:val="center"/>
            <w:hideMark/>
          </w:tcPr>
          <w:p w14:paraId="7E5A2DC3" w14:textId="77777777" w:rsidR="00661801" w:rsidRDefault="00661801">
            <w:pPr>
              <w:rPr>
                <w:rFonts w:ascii="Cambria" w:eastAsiaTheme="minorHAnsi" w:hAnsi="Cambria" w:cs="Calibri"/>
                <w:b/>
                <w:bCs/>
                <w:lang w:eastAsia="en-US"/>
              </w:rPr>
            </w:pPr>
          </w:p>
        </w:tc>
        <w:tc>
          <w:tcPr>
            <w:tcW w:w="0" w:type="auto"/>
            <w:vMerge/>
            <w:tcBorders>
              <w:top w:val="dotted" w:sz="8" w:space="0" w:color="auto"/>
              <w:left w:val="nil"/>
              <w:bottom w:val="dotted" w:sz="8" w:space="0" w:color="auto"/>
              <w:right w:val="dotted" w:sz="8" w:space="0" w:color="auto"/>
            </w:tcBorders>
            <w:vAlign w:val="center"/>
            <w:hideMark/>
          </w:tcPr>
          <w:p w14:paraId="649A84DA" w14:textId="77777777" w:rsidR="00661801" w:rsidRDefault="00661801">
            <w:pPr>
              <w:rPr>
                <w:rFonts w:ascii="Cambria" w:eastAsiaTheme="minorHAnsi" w:hAnsi="Cambria" w:cs="Calibri"/>
                <w:b/>
                <w:bCs/>
                <w:lang w:eastAsia="en-US"/>
              </w:rPr>
            </w:pP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6E79882" w14:textId="77777777" w:rsidR="00661801" w:rsidRDefault="00661801">
            <w:pPr>
              <w:rPr>
                <w:rFonts w:ascii="Cambria" w:hAnsi="Cambria"/>
                <w:b/>
                <w:bCs/>
              </w:rPr>
            </w:pPr>
            <w:r>
              <w:rPr>
                <w:rFonts w:ascii="Cambria" w:hAnsi="Cambria"/>
                <w:b/>
                <w:bCs/>
              </w:rPr>
              <w:t>Mensuelle</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4DD269A0" w14:textId="77777777" w:rsidR="00661801" w:rsidRDefault="00661801">
            <w:pPr>
              <w:rPr>
                <w:rFonts w:ascii="Cambria" w:hAnsi="Cambria"/>
                <w:b/>
                <w:bCs/>
              </w:rPr>
            </w:pPr>
            <w:r>
              <w:rPr>
                <w:rFonts w:ascii="Cambria" w:hAnsi="Cambria"/>
                <w:b/>
                <w:bCs/>
              </w:rPr>
              <w:t>Sur 12 mois</w:t>
            </w:r>
          </w:p>
        </w:tc>
      </w:tr>
      <w:tr w:rsidR="00661801" w14:paraId="447E95D9" w14:textId="77777777" w:rsidTr="00661801">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36E035F0" w14:textId="77777777" w:rsidR="00661801" w:rsidRDefault="00661801">
            <w:pPr>
              <w:rPr>
                <w:rFonts w:ascii="Cambria" w:hAnsi="Cambria"/>
              </w:rPr>
            </w:pPr>
            <w:r>
              <w:rPr>
                <w:rFonts w:ascii="Cambria" w:hAnsi="Cambria"/>
              </w:rPr>
              <w:t>Gardiennage</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52821506" w14:textId="77777777" w:rsidR="00661801" w:rsidRDefault="00661801">
            <w:pPr>
              <w:rPr>
                <w:rFonts w:ascii="Cambria" w:hAnsi="Cambria"/>
              </w:rPr>
            </w:pPr>
            <w:r>
              <w:rPr>
                <w:rFonts w:ascii="Cambria" w:hAnsi="Cambria"/>
              </w:rPr>
              <w:t>115,70</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636D630A" w14:textId="77777777" w:rsidR="00661801" w:rsidRDefault="00661801">
            <w:pPr>
              <w:rPr>
                <w:rFonts w:ascii="Cambria" w:hAnsi="Cambria"/>
              </w:rPr>
            </w:pPr>
            <w:r>
              <w:rPr>
                <w:rFonts w:ascii="Cambria" w:hAnsi="Cambria"/>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767D6AFE" w14:textId="77777777" w:rsidR="00661801" w:rsidRDefault="00661801">
            <w:pPr>
              <w:rPr>
                <w:rFonts w:ascii="Cambria" w:hAnsi="Cambria"/>
              </w:rPr>
            </w:pPr>
            <w:r>
              <w:rPr>
                <w:rFonts w:ascii="Cambria" w:hAnsi="Cambria"/>
              </w:rPr>
              <w:t>-0,1</w:t>
            </w:r>
          </w:p>
        </w:tc>
      </w:tr>
      <w:tr w:rsidR="00661801" w14:paraId="7D00EABD" w14:textId="77777777" w:rsidTr="00661801">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47477E2C" w14:textId="77777777" w:rsidR="00661801" w:rsidRDefault="00661801">
            <w:pPr>
              <w:rPr>
                <w:rFonts w:ascii="Cambria" w:hAnsi="Cambria"/>
              </w:rPr>
            </w:pPr>
            <w:r>
              <w:rPr>
                <w:rFonts w:ascii="Cambria" w:hAnsi="Cambria"/>
              </w:rPr>
              <w:t>Sûreté</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CC03DBF" w14:textId="77777777" w:rsidR="00661801" w:rsidRDefault="00661801">
            <w:pPr>
              <w:rPr>
                <w:rFonts w:ascii="Cambria" w:hAnsi="Cambria"/>
              </w:rPr>
            </w:pPr>
            <w:r>
              <w:rPr>
                <w:rFonts w:ascii="Cambria" w:hAnsi="Cambria"/>
              </w:rPr>
              <w:t>110,84</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60D811C" w14:textId="77777777" w:rsidR="00661801" w:rsidRDefault="00661801">
            <w:pPr>
              <w:rPr>
                <w:rFonts w:ascii="Cambria" w:hAnsi="Cambria"/>
              </w:rPr>
            </w:pPr>
            <w:r>
              <w:rPr>
                <w:rFonts w:ascii="Cambria" w:hAnsi="Cambria"/>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1F1ED5E8" w14:textId="77777777" w:rsidR="00661801" w:rsidRDefault="00661801">
            <w:pPr>
              <w:rPr>
                <w:rFonts w:ascii="Cambria" w:hAnsi="Cambria"/>
              </w:rPr>
            </w:pPr>
            <w:r>
              <w:rPr>
                <w:rFonts w:ascii="Cambria" w:hAnsi="Cambria"/>
              </w:rPr>
              <w:t>-</w:t>
            </w:r>
          </w:p>
        </w:tc>
      </w:tr>
      <w:tr w:rsidR="00661801" w14:paraId="32A680F2" w14:textId="77777777" w:rsidTr="00661801">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273A3D1D" w14:textId="77777777" w:rsidR="00661801" w:rsidRDefault="00661801">
            <w:pPr>
              <w:rPr>
                <w:rFonts w:ascii="Cambria" w:hAnsi="Cambria"/>
              </w:rPr>
            </w:pPr>
            <w:r>
              <w:rPr>
                <w:rFonts w:ascii="Cambria" w:hAnsi="Cambria"/>
              </w:rPr>
              <w:t>Véhicules Légers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00473D1B" w14:textId="77777777" w:rsidR="00661801" w:rsidRDefault="00661801">
            <w:pPr>
              <w:rPr>
                <w:rFonts w:ascii="Cambria" w:hAnsi="Cambria"/>
              </w:rPr>
            </w:pPr>
            <w:r>
              <w:rPr>
                <w:rFonts w:ascii="Cambria" w:hAnsi="Cambria"/>
              </w:rPr>
              <w:t>113,19</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47FFF7CB" w14:textId="77777777" w:rsidR="00661801" w:rsidRDefault="00661801">
            <w:pPr>
              <w:rPr>
                <w:rFonts w:ascii="Cambria" w:hAnsi="Cambria"/>
              </w:rPr>
            </w:pPr>
            <w:r>
              <w:rPr>
                <w:rFonts w:ascii="Cambria" w:hAnsi="Cambria"/>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41D20F6C" w14:textId="77777777" w:rsidR="00661801" w:rsidRDefault="00661801">
            <w:pPr>
              <w:rPr>
                <w:rFonts w:ascii="Cambria" w:hAnsi="Cambria"/>
              </w:rPr>
            </w:pPr>
            <w:r>
              <w:rPr>
                <w:rFonts w:ascii="Cambria" w:hAnsi="Cambria"/>
              </w:rPr>
              <w:t>1,2</w:t>
            </w:r>
          </w:p>
        </w:tc>
      </w:tr>
      <w:tr w:rsidR="00661801" w14:paraId="0E7EA363" w14:textId="77777777" w:rsidTr="00661801">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38AD8E2B" w14:textId="77777777" w:rsidR="00661801" w:rsidRDefault="00661801">
            <w:pPr>
              <w:rPr>
                <w:rFonts w:ascii="Cambria" w:hAnsi="Cambria"/>
              </w:rPr>
            </w:pPr>
            <w:r>
              <w:rPr>
                <w:rFonts w:ascii="Cambria" w:hAnsi="Cambria"/>
              </w:rPr>
              <w:t>Véhicules de Chantier</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7533E1AF" w14:textId="77777777" w:rsidR="00661801" w:rsidRDefault="00661801">
            <w:pPr>
              <w:rPr>
                <w:rFonts w:ascii="Cambria" w:hAnsi="Cambria"/>
              </w:rPr>
            </w:pPr>
            <w:r>
              <w:rPr>
                <w:rFonts w:ascii="Cambria" w:hAnsi="Cambria"/>
              </w:rPr>
              <w:t>106,19</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6265DD26" w14:textId="77777777" w:rsidR="00661801" w:rsidRDefault="00661801">
            <w:pPr>
              <w:rPr>
                <w:rFonts w:ascii="Cambria" w:hAnsi="Cambria"/>
              </w:rPr>
            </w:pPr>
            <w:r>
              <w:rPr>
                <w:rFonts w:ascii="Cambria" w:hAnsi="Cambria"/>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78E1EE44" w14:textId="77777777" w:rsidR="00661801" w:rsidRDefault="00661801">
            <w:pPr>
              <w:rPr>
                <w:rFonts w:ascii="Cambria" w:hAnsi="Cambria"/>
              </w:rPr>
            </w:pPr>
            <w:r>
              <w:rPr>
                <w:rFonts w:ascii="Cambria" w:hAnsi="Cambria"/>
              </w:rPr>
              <w:t>0,8</w:t>
            </w:r>
          </w:p>
        </w:tc>
      </w:tr>
      <w:tr w:rsidR="00661801" w14:paraId="5A18912F" w14:textId="77777777" w:rsidTr="00661801">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2B4ECA08" w14:textId="77777777" w:rsidR="00661801" w:rsidRDefault="00661801">
            <w:pPr>
              <w:rPr>
                <w:rFonts w:ascii="Cambria" w:hAnsi="Cambria"/>
              </w:rPr>
            </w:pPr>
            <w:r>
              <w:rPr>
                <w:rFonts w:ascii="Cambria" w:hAnsi="Cambria"/>
              </w:rPr>
              <w:t>Construction navale en aluminium</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08A9702C" w14:textId="77777777" w:rsidR="00661801" w:rsidRDefault="00661801">
            <w:pPr>
              <w:rPr>
                <w:rFonts w:ascii="Cambria" w:hAnsi="Cambria"/>
              </w:rPr>
            </w:pPr>
            <w:r>
              <w:rPr>
                <w:rFonts w:ascii="Cambria" w:hAnsi="Cambria"/>
              </w:rPr>
              <w:t>124,54</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67410499" w14:textId="77777777" w:rsidR="00661801" w:rsidRDefault="00661801">
            <w:pPr>
              <w:rPr>
                <w:rFonts w:ascii="Cambria" w:hAnsi="Cambria"/>
              </w:rPr>
            </w:pPr>
            <w:r>
              <w:rPr>
                <w:rFonts w:ascii="Cambria" w:hAnsi="Cambria"/>
              </w:rPr>
              <w:t>1,6</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445A5FC3" w14:textId="77777777" w:rsidR="00661801" w:rsidRDefault="00661801">
            <w:pPr>
              <w:rPr>
                <w:rFonts w:ascii="Cambria" w:hAnsi="Cambria"/>
              </w:rPr>
            </w:pPr>
            <w:r>
              <w:rPr>
                <w:rFonts w:ascii="Cambria" w:hAnsi="Cambria"/>
              </w:rPr>
              <w:t>2,3</w:t>
            </w:r>
          </w:p>
        </w:tc>
      </w:tr>
      <w:tr w:rsidR="00661801" w14:paraId="349FEA77" w14:textId="77777777" w:rsidTr="00661801">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7B868DA4" w14:textId="77777777" w:rsidR="00661801" w:rsidRDefault="00661801">
            <w:pPr>
              <w:rPr>
                <w:rFonts w:ascii="Cambria" w:hAnsi="Cambria"/>
              </w:rPr>
            </w:pPr>
            <w:r>
              <w:rPr>
                <w:rFonts w:ascii="Cambria" w:hAnsi="Cambria"/>
              </w:rPr>
              <w:t>Fourniture de pièces détachées pour navires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73F4B70C" w14:textId="77777777" w:rsidR="00661801" w:rsidRDefault="00661801">
            <w:pPr>
              <w:rPr>
                <w:rFonts w:ascii="Cambria" w:hAnsi="Cambria"/>
              </w:rPr>
            </w:pPr>
            <w:r>
              <w:rPr>
                <w:rFonts w:ascii="Cambria" w:hAnsi="Cambria"/>
              </w:rPr>
              <w:t>111,23</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0E1F4BE9" w14:textId="77777777" w:rsidR="00661801" w:rsidRDefault="00661801">
            <w:pPr>
              <w:rPr>
                <w:rFonts w:ascii="Cambria" w:hAnsi="Cambria"/>
              </w:rPr>
            </w:pPr>
            <w:r>
              <w:rPr>
                <w:rFonts w:ascii="Cambria" w:hAnsi="Cambria"/>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61AFE98E" w14:textId="77777777" w:rsidR="00661801" w:rsidRDefault="00661801">
            <w:pPr>
              <w:rPr>
                <w:rFonts w:ascii="Cambria" w:hAnsi="Cambria"/>
              </w:rPr>
            </w:pPr>
            <w:r>
              <w:rPr>
                <w:rFonts w:ascii="Cambria" w:hAnsi="Cambria"/>
              </w:rPr>
              <w:t>1,1</w:t>
            </w:r>
          </w:p>
        </w:tc>
      </w:tr>
      <w:tr w:rsidR="00661801" w14:paraId="5AC81D90" w14:textId="77777777" w:rsidTr="00661801">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75F2B710" w14:textId="77777777" w:rsidR="00661801" w:rsidRDefault="00661801">
            <w:pPr>
              <w:rPr>
                <w:rFonts w:ascii="Cambria" w:hAnsi="Cambria"/>
              </w:rPr>
            </w:pPr>
            <w:r>
              <w:rPr>
                <w:rFonts w:ascii="Cambria" w:hAnsi="Cambria"/>
              </w:rPr>
              <w:t>Index des Transports Publics Terrestres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7B65C6DD" w14:textId="77777777" w:rsidR="00661801" w:rsidRDefault="00661801">
            <w:pPr>
              <w:rPr>
                <w:rFonts w:ascii="Cambria" w:hAnsi="Cambria"/>
              </w:rPr>
            </w:pPr>
            <w:r>
              <w:rPr>
                <w:rFonts w:ascii="Cambria" w:hAnsi="Cambria"/>
              </w:rPr>
              <w:t>106,78</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0A8AF56A" w14:textId="77777777" w:rsidR="00661801" w:rsidRDefault="00661801">
            <w:pPr>
              <w:rPr>
                <w:rFonts w:ascii="Cambria" w:hAnsi="Cambria"/>
              </w:rPr>
            </w:pPr>
            <w:r>
              <w:rPr>
                <w:rFonts w:ascii="Cambria" w:hAnsi="Cambria"/>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0FF590FE" w14:textId="77777777" w:rsidR="00661801" w:rsidRDefault="00661801">
            <w:pPr>
              <w:rPr>
                <w:rFonts w:ascii="Cambria" w:hAnsi="Cambria"/>
              </w:rPr>
            </w:pPr>
            <w:r>
              <w:rPr>
                <w:rFonts w:ascii="Cambria" w:hAnsi="Cambria"/>
              </w:rPr>
              <w:t>-1,7</w:t>
            </w:r>
          </w:p>
        </w:tc>
      </w:tr>
      <w:tr w:rsidR="00661801" w14:paraId="0FEB7A80" w14:textId="77777777" w:rsidTr="00661801">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4A230D7B" w14:textId="77777777" w:rsidR="00661801" w:rsidRDefault="00661801">
            <w:pPr>
              <w:rPr>
                <w:rFonts w:ascii="Cambria" w:hAnsi="Cambria"/>
              </w:rPr>
            </w:pPr>
            <w:r>
              <w:rPr>
                <w:rFonts w:ascii="Cambria" w:hAnsi="Cambria"/>
              </w:rPr>
              <w:t>Index des Assurances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3DC8FE4D" w14:textId="77777777" w:rsidR="00661801" w:rsidRDefault="00661801">
            <w:pPr>
              <w:rPr>
                <w:rFonts w:ascii="Cambria" w:hAnsi="Cambria"/>
              </w:rPr>
            </w:pPr>
            <w:r>
              <w:rPr>
                <w:rFonts w:ascii="Cambria" w:hAnsi="Cambria"/>
              </w:rPr>
              <w:t>101,79</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62D0A8E9" w14:textId="77777777" w:rsidR="00661801" w:rsidRDefault="00661801">
            <w:pPr>
              <w:rPr>
                <w:rFonts w:ascii="Cambria" w:hAnsi="Cambria"/>
              </w:rPr>
            </w:pPr>
            <w:r>
              <w:rPr>
                <w:rFonts w:ascii="Cambria" w:hAnsi="Cambria"/>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79ECE3C8" w14:textId="77777777" w:rsidR="00661801" w:rsidRDefault="00661801">
            <w:pPr>
              <w:rPr>
                <w:rFonts w:ascii="Cambria" w:hAnsi="Cambria"/>
              </w:rPr>
            </w:pPr>
            <w:r>
              <w:rPr>
                <w:rFonts w:ascii="Cambria" w:hAnsi="Cambria"/>
              </w:rPr>
              <w:t>-1,0</w:t>
            </w:r>
          </w:p>
        </w:tc>
      </w:tr>
      <w:tr w:rsidR="00661801" w14:paraId="135A07C3" w14:textId="77777777" w:rsidTr="00661801">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57C74A4E" w14:textId="77777777" w:rsidR="00661801" w:rsidRDefault="00661801">
            <w:pPr>
              <w:rPr>
                <w:rFonts w:ascii="Cambria" w:hAnsi="Cambria"/>
              </w:rPr>
            </w:pPr>
            <w:r>
              <w:rPr>
                <w:rFonts w:ascii="Cambria" w:hAnsi="Cambria"/>
              </w:rPr>
              <w:t>Index du Transport Aérien International</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37A68F5" w14:textId="77777777" w:rsidR="00661801" w:rsidRDefault="00661801">
            <w:pPr>
              <w:rPr>
                <w:rFonts w:ascii="Cambria" w:hAnsi="Cambria"/>
              </w:rPr>
            </w:pPr>
            <w:r>
              <w:rPr>
                <w:rFonts w:ascii="Cambria" w:hAnsi="Cambria"/>
              </w:rPr>
              <w:t>103,39</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5A193194" w14:textId="77777777" w:rsidR="00661801" w:rsidRDefault="00661801">
            <w:pPr>
              <w:rPr>
                <w:rFonts w:ascii="Cambria" w:hAnsi="Cambria"/>
              </w:rPr>
            </w:pPr>
            <w:r>
              <w:rPr>
                <w:rFonts w:ascii="Cambria" w:hAnsi="Cambria"/>
              </w:rPr>
              <w:t>1,5</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38FEBE9" w14:textId="77777777" w:rsidR="00661801" w:rsidRDefault="00661801">
            <w:pPr>
              <w:rPr>
                <w:rFonts w:ascii="Cambria" w:hAnsi="Cambria"/>
              </w:rPr>
            </w:pPr>
            <w:r>
              <w:rPr>
                <w:rFonts w:ascii="Cambria" w:hAnsi="Cambria"/>
              </w:rPr>
              <w:t>10,3</w:t>
            </w:r>
          </w:p>
        </w:tc>
      </w:tr>
    </w:tbl>
    <w:p w14:paraId="56B7D8B5" w14:textId="1F05676A" w:rsidR="008F28CC" w:rsidRDefault="008F28CC" w:rsidP="008F28CC">
      <w:pPr>
        <w:rPr>
          <w:rFonts w:ascii="Calibri" w:hAnsi="Calibri"/>
          <w:sz w:val="22"/>
          <w:szCs w:val="22"/>
        </w:rPr>
      </w:pPr>
    </w:p>
    <w:p w14:paraId="2D5D2241" w14:textId="70EAEE57" w:rsidR="00661801" w:rsidRDefault="00661801" w:rsidP="008F28CC">
      <w:pPr>
        <w:rPr>
          <w:rFonts w:ascii="Calibri" w:hAnsi="Calibri"/>
          <w:sz w:val="22"/>
          <w:szCs w:val="22"/>
        </w:rPr>
      </w:pPr>
    </w:p>
    <w:p w14:paraId="7C64427A" w14:textId="77777777" w:rsidR="00CE7851" w:rsidRDefault="00CE7851" w:rsidP="00CE7851">
      <w:pPr>
        <w:pStyle w:val="NormalWeb"/>
        <w:jc w:val="both"/>
        <w:rPr>
          <w:rStyle w:val="lev"/>
          <w:rFonts w:ascii="Cambria" w:hAnsi="Cambria"/>
        </w:rPr>
      </w:pPr>
      <w:r w:rsidRPr="0073664B">
        <w:rPr>
          <w:rStyle w:val="lev"/>
          <w:rFonts w:ascii="Cambria" w:hAnsi="Cambria"/>
        </w:rPr>
        <w:t xml:space="preserve">Loi du Pays portant modification du code de l’aménagement de la Polynésie française et création d’un permis d’aménager  </w:t>
      </w:r>
    </w:p>
    <w:p w14:paraId="2D574C91" w14:textId="77777777" w:rsidR="00CE7851" w:rsidRPr="0073664B" w:rsidRDefault="00CE7851" w:rsidP="00CE7851">
      <w:pPr>
        <w:pStyle w:val="NormalWeb"/>
        <w:jc w:val="both"/>
        <w:rPr>
          <w:rFonts w:ascii="Cambria" w:hAnsi="Cambria"/>
        </w:rPr>
      </w:pPr>
    </w:p>
    <w:p w14:paraId="09210F1A" w14:textId="77777777" w:rsidR="00CE7851" w:rsidRPr="0073664B" w:rsidRDefault="00CE7851" w:rsidP="00CE7851">
      <w:pPr>
        <w:pStyle w:val="NormalWeb"/>
        <w:jc w:val="both"/>
        <w:rPr>
          <w:rFonts w:ascii="Cambria" w:hAnsi="Cambria"/>
        </w:rPr>
      </w:pPr>
      <w:r w:rsidRPr="0073664B">
        <w:rPr>
          <w:rFonts w:ascii="Cambria" w:hAnsi="Cambria"/>
        </w:rPr>
        <w:t xml:space="preserve">Dans le cadre des actions engagées visant à simplifier les démarches d’obtention des autorisations de construire à destination des entreprises et des particuliers, de nouvelles mesures ont été proposées consistant à faire évoluer le permis de terrassement en un permis d’aménager et à actualiser certains concernant points du code de l’aménagement </w:t>
      </w:r>
      <w:proofErr w:type="gramStart"/>
      <w:r w:rsidRPr="0073664B">
        <w:rPr>
          <w:rFonts w:ascii="Cambria" w:hAnsi="Cambria"/>
        </w:rPr>
        <w:t>suite à</w:t>
      </w:r>
      <w:proofErr w:type="gramEnd"/>
      <w:r w:rsidRPr="0073664B">
        <w:rPr>
          <w:rFonts w:ascii="Cambria" w:hAnsi="Cambria"/>
        </w:rPr>
        <w:t xml:space="preserve"> l’approbation du Schéma d’aménagement général de la Polynésie française (SAGE).</w:t>
      </w:r>
    </w:p>
    <w:p w14:paraId="544D034E" w14:textId="77777777" w:rsidR="00CE7851" w:rsidRPr="0073664B" w:rsidRDefault="00CE7851" w:rsidP="00CE7851">
      <w:pPr>
        <w:pStyle w:val="NormalWeb"/>
        <w:jc w:val="both"/>
        <w:rPr>
          <w:rFonts w:ascii="Cambria" w:hAnsi="Cambria"/>
        </w:rPr>
      </w:pPr>
      <w:r w:rsidRPr="0073664B">
        <w:rPr>
          <w:rFonts w:ascii="Cambria" w:hAnsi="Cambria"/>
        </w:rPr>
        <w:t>Suite à l’adoption du SAGE, tout d’abord, il convenait de prendre en compte certaines prescriptions relatives aux plans généraux d’aménagement (PGA), notamment </w:t>
      </w:r>
      <w:proofErr w:type="gramStart"/>
      <w:r w:rsidRPr="0073664B">
        <w:rPr>
          <w:rFonts w:ascii="Cambria" w:hAnsi="Cambria"/>
        </w:rPr>
        <w:t>la</w:t>
      </w:r>
      <w:proofErr w:type="gramEnd"/>
      <w:r w:rsidRPr="0073664B">
        <w:rPr>
          <w:rFonts w:ascii="Cambria" w:hAnsi="Cambria"/>
        </w:rPr>
        <w:t xml:space="preserve"> réalisation/révision des PGA de toutes les communes de plus de 1000 habitants dans les 5 ans suivant sa ratification.</w:t>
      </w:r>
    </w:p>
    <w:p w14:paraId="29849D48" w14:textId="77777777" w:rsidR="00CE7851" w:rsidRPr="0073664B" w:rsidRDefault="00CE7851" w:rsidP="00CE7851">
      <w:pPr>
        <w:pStyle w:val="NormalWeb"/>
        <w:jc w:val="both"/>
        <w:rPr>
          <w:rFonts w:ascii="Cambria" w:hAnsi="Cambria"/>
        </w:rPr>
      </w:pPr>
      <w:r w:rsidRPr="0073664B">
        <w:rPr>
          <w:rFonts w:ascii="Cambria" w:hAnsi="Cambria"/>
        </w:rPr>
        <w:lastRenderedPageBreak/>
        <w:t>Par ailleurs, dans une mesure de simplification, le permis d’aménager vient remplacer l’ancien permis de terrasser. Le code de l’aménagement prévoyait que les aménagements et travaux comportant le déplacement ou la manipulation de plus de 60 m3 de matériaux devaient être précédés de la délivrance d’un permis de terrassement.</w:t>
      </w:r>
    </w:p>
    <w:p w14:paraId="5F9293BE" w14:textId="77777777" w:rsidR="00CE7851" w:rsidRPr="0073664B" w:rsidRDefault="00CE7851" w:rsidP="00CE7851">
      <w:pPr>
        <w:pStyle w:val="NormalWeb"/>
        <w:jc w:val="both"/>
        <w:rPr>
          <w:rFonts w:ascii="Cambria" w:hAnsi="Cambria"/>
        </w:rPr>
      </w:pPr>
      <w:r w:rsidRPr="0073664B">
        <w:rPr>
          <w:rFonts w:ascii="Cambria" w:hAnsi="Cambria"/>
        </w:rPr>
        <w:t>Le permis d’aménager est ainsi obligatoire pour l’instruction des exhaussements et affouillements. La modification principale concerne le seuil à partir duquel un permis d’aménager est nécessaire, ainsi le projet propose :</w:t>
      </w:r>
    </w:p>
    <w:p w14:paraId="153ACFE5" w14:textId="77777777" w:rsidR="00CE7851" w:rsidRPr="0073664B" w:rsidRDefault="00CE7851" w:rsidP="00CE7851">
      <w:pPr>
        <w:pStyle w:val="NormalWeb"/>
        <w:jc w:val="both"/>
        <w:rPr>
          <w:rFonts w:ascii="Cambria" w:hAnsi="Cambria"/>
        </w:rPr>
      </w:pPr>
      <w:r w:rsidRPr="0073664B">
        <w:rPr>
          <w:rFonts w:ascii="Cambria" w:hAnsi="Cambria"/>
        </w:rPr>
        <w:t>- De 0 à 200 m3 : aménagements non soumis à autorisation administrative ;</w:t>
      </w:r>
    </w:p>
    <w:p w14:paraId="0C463EF0" w14:textId="77777777" w:rsidR="00CE7851" w:rsidRPr="0073664B" w:rsidRDefault="00CE7851" w:rsidP="00CE7851">
      <w:pPr>
        <w:pStyle w:val="NormalWeb"/>
        <w:jc w:val="both"/>
        <w:rPr>
          <w:rFonts w:ascii="Cambria" w:hAnsi="Cambria"/>
        </w:rPr>
      </w:pPr>
      <w:r w:rsidRPr="0073664B">
        <w:rPr>
          <w:rFonts w:ascii="Cambria" w:hAnsi="Cambria"/>
        </w:rPr>
        <w:t>- De plus de 200 m3 à 1000 m3 : déclaration préalable d’aménager ;</w:t>
      </w:r>
    </w:p>
    <w:p w14:paraId="7DE9403F" w14:textId="77777777" w:rsidR="00CE7851" w:rsidRPr="0073664B" w:rsidRDefault="00CE7851" w:rsidP="00CE7851">
      <w:pPr>
        <w:pStyle w:val="NormalWeb"/>
        <w:jc w:val="both"/>
        <w:rPr>
          <w:rFonts w:ascii="Cambria" w:hAnsi="Cambria"/>
        </w:rPr>
      </w:pPr>
      <w:r w:rsidRPr="0073664B">
        <w:rPr>
          <w:rFonts w:ascii="Cambria" w:hAnsi="Cambria"/>
        </w:rPr>
        <w:t>- Au-delà de 1000 m3 : permis d’aménager.</w:t>
      </w:r>
    </w:p>
    <w:p w14:paraId="7852A087" w14:textId="77777777" w:rsidR="00CE7851" w:rsidRPr="0073664B" w:rsidRDefault="00CE7851" w:rsidP="00CE7851">
      <w:pPr>
        <w:pStyle w:val="NormalWeb"/>
        <w:jc w:val="both"/>
        <w:rPr>
          <w:rFonts w:ascii="Cambria" w:hAnsi="Cambria"/>
        </w:rPr>
      </w:pPr>
      <w:r w:rsidRPr="0073664B">
        <w:rPr>
          <w:rFonts w:ascii="Cambria" w:hAnsi="Cambria"/>
        </w:rPr>
        <w:t>-A partir de 2000 m3 : permis d’aménager avec évaluation d’impact environnemental, conformément au code de l’environnement.</w:t>
      </w:r>
    </w:p>
    <w:p w14:paraId="14E54DC3" w14:textId="77777777" w:rsidR="00CE7851" w:rsidRPr="0073664B" w:rsidRDefault="00CE7851" w:rsidP="00CE7851">
      <w:pPr>
        <w:pStyle w:val="NormalWeb"/>
        <w:jc w:val="both"/>
        <w:rPr>
          <w:rFonts w:ascii="Cambria" w:hAnsi="Cambria"/>
        </w:rPr>
      </w:pPr>
      <w:r w:rsidRPr="0073664B">
        <w:rPr>
          <w:rFonts w:ascii="Cambria" w:hAnsi="Cambria"/>
        </w:rPr>
        <w:t>La troisième modification proposée a trait aux sanctions afin de pouvoir assurer l’application effective de l’ensemble des règles du Code de l’aménagement de la Polynésie française (CAPF), y compris les dispositions concernant l’accessibilité aux personnes handicapées.</w:t>
      </w:r>
    </w:p>
    <w:p w14:paraId="7FC67ADC" w14:textId="337C4139" w:rsidR="00CE7851" w:rsidRDefault="00CE7851" w:rsidP="00CE7851">
      <w:pPr>
        <w:pStyle w:val="NormalWeb"/>
        <w:jc w:val="both"/>
        <w:rPr>
          <w:rFonts w:ascii="Cambria" w:hAnsi="Cambria"/>
        </w:rPr>
      </w:pPr>
      <w:proofErr w:type="gramStart"/>
      <w:r w:rsidRPr="0073664B">
        <w:rPr>
          <w:rFonts w:ascii="Cambria" w:hAnsi="Cambria"/>
        </w:rPr>
        <w:t>Suite à</w:t>
      </w:r>
      <w:proofErr w:type="gramEnd"/>
      <w:r w:rsidRPr="0073664B">
        <w:rPr>
          <w:rFonts w:ascii="Cambria" w:hAnsi="Cambria"/>
        </w:rPr>
        <w:t xml:space="preserve"> l’avis du Conseil économique, social, environnemental et culturel (CESEC) sur le projet initial rendu le 18 février dernier, le Conseil des ministres a approuvé le projet finalisé avec ses arrêtés d’application, qui sera prochainement transmis à l’Assemblée de Polynésie française pour adoption.</w:t>
      </w:r>
    </w:p>
    <w:p w14:paraId="69E64880" w14:textId="77777777" w:rsidR="00CE7851" w:rsidRDefault="00CE7851" w:rsidP="0038799A">
      <w:pPr>
        <w:pStyle w:val="-LettreTexteGEDA"/>
        <w:spacing w:before="0"/>
        <w:ind w:firstLine="0"/>
        <w:rPr>
          <w:rFonts w:ascii="Cambria" w:hAnsi="Cambria"/>
          <w:b/>
          <w:bCs/>
          <w:noProof w:val="0"/>
        </w:rPr>
      </w:pPr>
    </w:p>
    <w:p w14:paraId="1AEB685D" w14:textId="77777777" w:rsidR="00CE7851" w:rsidRDefault="00CE7851" w:rsidP="0038799A">
      <w:pPr>
        <w:pStyle w:val="-LettreTexteGEDA"/>
        <w:spacing w:before="0"/>
        <w:ind w:firstLine="0"/>
        <w:rPr>
          <w:rFonts w:ascii="Cambria" w:hAnsi="Cambria"/>
          <w:b/>
          <w:bCs/>
          <w:noProof w:val="0"/>
        </w:rPr>
      </w:pPr>
    </w:p>
    <w:p w14:paraId="4D9A189F" w14:textId="42784492" w:rsidR="0038799A" w:rsidRPr="0038799A" w:rsidRDefault="0038799A" w:rsidP="0038799A">
      <w:pPr>
        <w:pStyle w:val="-LettreTexteGEDA"/>
        <w:spacing w:before="0"/>
        <w:ind w:firstLine="0"/>
        <w:rPr>
          <w:rFonts w:ascii="Cambria" w:hAnsi="Cambria"/>
          <w:b/>
          <w:bCs/>
          <w:noProof w:val="0"/>
        </w:rPr>
      </w:pPr>
      <w:r w:rsidRPr="0038799A">
        <w:rPr>
          <w:rFonts w:ascii="Cambria" w:hAnsi="Cambria"/>
          <w:b/>
          <w:bCs/>
          <w:noProof w:val="0"/>
        </w:rPr>
        <w:t>Subvention d’équilibre à Air Tahiti pour le premier semestre 2021</w:t>
      </w:r>
    </w:p>
    <w:p w14:paraId="4D6D2BDE" w14:textId="77777777" w:rsidR="0038799A" w:rsidRPr="0038799A" w:rsidRDefault="0038799A" w:rsidP="0038799A">
      <w:pPr>
        <w:pStyle w:val="-LettreTexteGEDA"/>
        <w:spacing w:before="0"/>
        <w:ind w:firstLine="0"/>
        <w:rPr>
          <w:rFonts w:ascii="Cambria" w:hAnsi="Cambria"/>
          <w:noProof w:val="0"/>
        </w:rPr>
      </w:pPr>
    </w:p>
    <w:p w14:paraId="16622763" w14:textId="65F42C52" w:rsidR="00373A04" w:rsidRPr="0038799A" w:rsidRDefault="00373A04" w:rsidP="0038799A">
      <w:pPr>
        <w:pStyle w:val="-LettreTexteGEDA"/>
        <w:spacing w:before="0"/>
        <w:ind w:firstLine="0"/>
        <w:rPr>
          <w:rFonts w:ascii="Cambria" w:hAnsi="Cambria"/>
          <w:noProof w:val="0"/>
        </w:rPr>
      </w:pPr>
      <w:r w:rsidRPr="0038799A">
        <w:rPr>
          <w:rFonts w:ascii="Cambria" w:hAnsi="Cambria"/>
          <w:noProof w:val="0"/>
        </w:rPr>
        <w:t>L’appel d’offres</w:t>
      </w:r>
      <w:r w:rsidR="0038799A">
        <w:rPr>
          <w:rFonts w:ascii="Cambria" w:hAnsi="Cambria"/>
          <w:noProof w:val="0"/>
        </w:rPr>
        <w:t>,</w:t>
      </w:r>
      <w:r w:rsidRPr="0038799A">
        <w:rPr>
          <w:rFonts w:ascii="Cambria" w:hAnsi="Cambria"/>
          <w:noProof w:val="0"/>
        </w:rPr>
        <w:t xml:space="preserve"> publié le 4 août 2020 au Journal officiel de la Polynésie française</w:t>
      </w:r>
      <w:r w:rsidR="0038799A">
        <w:rPr>
          <w:rFonts w:ascii="Cambria" w:hAnsi="Cambria"/>
          <w:noProof w:val="0"/>
        </w:rPr>
        <w:t>,</w:t>
      </w:r>
      <w:r w:rsidRPr="0038799A">
        <w:rPr>
          <w:rFonts w:ascii="Cambria" w:hAnsi="Cambria"/>
          <w:noProof w:val="0"/>
        </w:rPr>
        <w:t xml:space="preserve"> a été déclaré infructueux par </w:t>
      </w:r>
      <w:r w:rsidR="0038799A">
        <w:rPr>
          <w:rFonts w:ascii="Cambria" w:hAnsi="Cambria"/>
          <w:noProof w:val="0"/>
        </w:rPr>
        <w:t xml:space="preserve">un </w:t>
      </w:r>
      <w:r w:rsidRPr="0038799A">
        <w:rPr>
          <w:rFonts w:ascii="Cambria" w:hAnsi="Cambria"/>
          <w:noProof w:val="0"/>
        </w:rPr>
        <w:t xml:space="preserve">arrêté </w:t>
      </w:r>
      <w:r w:rsidR="0038799A">
        <w:rPr>
          <w:rFonts w:ascii="Cambria" w:hAnsi="Cambria"/>
          <w:noProof w:val="0"/>
        </w:rPr>
        <w:t>du Conseil des ministres</w:t>
      </w:r>
      <w:r w:rsidRPr="0038799A">
        <w:rPr>
          <w:rFonts w:ascii="Cambria" w:hAnsi="Cambria"/>
          <w:noProof w:val="0"/>
        </w:rPr>
        <w:t xml:space="preserve"> du 4 décembre 2020</w:t>
      </w:r>
      <w:r w:rsidR="0038799A">
        <w:rPr>
          <w:rFonts w:ascii="Cambria" w:hAnsi="Cambria"/>
          <w:noProof w:val="0"/>
        </w:rPr>
        <w:t>,</w:t>
      </w:r>
      <w:r w:rsidRPr="0038799A">
        <w:rPr>
          <w:rFonts w:ascii="Cambria" w:hAnsi="Cambria"/>
          <w:noProof w:val="0"/>
        </w:rPr>
        <w:t xml:space="preserve"> sur le lot 1 concernant </w:t>
      </w:r>
      <w:r w:rsidR="0038799A">
        <w:rPr>
          <w:rFonts w:ascii="Cambria" w:hAnsi="Cambria"/>
          <w:noProof w:val="0"/>
        </w:rPr>
        <w:t xml:space="preserve">la desserte aérienne de </w:t>
      </w:r>
      <w:r w:rsidRPr="0038799A">
        <w:rPr>
          <w:rFonts w:ascii="Cambria" w:hAnsi="Cambria"/>
          <w:noProof w:val="0"/>
        </w:rPr>
        <w:t>32 îles de</w:t>
      </w:r>
      <w:r w:rsidR="0038799A">
        <w:rPr>
          <w:rFonts w:ascii="Cambria" w:hAnsi="Cambria"/>
          <w:noProof w:val="0"/>
        </w:rPr>
        <w:t>s</w:t>
      </w:r>
      <w:r w:rsidRPr="0038799A">
        <w:rPr>
          <w:rFonts w:ascii="Cambria" w:hAnsi="Cambria"/>
          <w:noProof w:val="0"/>
        </w:rPr>
        <w:t xml:space="preserve"> Tuamotu-Gambier et des Australes.</w:t>
      </w:r>
    </w:p>
    <w:p w14:paraId="4E8DAB73" w14:textId="77777777" w:rsidR="00373A04" w:rsidRPr="0038799A" w:rsidRDefault="00373A04" w:rsidP="00373A04">
      <w:pPr>
        <w:pStyle w:val="-LettreTexteGEDA"/>
        <w:spacing w:before="0"/>
        <w:rPr>
          <w:rFonts w:ascii="Cambria" w:hAnsi="Cambria"/>
          <w:noProof w:val="0"/>
        </w:rPr>
      </w:pPr>
    </w:p>
    <w:p w14:paraId="2BF7343E" w14:textId="591A7691" w:rsidR="00373A04" w:rsidRPr="0038799A" w:rsidRDefault="00373A04" w:rsidP="0038799A">
      <w:pPr>
        <w:pStyle w:val="-LettreTexteGEDA"/>
        <w:spacing w:before="0"/>
        <w:ind w:firstLine="0"/>
        <w:rPr>
          <w:rFonts w:ascii="Cambria" w:hAnsi="Cambria"/>
          <w:noProof w:val="0"/>
        </w:rPr>
      </w:pPr>
      <w:r w:rsidRPr="0038799A">
        <w:rPr>
          <w:rFonts w:ascii="Cambria" w:hAnsi="Cambria"/>
          <w:noProof w:val="0"/>
        </w:rPr>
        <w:t>Afin de ne pas causer une interruption de la desserte des aérodromes dits de désenclavement entrainant une rupture dans les conditions d’accès aux service</w:t>
      </w:r>
      <w:r w:rsidR="0038799A">
        <w:rPr>
          <w:rFonts w:ascii="Cambria" w:hAnsi="Cambria"/>
          <w:noProof w:val="0"/>
        </w:rPr>
        <w:t>s</w:t>
      </w:r>
      <w:r w:rsidRPr="0038799A">
        <w:rPr>
          <w:rFonts w:ascii="Cambria" w:hAnsi="Cambria"/>
          <w:noProof w:val="0"/>
        </w:rPr>
        <w:t xml:space="preserve"> nécessaires à la satisfaction des besoins essentiels des administrés des îles</w:t>
      </w:r>
      <w:r w:rsidR="0038799A">
        <w:rPr>
          <w:rFonts w:ascii="Cambria" w:hAnsi="Cambria"/>
          <w:noProof w:val="0"/>
        </w:rPr>
        <w:t>,</w:t>
      </w:r>
      <w:r w:rsidRPr="0038799A">
        <w:rPr>
          <w:rFonts w:ascii="Cambria" w:hAnsi="Cambria"/>
          <w:noProof w:val="0"/>
        </w:rPr>
        <w:t xml:space="preserve"> tels que le service public de transport de personnes, des biens et marchandises, des services postaux et des services de santé, il a été proposé d’approuver un accord de desserte aérienne interinsulaire portant sur l’ensemble du réseau domestique polynésien.</w:t>
      </w:r>
    </w:p>
    <w:p w14:paraId="459C03B8" w14:textId="77777777" w:rsidR="00373A04" w:rsidRPr="0038799A" w:rsidRDefault="00373A04" w:rsidP="00373A04">
      <w:pPr>
        <w:pStyle w:val="-LettreTexteGEDA"/>
        <w:spacing w:before="0"/>
        <w:rPr>
          <w:rFonts w:ascii="Cambria" w:hAnsi="Cambria"/>
          <w:noProof w:val="0"/>
        </w:rPr>
      </w:pPr>
    </w:p>
    <w:p w14:paraId="0D47717B" w14:textId="5D4416BB" w:rsidR="00373A04" w:rsidRPr="0038799A" w:rsidRDefault="00373A04" w:rsidP="0038799A">
      <w:pPr>
        <w:pStyle w:val="-LettreTexteGEDA"/>
        <w:spacing w:before="0"/>
        <w:ind w:firstLine="0"/>
        <w:rPr>
          <w:rFonts w:ascii="Cambria" w:hAnsi="Cambria"/>
          <w:bCs/>
          <w:iCs/>
        </w:rPr>
      </w:pPr>
      <w:r w:rsidRPr="0038799A">
        <w:rPr>
          <w:rFonts w:ascii="Cambria" w:hAnsi="Cambria"/>
          <w:noProof w:val="0"/>
        </w:rPr>
        <w:t>Dans cet accord, Air Tahiti s’est engagé à assurer la desserte aérienne sur l’ensemble du réseau</w:t>
      </w:r>
      <w:r w:rsidR="0038799A">
        <w:rPr>
          <w:rFonts w:ascii="Cambria" w:hAnsi="Cambria"/>
          <w:noProof w:val="0"/>
        </w:rPr>
        <w:t>,</w:t>
      </w:r>
      <w:r w:rsidRPr="0038799A">
        <w:rPr>
          <w:rFonts w:ascii="Cambria" w:hAnsi="Cambria"/>
          <w:noProof w:val="0"/>
        </w:rPr>
        <w:t xml:space="preserve"> à compter du 1</w:t>
      </w:r>
      <w:r w:rsidRPr="0038799A">
        <w:rPr>
          <w:rFonts w:ascii="Cambria" w:hAnsi="Cambria"/>
          <w:noProof w:val="0"/>
          <w:vertAlign w:val="superscript"/>
        </w:rPr>
        <w:t>er</w:t>
      </w:r>
      <w:r w:rsidRPr="0038799A">
        <w:rPr>
          <w:rFonts w:ascii="Cambria" w:hAnsi="Cambria"/>
          <w:noProof w:val="0"/>
        </w:rPr>
        <w:t xml:space="preserve"> janvier 2021 jusqu’au 30 juin 2021, selon un programme de vols minimum établi, pour cette période, </w:t>
      </w:r>
      <w:r w:rsidRPr="0038799A">
        <w:rPr>
          <w:rFonts w:ascii="Cambria" w:hAnsi="Cambria"/>
          <w:bCs/>
          <w:iCs/>
        </w:rPr>
        <w:t>desservant les aérodromes dits de désenclavement.</w:t>
      </w:r>
    </w:p>
    <w:p w14:paraId="08D921AD" w14:textId="77777777" w:rsidR="00373A04" w:rsidRPr="0038799A" w:rsidRDefault="00373A04" w:rsidP="00373A04">
      <w:pPr>
        <w:pStyle w:val="-LettreTexteGEDA"/>
        <w:spacing w:before="0"/>
        <w:rPr>
          <w:rFonts w:ascii="Cambria" w:hAnsi="Cambria"/>
          <w:bCs/>
          <w:iCs/>
        </w:rPr>
      </w:pPr>
    </w:p>
    <w:p w14:paraId="0CEDA0D9" w14:textId="48FCBCD6" w:rsidR="00373A04" w:rsidRPr="0038799A" w:rsidRDefault="00373A04" w:rsidP="0038799A">
      <w:pPr>
        <w:pStyle w:val="-LettreTexteGEDA"/>
        <w:spacing w:before="0"/>
        <w:ind w:firstLine="0"/>
        <w:rPr>
          <w:rFonts w:ascii="Cambria" w:hAnsi="Cambria"/>
          <w:noProof w:val="0"/>
        </w:rPr>
      </w:pPr>
      <w:r w:rsidRPr="0038799A">
        <w:rPr>
          <w:rFonts w:ascii="Cambria" w:hAnsi="Cambria"/>
          <w:noProof w:val="0"/>
        </w:rPr>
        <w:t xml:space="preserve">En contrepartie de la desserte aérienne interinsulaire, le Pays a accepté d’accompagner Air Tahiti dans la réalisation de cette desserte par le biais d’une subvention d’équilibre fixée à 450 millions </w:t>
      </w:r>
      <w:proofErr w:type="spellStart"/>
      <w:r w:rsidRPr="0038799A">
        <w:rPr>
          <w:rFonts w:ascii="Cambria" w:hAnsi="Cambria"/>
          <w:noProof w:val="0"/>
        </w:rPr>
        <w:t>F</w:t>
      </w:r>
      <w:r w:rsidR="0038799A">
        <w:rPr>
          <w:rFonts w:ascii="Cambria" w:hAnsi="Cambria"/>
          <w:noProof w:val="0"/>
        </w:rPr>
        <w:t>cfp</w:t>
      </w:r>
      <w:proofErr w:type="spellEnd"/>
      <w:r w:rsidR="0038799A">
        <w:rPr>
          <w:rFonts w:ascii="Cambria" w:hAnsi="Cambria"/>
          <w:noProof w:val="0"/>
        </w:rPr>
        <w:t xml:space="preserve">, </w:t>
      </w:r>
      <w:r w:rsidRPr="0038799A">
        <w:rPr>
          <w:rFonts w:ascii="Cambria" w:hAnsi="Cambria"/>
          <w:noProof w:val="0"/>
        </w:rPr>
        <w:t>qui sera versé</w:t>
      </w:r>
      <w:r w:rsidR="0038799A">
        <w:rPr>
          <w:rFonts w:ascii="Cambria" w:hAnsi="Cambria"/>
          <w:noProof w:val="0"/>
        </w:rPr>
        <w:t>e</w:t>
      </w:r>
      <w:r w:rsidRPr="0038799A">
        <w:rPr>
          <w:rFonts w:ascii="Cambria" w:hAnsi="Cambria"/>
          <w:noProof w:val="0"/>
        </w:rPr>
        <w:t xml:space="preserve"> au plus tard le 30 juin 202</w:t>
      </w:r>
      <w:r w:rsidR="0038799A">
        <w:rPr>
          <w:rFonts w:ascii="Cambria" w:hAnsi="Cambria"/>
          <w:noProof w:val="0"/>
        </w:rPr>
        <w:t>1</w:t>
      </w:r>
      <w:r w:rsidRPr="0038799A">
        <w:rPr>
          <w:rFonts w:ascii="Cambria" w:hAnsi="Cambria"/>
          <w:noProof w:val="0"/>
        </w:rPr>
        <w:t>, pour compenser financièrement et forfaitairement les déficits dans l’exécution du programme minimal de vols.</w:t>
      </w:r>
    </w:p>
    <w:p w14:paraId="134064C0" w14:textId="77777777" w:rsidR="00373A04" w:rsidRPr="0038799A" w:rsidRDefault="00373A04" w:rsidP="00373A04">
      <w:pPr>
        <w:pStyle w:val="-LettreTexteGEDA"/>
        <w:spacing w:before="0"/>
        <w:rPr>
          <w:rFonts w:ascii="Cambria" w:hAnsi="Cambria"/>
          <w:noProof w:val="0"/>
        </w:rPr>
      </w:pPr>
    </w:p>
    <w:p w14:paraId="2865CAE8" w14:textId="4DFCA786" w:rsidR="00373A04" w:rsidRPr="0038799A" w:rsidRDefault="00373A04" w:rsidP="0038799A">
      <w:pPr>
        <w:pStyle w:val="-LettreTexteGEDA"/>
        <w:spacing w:before="0"/>
        <w:ind w:firstLine="0"/>
        <w:rPr>
          <w:rFonts w:ascii="Cambria" w:hAnsi="Cambria"/>
          <w:noProof w:val="0"/>
        </w:rPr>
      </w:pPr>
      <w:r w:rsidRPr="0038799A">
        <w:rPr>
          <w:rFonts w:ascii="Cambria" w:hAnsi="Cambria"/>
          <w:noProof w:val="0"/>
        </w:rPr>
        <w:lastRenderedPageBreak/>
        <w:t xml:space="preserve">C’est à cet effet que le </w:t>
      </w:r>
      <w:r w:rsidR="0038799A">
        <w:rPr>
          <w:rFonts w:ascii="Cambria" w:hAnsi="Cambria"/>
          <w:noProof w:val="0"/>
        </w:rPr>
        <w:t>C</w:t>
      </w:r>
      <w:r w:rsidRPr="0038799A">
        <w:rPr>
          <w:rFonts w:ascii="Cambria" w:hAnsi="Cambria"/>
          <w:noProof w:val="0"/>
        </w:rPr>
        <w:t>onseil des ministres vient d’adopter l’octroi de cette subvention à concurrence du montant de son engagement.</w:t>
      </w:r>
    </w:p>
    <w:p w14:paraId="6425DFC0" w14:textId="77777777" w:rsidR="00373A04" w:rsidRDefault="00373A04" w:rsidP="00373A04">
      <w:pPr>
        <w:pStyle w:val="-LettreTexteGEDA"/>
        <w:spacing w:before="0"/>
        <w:rPr>
          <w:noProof w:val="0"/>
        </w:rPr>
      </w:pPr>
    </w:p>
    <w:p w14:paraId="0C798CD7" w14:textId="77777777" w:rsidR="00CE7851" w:rsidRPr="000844CF" w:rsidRDefault="00CE7851" w:rsidP="00CE7851">
      <w:pPr>
        <w:spacing w:before="100" w:beforeAutospacing="1" w:after="100" w:afterAutospacing="1"/>
        <w:jc w:val="both"/>
        <w:rPr>
          <w:rFonts w:ascii="Cambria" w:hAnsi="Cambria"/>
          <w:lang w:eastAsia="fr-FR"/>
        </w:rPr>
      </w:pPr>
      <w:r w:rsidRPr="000844CF">
        <w:rPr>
          <w:rFonts w:ascii="Cambria" w:hAnsi="Cambria"/>
          <w:b/>
          <w:bCs/>
          <w:lang w:eastAsia="fr-FR"/>
        </w:rPr>
        <w:t xml:space="preserve">Bilan du </w:t>
      </w:r>
      <w:proofErr w:type="spellStart"/>
      <w:r w:rsidRPr="000844CF">
        <w:rPr>
          <w:rFonts w:ascii="Cambria" w:hAnsi="Cambria"/>
          <w:b/>
          <w:bCs/>
          <w:lang w:eastAsia="fr-FR"/>
        </w:rPr>
        <w:t>Tīteti</w:t>
      </w:r>
      <w:proofErr w:type="spellEnd"/>
      <w:r w:rsidRPr="000844CF">
        <w:rPr>
          <w:rFonts w:ascii="Cambria" w:hAnsi="Cambria"/>
          <w:b/>
          <w:bCs/>
          <w:lang w:eastAsia="fr-FR"/>
        </w:rPr>
        <w:t xml:space="preserve"> ‘</w:t>
      </w:r>
      <w:proofErr w:type="spellStart"/>
      <w:r w:rsidRPr="000844CF">
        <w:rPr>
          <w:rFonts w:ascii="Cambria" w:hAnsi="Cambria"/>
          <w:b/>
          <w:bCs/>
          <w:lang w:eastAsia="fr-FR"/>
        </w:rPr>
        <w:t>Āia</w:t>
      </w:r>
      <w:proofErr w:type="spellEnd"/>
      <w:r w:rsidRPr="000844CF">
        <w:rPr>
          <w:rFonts w:ascii="Cambria" w:hAnsi="Cambria"/>
          <w:b/>
          <w:bCs/>
          <w:lang w:eastAsia="fr-FR"/>
        </w:rPr>
        <w:t xml:space="preserve"> au 31 mai et perspectives</w:t>
      </w:r>
    </w:p>
    <w:p w14:paraId="2E1CBCA5" w14:textId="77777777" w:rsidR="00CE7851" w:rsidRPr="000844CF" w:rsidRDefault="00CE7851" w:rsidP="00CE7851">
      <w:pPr>
        <w:spacing w:before="100" w:beforeAutospacing="1" w:after="100" w:afterAutospacing="1"/>
        <w:jc w:val="both"/>
        <w:rPr>
          <w:rFonts w:ascii="Cambria" w:hAnsi="Cambria"/>
          <w:lang w:eastAsia="fr-FR"/>
        </w:rPr>
      </w:pPr>
      <w:r w:rsidRPr="000844CF">
        <w:rPr>
          <w:rFonts w:ascii="Cambria" w:hAnsi="Cambria"/>
          <w:lang w:eastAsia="fr-FR"/>
        </w:rPr>
        <w:t xml:space="preserve">Dans un contexte où les conditions de voyage en transport aérien au départ et à destination de la Polynésie française ont été restreintes </w:t>
      </w:r>
      <w:proofErr w:type="gramStart"/>
      <w:r w:rsidRPr="000844CF">
        <w:rPr>
          <w:rFonts w:ascii="Cambria" w:hAnsi="Cambria"/>
          <w:lang w:eastAsia="fr-FR"/>
        </w:rPr>
        <w:t>suite à</w:t>
      </w:r>
      <w:proofErr w:type="gramEnd"/>
      <w:r w:rsidRPr="000844CF">
        <w:rPr>
          <w:rFonts w:ascii="Cambria" w:hAnsi="Cambria"/>
          <w:lang w:eastAsia="fr-FR"/>
        </w:rPr>
        <w:t xml:space="preserve"> l’adoption du décret du 30 janvier 2021 aux seuls motifs impérieux d’ordre professionnel, sanitaire ou familial, le Pays a mis en place un dispositif de coupons voyage dénommé </w:t>
      </w:r>
      <w:proofErr w:type="spellStart"/>
      <w:r w:rsidRPr="000844CF">
        <w:rPr>
          <w:rFonts w:ascii="Cambria" w:hAnsi="Cambria"/>
          <w:lang w:eastAsia="fr-FR"/>
        </w:rPr>
        <w:t>Tīteti</w:t>
      </w:r>
      <w:proofErr w:type="spellEnd"/>
      <w:r w:rsidRPr="000844CF">
        <w:rPr>
          <w:rFonts w:ascii="Cambria" w:hAnsi="Cambria"/>
          <w:lang w:eastAsia="fr-FR"/>
        </w:rPr>
        <w:t xml:space="preserve"> ‘</w:t>
      </w:r>
      <w:proofErr w:type="spellStart"/>
      <w:r w:rsidRPr="000844CF">
        <w:rPr>
          <w:rFonts w:ascii="Cambria" w:hAnsi="Cambria"/>
          <w:lang w:eastAsia="fr-FR"/>
        </w:rPr>
        <w:t>Āia</w:t>
      </w:r>
      <w:proofErr w:type="spellEnd"/>
      <w:r w:rsidRPr="000844CF">
        <w:rPr>
          <w:rFonts w:ascii="Cambria" w:hAnsi="Cambria"/>
          <w:lang w:eastAsia="fr-FR"/>
        </w:rPr>
        <w:t xml:space="preserve"> afin d’inciter les résidents à visiter les îles et favoriser ainsi le tourisme d’intérieur. L’objectif de </w:t>
      </w:r>
      <w:proofErr w:type="spellStart"/>
      <w:r w:rsidRPr="000844CF">
        <w:rPr>
          <w:rFonts w:ascii="Cambria" w:hAnsi="Cambria"/>
          <w:lang w:eastAsia="fr-FR"/>
        </w:rPr>
        <w:t>Tīteti</w:t>
      </w:r>
      <w:proofErr w:type="spellEnd"/>
      <w:r w:rsidRPr="000844CF">
        <w:rPr>
          <w:rFonts w:ascii="Cambria" w:hAnsi="Cambria"/>
          <w:lang w:eastAsia="fr-FR"/>
        </w:rPr>
        <w:t xml:space="preserve"> ‘</w:t>
      </w:r>
      <w:proofErr w:type="spellStart"/>
      <w:r w:rsidRPr="000844CF">
        <w:rPr>
          <w:rFonts w:ascii="Cambria" w:hAnsi="Cambria"/>
          <w:lang w:eastAsia="fr-FR"/>
        </w:rPr>
        <w:t>Āia</w:t>
      </w:r>
      <w:proofErr w:type="spellEnd"/>
      <w:r w:rsidRPr="000844CF">
        <w:rPr>
          <w:rFonts w:ascii="Cambria" w:hAnsi="Cambria"/>
          <w:lang w:eastAsia="fr-FR"/>
        </w:rPr>
        <w:t xml:space="preserve"> est de favoriser la consommation intérieure au profit de l’économie </w:t>
      </w:r>
      <w:r>
        <w:rPr>
          <w:rFonts w:ascii="Cambria" w:hAnsi="Cambria"/>
          <w:lang w:eastAsia="fr-FR"/>
        </w:rPr>
        <w:t>des</w:t>
      </w:r>
      <w:r w:rsidRPr="000844CF">
        <w:rPr>
          <w:rFonts w:ascii="Cambria" w:hAnsi="Cambria"/>
          <w:lang w:eastAsia="fr-FR"/>
        </w:rPr>
        <w:t xml:space="preserve"> îles en l’absence de tourisme international. Il s’agit d’un dispositif participant à la sauvegarde du tourisme, de ses activités, de ses revenus</w:t>
      </w:r>
      <w:r>
        <w:rPr>
          <w:rFonts w:ascii="Cambria" w:hAnsi="Cambria"/>
          <w:lang w:eastAsia="fr-FR"/>
        </w:rPr>
        <w:t xml:space="preserve"> et</w:t>
      </w:r>
      <w:r w:rsidRPr="000844CF">
        <w:rPr>
          <w:rFonts w:ascii="Cambria" w:hAnsi="Cambria"/>
          <w:lang w:eastAsia="fr-FR"/>
        </w:rPr>
        <w:t xml:space="preserve"> de ses emplois.</w:t>
      </w:r>
    </w:p>
    <w:p w14:paraId="1F7DC3AF" w14:textId="77777777" w:rsidR="00CE7851" w:rsidRPr="000844CF" w:rsidRDefault="00CE7851" w:rsidP="00CE7851">
      <w:pPr>
        <w:spacing w:before="100" w:beforeAutospacing="1" w:after="100" w:afterAutospacing="1"/>
        <w:jc w:val="both"/>
        <w:rPr>
          <w:rFonts w:ascii="Cambria" w:hAnsi="Cambria"/>
          <w:lang w:eastAsia="fr-FR"/>
        </w:rPr>
      </w:pPr>
      <w:r w:rsidRPr="000844CF">
        <w:rPr>
          <w:rFonts w:ascii="Cambria" w:hAnsi="Cambria"/>
          <w:lang w:eastAsia="fr-FR"/>
        </w:rPr>
        <w:t xml:space="preserve">Pour rappel, les valeurs des coupons varient de 2 000 </w:t>
      </w:r>
      <w:proofErr w:type="spellStart"/>
      <w:r w:rsidRPr="000844CF">
        <w:rPr>
          <w:rFonts w:ascii="Cambria" w:hAnsi="Cambria"/>
          <w:lang w:eastAsia="fr-FR"/>
        </w:rPr>
        <w:t>Fcfp</w:t>
      </w:r>
      <w:proofErr w:type="spellEnd"/>
      <w:r w:rsidRPr="000844CF">
        <w:rPr>
          <w:rFonts w:ascii="Cambria" w:hAnsi="Cambria"/>
          <w:lang w:eastAsia="fr-FR"/>
        </w:rPr>
        <w:t xml:space="preserve"> à 16 000 </w:t>
      </w:r>
      <w:proofErr w:type="spellStart"/>
      <w:r w:rsidRPr="000844CF">
        <w:rPr>
          <w:rFonts w:ascii="Cambria" w:hAnsi="Cambria"/>
          <w:lang w:eastAsia="fr-FR"/>
        </w:rPr>
        <w:t>Fcfp</w:t>
      </w:r>
      <w:proofErr w:type="spellEnd"/>
      <w:r w:rsidRPr="000844CF">
        <w:rPr>
          <w:rFonts w:ascii="Cambria" w:hAnsi="Cambria"/>
          <w:lang w:eastAsia="fr-FR"/>
        </w:rPr>
        <w:t xml:space="preserve"> par personne en fonction de l’éloignement de la destination du séjour et de l’âge du bénéficiaire.</w:t>
      </w:r>
    </w:p>
    <w:p w14:paraId="36C8DDD4" w14:textId="77777777" w:rsidR="00CE7851" w:rsidRPr="000844CF" w:rsidRDefault="00CE7851" w:rsidP="00CE7851">
      <w:pPr>
        <w:spacing w:before="100" w:beforeAutospacing="1" w:after="100" w:afterAutospacing="1"/>
        <w:jc w:val="both"/>
        <w:rPr>
          <w:rFonts w:ascii="Cambria" w:hAnsi="Cambria"/>
          <w:lang w:eastAsia="fr-FR"/>
        </w:rPr>
      </w:pPr>
      <w:r w:rsidRPr="000844CF">
        <w:rPr>
          <w:rFonts w:ascii="Cambria" w:hAnsi="Cambria"/>
          <w:lang w:eastAsia="fr-FR"/>
        </w:rPr>
        <w:t xml:space="preserve">Pour faciliter sa mise en œuvre, la gestion du dispositif a été confié à Tahiti Tourisme par mandat de gestion dans la limite budgétaire de 50 millions </w:t>
      </w:r>
      <w:proofErr w:type="spellStart"/>
      <w:r>
        <w:rPr>
          <w:rFonts w:ascii="Cambria" w:hAnsi="Cambria"/>
          <w:lang w:eastAsia="fr-FR"/>
        </w:rPr>
        <w:t>Fcfp</w:t>
      </w:r>
      <w:proofErr w:type="spellEnd"/>
      <w:r w:rsidRPr="000844CF">
        <w:rPr>
          <w:rFonts w:ascii="Cambria" w:hAnsi="Cambria"/>
          <w:lang w:eastAsia="fr-FR"/>
        </w:rPr>
        <w:t xml:space="preserve">. Afin de déployer </w:t>
      </w:r>
      <w:proofErr w:type="spellStart"/>
      <w:r w:rsidRPr="000844CF">
        <w:rPr>
          <w:rFonts w:ascii="Cambria" w:hAnsi="Cambria"/>
          <w:lang w:eastAsia="fr-FR"/>
        </w:rPr>
        <w:t>Tīteti</w:t>
      </w:r>
      <w:proofErr w:type="spellEnd"/>
      <w:r w:rsidRPr="000844CF">
        <w:rPr>
          <w:rFonts w:ascii="Cambria" w:hAnsi="Cambria"/>
          <w:lang w:eastAsia="fr-FR"/>
        </w:rPr>
        <w:t xml:space="preserve"> ‘</w:t>
      </w:r>
      <w:proofErr w:type="spellStart"/>
      <w:r w:rsidRPr="000844CF">
        <w:rPr>
          <w:rFonts w:ascii="Cambria" w:hAnsi="Cambria"/>
          <w:lang w:eastAsia="fr-FR"/>
        </w:rPr>
        <w:t>Āia</w:t>
      </w:r>
      <w:proofErr w:type="spellEnd"/>
      <w:r w:rsidRPr="000844CF">
        <w:rPr>
          <w:rFonts w:ascii="Cambria" w:hAnsi="Cambria"/>
          <w:lang w:eastAsia="fr-FR"/>
        </w:rPr>
        <w:t xml:space="preserve">, le groupement a développé un site internet Titeti-Aia.pf permettant tant aux professionnels d’adhérer au dispositif qu’au voyageur de réserver leur coupon voyage, </w:t>
      </w:r>
      <w:r>
        <w:rPr>
          <w:rFonts w:ascii="Cambria" w:hAnsi="Cambria"/>
          <w:lang w:eastAsia="fr-FR"/>
        </w:rPr>
        <w:t xml:space="preserve">a </w:t>
      </w:r>
      <w:r w:rsidRPr="000844CF">
        <w:rPr>
          <w:rFonts w:ascii="Cambria" w:hAnsi="Cambria"/>
          <w:lang w:eastAsia="fr-FR"/>
        </w:rPr>
        <w:t xml:space="preserve">mobilisé des agents pour gérer les demandes en ligne, par téléphone et recevoir les demandeurs au Fare </w:t>
      </w:r>
      <w:proofErr w:type="spellStart"/>
      <w:r w:rsidRPr="000844CF">
        <w:rPr>
          <w:rFonts w:ascii="Cambria" w:hAnsi="Cambria"/>
          <w:lang w:eastAsia="fr-FR"/>
        </w:rPr>
        <w:t>Manihini</w:t>
      </w:r>
      <w:proofErr w:type="spellEnd"/>
      <w:r>
        <w:rPr>
          <w:rFonts w:ascii="Cambria" w:hAnsi="Cambria"/>
          <w:lang w:eastAsia="fr-FR"/>
        </w:rPr>
        <w:t>,</w:t>
      </w:r>
      <w:r w:rsidRPr="000844CF">
        <w:rPr>
          <w:rFonts w:ascii="Cambria" w:hAnsi="Cambria"/>
          <w:lang w:eastAsia="fr-FR"/>
        </w:rPr>
        <w:t xml:space="preserve"> et </w:t>
      </w:r>
      <w:r>
        <w:rPr>
          <w:rFonts w:ascii="Cambria" w:hAnsi="Cambria"/>
          <w:lang w:eastAsia="fr-FR"/>
        </w:rPr>
        <w:t xml:space="preserve">a </w:t>
      </w:r>
      <w:r w:rsidRPr="000844CF">
        <w:rPr>
          <w:rFonts w:ascii="Cambria" w:hAnsi="Cambria"/>
          <w:lang w:eastAsia="fr-FR"/>
        </w:rPr>
        <w:t>organisé le recrutement et l’adhésion des prestataires touristiques éligibles au dispositif avec un accompagnement dédié.</w:t>
      </w:r>
    </w:p>
    <w:p w14:paraId="52F2CBE8" w14:textId="77777777" w:rsidR="00CE7851" w:rsidRPr="000844CF" w:rsidRDefault="00CE7851" w:rsidP="00CE7851">
      <w:pPr>
        <w:spacing w:before="100" w:beforeAutospacing="1" w:after="100" w:afterAutospacing="1"/>
        <w:jc w:val="both"/>
        <w:rPr>
          <w:rFonts w:ascii="Cambria" w:hAnsi="Cambria"/>
          <w:lang w:eastAsia="fr-FR"/>
        </w:rPr>
      </w:pPr>
      <w:r w:rsidRPr="000844CF">
        <w:rPr>
          <w:rFonts w:ascii="Cambria" w:hAnsi="Cambria"/>
          <w:lang w:eastAsia="fr-FR"/>
        </w:rPr>
        <w:t>Cette mise en œuvre, réalisée dans des délais très court, a permis le lancement grand public du dispositif le 8 avril dernier avec l’ouverture de la plateforme Titeti-Aia.pf aux voyageurs polynésiens.</w:t>
      </w:r>
    </w:p>
    <w:p w14:paraId="47855E78" w14:textId="77777777" w:rsidR="00CE7851" w:rsidRPr="000844CF" w:rsidRDefault="00CE7851" w:rsidP="00CE7851">
      <w:pPr>
        <w:spacing w:before="100" w:beforeAutospacing="1" w:after="100" w:afterAutospacing="1"/>
        <w:jc w:val="both"/>
        <w:rPr>
          <w:rFonts w:ascii="Cambria" w:hAnsi="Cambria"/>
          <w:lang w:eastAsia="fr-FR"/>
        </w:rPr>
      </w:pPr>
      <w:r w:rsidRPr="000844CF">
        <w:rPr>
          <w:rFonts w:ascii="Cambria" w:hAnsi="Cambria"/>
          <w:lang w:eastAsia="fr-FR"/>
        </w:rPr>
        <w:t>Les conditions d’éligibilité de ce dispositif sont :</w:t>
      </w:r>
    </w:p>
    <w:p w14:paraId="6285FD9B" w14:textId="77777777" w:rsidR="00CE7851" w:rsidRPr="000844CF" w:rsidRDefault="00CE7851" w:rsidP="00CE7851">
      <w:pPr>
        <w:numPr>
          <w:ilvl w:val="0"/>
          <w:numId w:val="21"/>
        </w:numPr>
        <w:spacing w:before="100" w:beforeAutospacing="1" w:after="100" w:afterAutospacing="1"/>
        <w:jc w:val="both"/>
        <w:rPr>
          <w:rFonts w:ascii="Cambria" w:hAnsi="Cambria"/>
          <w:lang w:eastAsia="fr-FR"/>
        </w:rPr>
      </w:pPr>
      <w:r w:rsidRPr="000844CF">
        <w:rPr>
          <w:rFonts w:ascii="Cambria" w:hAnsi="Cambria"/>
          <w:lang w:eastAsia="fr-FR"/>
        </w:rPr>
        <w:t>Voyage au minimum à 2 pax (pour éviter de financer les déplacements professionnels) </w:t>
      </w:r>
    </w:p>
    <w:p w14:paraId="495EFF3F" w14:textId="77777777" w:rsidR="00CE7851" w:rsidRPr="000844CF" w:rsidRDefault="00CE7851" w:rsidP="00CE7851">
      <w:pPr>
        <w:numPr>
          <w:ilvl w:val="0"/>
          <w:numId w:val="21"/>
        </w:numPr>
        <w:spacing w:before="100" w:beforeAutospacing="1" w:after="100" w:afterAutospacing="1"/>
        <w:jc w:val="both"/>
        <w:rPr>
          <w:rFonts w:ascii="Cambria" w:hAnsi="Cambria"/>
          <w:lang w:eastAsia="fr-FR"/>
        </w:rPr>
      </w:pPr>
      <w:r w:rsidRPr="000844CF">
        <w:rPr>
          <w:rFonts w:ascii="Cambria" w:hAnsi="Cambria"/>
          <w:lang w:eastAsia="fr-FR"/>
        </w:rPr>
        <w:t>Minimum 2 nuitées en hébergement payant terrestres incluant des services de restauration dans le prix de la nuitée ou en hébergement flottant incluant équipage (pour favoriser les séjours de moyenne durée, effet économique plus important) </w:t>
      </w:r>
    </w:p>
    <w:p w14:paraId="5C72E8DB" w14:textId="77777777" w:rsidR="00CE7851" w:rsidRPr="000844CF" w:rsidRDefault="00CE7851" w:rsidP="00CE7851">
      <w:pPr>
        <w:numPr>
          <w:ilvl w:val="0"/>
          <w:numId w:val="21"/>
        </w:numPr>
        <w:spacing w:before="100" w:beforeAutospacing="1" w:after="100" w:afterAutospacing="1"/>
        <w:jc w:val="both"/>
        <w:rPr>
          <w:rFonts w:ascii="Cambria" w:hAnsi="Cambria"/>
          <w:lang w:eastAsia="fr-FR"/>
        </w:rPr>
      </w:pPr>
      <w:r w:rsidRPr="000844CF">
        <w:rPr>
          <w:rFonts w:ascii="Cambria" w:hAnsi="Cambria"/>
          <w:lang w:eastAsia="fr-FR"/>
        </w:rPr>
        <w:t>Obligation de résider en Polynésie française (dispositif destiné aux locaux) </w:t>
      </w:r>
    </w:p>
    <w:p w14:paraId="3F5BF2A6" w14:textId="77777777" w:rsidR="00CE7851" w:rsidRPr="000844CF" w:rsidRDefault="00CE7851" w:rsidP="00CE7851">
      <w:pPr>
        <w:numPr>
          <w:ilvl w:val="0"/>
          <w:numId w:val="21"/>
        </w:numPr>
        <w:spacing w:before="100" w:beforeAutospacing="1" w:after="100" w:afterAutospacing="1"/>
        <w:jc w:val="both"/>
        <w:rPr>
          <w:rFonts w:ascii="Cambria" w:hAnsi="Cambria"/>
          <w:lang w:eastAsia="fr-FR"/>
        </w:rPr>
      </w:pPr>
      <w:r w:rsidRPr="000844CF">
        <w:rPr>
          <w:rFonts w:ascii="Cambria" w:hAnsi="Cambria"/>
          <w:lang w:eastAsia="fr-FR"/>
        </w:rPr>
        <w:t>Durée de validité du coupon fixé à 2 mois (courte durée de validité pour inciter de manière quasi immédiate à la consommation, au voyage dans les îles) </w:t>
      </w:r>
    </w:p>
    <w:p w14:paraId="4578A305" w14:textId="77777777" w:rsidR="00CE7851" w:rsidRPr="000844CF" w:rsidRDefault="00CE7851" w:rsidP="00CE7851">
      <w:pPr>
        <w:numPr>
          <w:ilvl w:val="0"/>
          <w:numId w:val="21"/>
        </w:numPr>
        <w:spacing w:before="100" w:beforeAutospacing="1" w:after="100" w:afterAutospacing="1"/>
        <w:jc w:val="both"/>
        <w:rPr>
          <w:rFonts w:ascii="Cambria" w:hAnsi="Cambria"/>
          <w:lang w:eastAsia="fr-FR"/>
        </w:rPr>
      </w:pPr>
      <w:r w:rsidRPr="000844CF">
        <w:rPr>
          <w:rFonts w:ascii="Cambria" w:hAnsi="Cambria"/>
          <w:lang w:eastAsia="fr-FR"/>
        </w:rPr>
        <w:t>Réservations effectuées après le 1er mars 2021 (pour éviter le cumul des offres avec celles du dernier salon du tourisme – février 2021)</w:t>
      </w:r>
    </w:p>
    <w:p w14:paraId="4012D30E" w14:textId="77777777" w:rsidR="00CE7851" w:rsidRPr="000844CF" w:rsidRDefault="00CE7851" w:rsidP="00CE7851">
      <w:pPr>
        <w:spacing w:before="100" w:beforeAutospacing="1" w:after="100" w:afterAutospacing="1"/>
        <w:jc w:val="both"/>
        <w:rPr>
          <w:rFonts w:ascii="Cambria" w:hAnsi="Cambria"/>
          <w:lang w:eastAsia="fr-FR"/>
        </w:rPr>
      </w:pPr>
      <w:r w:rsidRPr="000844CF">
        <w:rPr>
          <w:rFonts w:ascii="Cambria" w:hAnsi="Cambria"/>
          <w:lang w:eastAsia="fr-FR"/>
        </w:rPr>
        <w:t>Ce programme recueille l’adhésion des entreprises du tourisme.</w:t>
      </w:r>
      <w:r>
        <w:rPr>
          <w:rFonts w:ascii="Cambria" w:hAnsi="Cambria"/>
          <w:lang w:eastAsia="fr-FR"/>
        </w:rPr>
        <w:t xml:space="preserve"> </w:t>
      </w:r>
      <w:r w:rsidRPr="000844CF">
        <w:rPr>
          <w:rFonts w:ascii="Cambria" w:hAnsi="Cambria"/>
          <w:lang w:eastAsia="fr-FR"/>
        </w:rPr>
        <w:t xml:space="preserve">Après seulement 2 mois, Tahiti tourisme recense près de 260 entreprises adhérentes au dispositif, soit 23% de plus que le nombre de participants au salon du tourisme qui s’est tenu au mois de février en distanciel : 157 établissements d’hébergement terrestres et flottant, dont principalement 115 pensions de familles, soit 73% des établissements adhérents, 93 prestataires d’activités pour 35%, dont principalement 51 prestataires d’activités terrestres, soit 55% </w:t>
      </w:r>
      <w:r w:rsidRPr="000844CF">
        <w:rPr>
          <w:rFonts w:ascii="Cambria" w:hAnsi="Cambria"/>
          <w:lang w:eastAsia="fr-FR"/>
        </w:rPr>
        <w:lastRenderedPageBreak/>
        <w:t>des prestataires adhérents</w:t>
      </w:r>
      <w:r>
        <w:rPr>
          <w:rFonts w:ascii="Cambria" w:hAnsi="Cambria"/>
          <w:lang w:eastAsia="fr-FR"/>
        </w:rPr>
        <w:t>,</w:t>
      </w:r>
      <w:r w:rsidRPr="000844CF">
        <w:rPr>
          <w:rFonts w:ascii="Cambria" w:hAnsi="Cambria"/>
          <w:lang w:eastAsia="fr-FR"/>
        </w:rPr>
        <w:t xml:space="preserve"> et 40 prestataires d’activités nautiques, soit 43% et 9 agences de voyages pour 5%.</w:t>
      </w:r>
    </w:p>
    <w:p w14:paraId="2D378A91" w14:textId="77777777" w:rsidR="00CE7851" w:rsidRPr="000844CF" w:rsidRDefault="00CE7851" w:rsidP="00CE7851">
      <w:pPr>
        <w:spacing w:before="100" w:beforeAutospacing="1" w:after="100" w:afterAutospacing="1"/>
        <w:jc w:val="both"/>
        <w:rPr>
          <w:rFonts w:ascii="Cambria" w:hAnsi="Cambria"/>
          <w:lang w:eastAsia="fr-FR"/>
        </w:rPr>
      </w:pPr>
      <w:r w:rsidRPr="000844CF">
        <w:rPr>
          <w:rFonts w:ascii="Cambria" w:hAnsi="Cambria"/>
          <w:lang w:eastAsia="fr-FR"/>
        </w:rPr>
        <w:t xml:space="preserve">Au 31 mai, sur la base des transactions effectuées, une première répartition par secteurs d’activité peut être établie avec en tête les pensions de familles (40%), suivies par les hôtels (33%) dont principalement la chaîne des Pearl </w:t>
      </w:r>
      <w:proofErr w:type="spellStart"/>
      <w:r w:rsidRPr="000844CF">
        <w:rPr>
          <w:rFonts w:ascii="Cambria" w:hAnsi="Cambria"/>
          <w:lang w:eastAsia="fr-FR"/>
        </w:rPr>
        <w:t>Resort</w:t>
      </w:r>
      <w:proofErr w:type="spellEnd"/>
      <w:r w:rsidRPr="000844CF">
        <w:rPr>
          <w:rFonts w:ascii="Cambria" w:hAnsi="Cambria"/>
          <w:lang w:eastAsia="fr-FR"/>
        </w:rPr>
        <w:t xml:space="preserve">, le </w:t>
      </w:r>
      <w:proofErr w:type="spellStart"/>
      <w:r w:rsidRPr="000844CF">
        <w:rPr>
          <w:rFonts w:ascii="Cambria" w:hAnsi="Cambria"/>
          <w:lang w:eastAsia="fr-FR"/>
        </w:rPr>
        <w:t>Mahana</w:t>
      </w:r>
      <w:proofErr w:type="spellEnd"/>
      <w:r w:rsidRPr="000844CF">
        <w:rPr>
          <w:rFonts w:ascii="Cambria" w:hAnsi="Cambria"/>
          <w:lang w:eastAsia="fr-FR"/>
        </w:rPr>
        <w:t xml:space="preserve"> Huahine et le Kia Ora </w:t>
      </w:r>
      <w:proofErr w:type="spellStart"/>
      <w:r w:rsidRPr="000844CF">
        <w:rPr>
          <w:rFonts w:ascii="Cambria" w:hAnsi="Cambria"/>
          <w:lang w:eastAsia="fr-FR"/>
        </w:rPr>
        <w:t>Resort</w:t>
      </w:r>
      <w:proofErr w:type="spellEnd"/>
      <w:r w:rsidRPr="000844CF">
        <w:rPr>
          <w:rFonts w:ascii="Cambria" w:hAnsi="Cambria"/>
          <w:lang w:eastAsia="fr-FR"/>
        </w:rPr>
        <w:t xml:space="preserve"> de Rangiroa, la croisière avec l’</w:t>
      </w:r>
      <w:proofErr w:type="spellStart"/>
      <w:r w:rsidRPr="000844CF">
        <w:rPr>
          <w:rFonts w:ascii="Cambria" w:hAnsi="Cambria"/>
          <w:lang w:eastAsia="fr-FR"/>
        </w:rPr>
        <w:t>Aranui</w:t>
      </w:r>
      <w:proofErr w:type="spellEnd"/>
      <w:r w:rsidRPr="000844CF">
        <w:rPr>
          <w:rFonts w:ascii="Cambria" w:hAnsi="Cambria"/>
          <w:lang w:eastAsia="fr-FR"/>
        </w:rPr>
        <w:t xml:space="preserve"> (12%), et le charter nautique (4%).</w:t>
      </w:r>
    </w:p>
    <w:p w14:paraId="46CBA548" w14:textId="77777777" w:rsidR="00CE7851" w:rsidRPr="000844CF" w:rsidRDefault="00CE7851" w:rsidP="00CE7851">
      <w:pPr>
        <w:spacing w:before="100" w:beforeAutospacing="1" w:after="100" w:afterAutospacing="1"/>
        <w:jc w:val="both"/>
        <w:rPr>
          <w:rFonts w:ascii="Cambria" w:hAnsi="Cambria"/>
          <w:lang w:eastAsia="fr-FR"/>
        </w:rPr>
      </w:pPr>
      <w:r w:rsidRPr="000844CF">
        <w:rPr>
          <w:rFonts w:ascii="Cambria" w:hAnsi="Cambria"/>
          <w:lang w:eastAsia="fr-FR"/>
        </w:rPr>
        <w:t xml:space="preserve">Sur cette même période, Tahiti </w:t>
      </w:r>
      <w:r>
        <w:rPr>
          <w:rFonts w:ascii="Cambria" w:hAnsi="Cambria"/>
          <w:lang w:eastAsia="fr-FR"/>
        </w:rPr>
        <w:t>T</w:t>
      </w:r>
      <w:r w:rsidRPr="000844CF">
        <w:rPr>
          <w:rFonts w:ascii="Cambria" w:hAnsi="Cambria"/>
          <w:lang w:eastAsia="fr-FR"/>
        </w:rPr>
        <w:t xml:space="preserve">ourisme compte 3 380 voyageurs inscrits sur la plateforme dont les séjours sont compris entre le 15 avril et le 30 juillet 2021 pour un budget engagé à 30.6 millions </w:t>
      </w:r>
      <w:proofErr w:type="spellStart"/>
      <w:r>
        <w:rPr>
          <w:rFonts w:ascii="Cambria" w:hAnsi="Cambria"/>
          <w:lang w:eastAsia="fr-FR"/>
        </w:rPr>
        <w:t>Fcfp</w:t>
      </w:r>
      <w:proofErr w:type="spellEnd"/>
      <w:r w:rsidRPr="000844CF">
        <w:rPr>
          <w:rFonts w:ascii="Cambria" w:hAnsi="Cambria"/>
          <w:lang w:eastAsia="fr-FR"/>
        </w:rPr>
        <w:t xml:space="preserve">. 18 millions </w:t>
      </w:r>
      <w:proofErr w:type="spellStart"/>
      <w:r>
        <w:rPr>
          <w:rFonts w:ascii="Cambria" w:hAnsi="Cambria"/>
          <w:lang w:eastAsia="fr-FR"/>
        </w:rPr>
        <w:t>Fcfp</w:t>
      </w:r>
      <w:proofErr w:type="spellEnd"/>
      <w:r>
        <w:rPr>
          <w:rFonts w:ascii="Cambria" w:hAnsi="Cambria"/>
          <w:lang w:eastAsia="fr-FR"/>
        </w:rPr>
        <w:t xml:space="preserve"> </w:t>
      </w:r>
      <w:r w:rsidRPr="000844CF">
        <w:rPr>
          <w:rFonts w:ascii="Cambria" w:hAnsi="Cambria"/>
          <w:lang w:eastAsia="fr-FR"/>
        </w:rPr>
        <w:t>ont déjà fait l’objet de reversement auprès des prestataires touristiques.</w:t>
      </w:r>
    </w:p>
    <w:p w14:paraId="0D909560" w14:textId="77777777" w:rsidR="00CE7851" w:rsidRPr="000844CF" w:rsidRDefault="00CE7851" w:rsidP="00CE7851">
      <w:pPr>
        <w:spacing w:before="100" w:beforeAutospacing="1" w:after="100" w:afterAutospacing="1"/>
        <w:jc w:val="both"/>
        <w:rPr>
          <w:rFonts w:ascii="Cambria" w:hAnsi="Cambria"/>
          <w:lang w:eastAsia="fr-FR"/>
        </w:rPr>
      </w:pPr>
      <w:r w:rsidRPr="000844CF">
        <w:rPr>
          <w:rFonts w:ascii="Cambria" w:hAnsi="Cambria"/>
          <w:lang w:eastAsia="fr-FR"/>
        </w:rPr>
        <w:t xml:space="preserve">Sur le niveau d’engagement, l’archipel de destination phare reste les Tuamotu avec une part de 57% de coupons engagés suivi de loin par les </w:t>
      </w:r>
      <w:r>
        <w:rPr>
          <w:rFonts w:ascii="Cambria" w:hAnsi="Cambria"/>
          <w:lang w:eastAsia="fr-FR"/>
        </w:rPr>
        <w:t>î</w:t>
      </w:r>
      <w:r w:rsidRPr="000844CF">
        <w:rPr>
          <w:rFonts w:ascii="Cambria" w:hAnsi="Cambria"/>
          <w:lang w:eastAsia="fr-FR"/>
        </w:rPr>
        <w:t>les Sous</w:t>
      </w:r>
      <w:r>
        <w:rPr>
          <w:rFonts w:ascii="Cambria" w:hAnsi="Cambria"/>
          <w:lang w:eastAsia="fr-FR"/>
        </w:rPr>
        <w:t>-le-</w:t>
      </w:r>
      <w:r w:rsidRPr="000844CF">
        <w:rPr>
          <w:rFonts w:ascii="Cambria" w:hAnsi="Cambria"/>
          <w:lang w:eastAsia="fr-FR"/>
        </w:rPr>
        <w:t>Vent avec une part de 16%. L’archipel des Australes et ceux des Marquises tirent également leur épingle du jeu avec respectivement 11% et 9%. Les Gambier et les îles du Vent quant à eux ne représentent que 7% des coupons émis.</w:t>
      </w:r>
    </w:p>
    <w:p w14:paraId="7EBF2BA9" w14:textId="77777777" w:rsidR="00CE7851" w:rsidRPr="000844CF" w:rsidRDefault="00CE7851" w:rsidP="00CE7851">
      <w:pPr>
        <w:spacing w:before="100" w:beforeAutospacing="1" w:after="100" w:afterAutospacing="1"/>
        <w:jc w:val="both"/>
        <w:rPr>
          <w:rFonts w:ascii="Cambria" w:hAnsi="Cambria"/>
          <w:lang w:eastAsia="fr-FR"/>
        </w:rPr>
      </w:pPr>
      <w:r w:rsidRPr="000844CF">
        <w:rPr>
          <w:rFonts w:ascii="Cambria" w:hAnsi="Cambria"/>
          <w:lang w:eastAsia="fr-FR"/>
        </w:rPr>
        <w:t>Sur les Tuamotu, les atolls dits touristiques, Fakarava, Rangiroa</w:t>
      </w:r>
      <w:r>
        <w:rPr>
          <w:rFonts w:ascii="Cambria" w:hAnsi="Cambria"/>
          <w:lang w:eastAsia="fr-FR"/>
        </w:rPr>
        <w:t xml:space="preserve"> et </w:t>
      </w:r>
      <w:r w:rsidRPr="000844CF">
        <w:rPr>
          <w:rFonts w:ascii="Cambria" w:hAnsi="Cambria"/>
          <w:lang w:eastAsia="fr-FR"/>
        </w:rPr>
        <w:t>Tikehau</w:t>
      </w:r>
      <w:r>
        <w:rPr>
          <w:rFonts w:ascii="Cambria" w:hAnsi="Cambria"/>
          <w:lang w:eastAsia="fr-FR"/>
        </w:rPr>
        <w:t>,</w:t>
      </w:r>
      <w:r w:rsidRPr="000844CF">
        <w:rPr>
          <w:rFonts w:ascii="Cambria" w:hAnsi="Cambria"/>
          <w:lang w:eastAsia="fr-FR"/>
        </w:rPr>
        <w:t xml:space="preserve"> sortent du lot. Toutefois on observe un fort intérêt pour les îles de Mataiva et de Makatea. Sur les îles </w:t>
      </w:r>
      <w:r>
        <w:rPr>
          <w:rFonts w:ascii="Cambria" w:hAnsi="Cambria"/>
          <w:lang w:eastAsia="fr-FR"/>
        </w:rPr>
        <w:t>Sous-le-</w:t>
      </w:r>
      <w:r w:rsidRPr="000844CF">
        <w:rPr>
          <w:rFonts w:ascii="Cambria" w:hAnsi="Cambria"/>
          <w:lang w:eastAsia="fr-FR"/>
        </w:rPr>
        <w:t xml:space="preserve">Vent, le triptyque Bora Bora, Tahaa et Huahine, </w:t>
      </w:r>
      <w:r>
        <w:rPr>
          <w:rFonts w:ascii="Cambria" w:hAnsi="Cambria"/>
          <w:lang w:eastAsia="fr-FR"/>
        </w:rPr>
        <w:t>et</w:t>
      </w:r>
      <w:r w:rsidRPr="000844CF">
        <w:rPr>
          <w:rFonts w:ascii="Cambria" w:hAnsi="Cambria"/>
          <w:lang w:eastAsia="fr-FR"/>
        </w:rPr>
        <w:t xml:space="preserve"> une préférence pour cette dernière </w:t>
      </w:r>
      <w:r>
        <w:rPr>
          <w:rFonts w:ascii="Cambria" w:hAnsi="Cambria"/>
          <w:lang w:eastAsia="fr-FR"/>
        </w:rPr>
        <w:t xml:space="preserve">île </w:t>
      </w:r>
      <w:r w:rsidRPr="000844CF">
        <w:rPr>
          <w:rFonts w:ascii="Cambria" w:hAnsi="Cambria"/>
          <w:lang w:eastAsia="fr-FR"/>
        </w:rPr>
        <w:t xml:space="preserve">est constatée. Enfin pour les archipels éloignés, Rurutu, </w:t>
      </w:r>
      <w:proofErr w:type="spellStart"/>
      <w:r w:rsidRPr="000844CF">
        <w:rPr>
          <w:rFonts w:ascii="Cambria" w:hAnsi="Cambria"/>
          <w:lang w:eastAsia="fr-FR"/>
        </w:rPr>
        <w:t>Nuku</w:t>
      </w:r>
      <w:proofErr w:type="spellEnd"/>
      <w:r w:rsidRPr="000844CF">
        <w:rPr>
          <w:rFonts w:ascii="Cambria" w:hAnsi="Cambria"/>
          <w:lang w:eastAsia="fr-FR"/>
        </w:rPr>
        <w:t xml:space="preserve"> </w:t>
      </w:r>
      <w:proofErr w:type="spellStart"/>
      <w:r w:rsidRPr="000844CF">
        <w:rPr>
          <w:rFonts w:ascii="Cambria" w:hAnsi="Cambria"/>
          <w:lang w:eastAsia="fr-FR"/>
        </w:rPr>
        <w:t>Hiva</w:t>
      </w:r>
      <w:proofErr w:type="spellEnd"/>
      <w:r w:rsidRPr="000844CF">
        <w:rPr>
          <w:rFonts w:ascii="Cambria" w:hAnsi="Cambria"/>
          <w:lang w:eastAsia="fr-FR"/>
        </w:rPr>
        <w:t xml:space="preserve">, </w:t>
      </w:r>
      <w:proofErr w:type="spellStart"/>
      <w:r w:rsidRPr="000844CF">
        <w:rPr>
          <w:rFonts w:ascii="Cambria" w:hAnsi="Cambria"/>
          <w:lang w:eastAsia="fr-FR"/>
        </w:rPr>
        <w:t>Hiva</w:t>
      </w:r>
      <w:proofErr w:type="spellEnd"/>
      <w:r w:rsidRPr="000844CF">
        <w:rPr>
          <w:rFonts w:ascii="Cambria" w:hAnsi="Cambria"/>
          <w:lang w:eastAsia="fr-FR"/>
        </w:rPr>
        <w:t xml:space="preserve"> </w:t>
      </w:r>
      <w:proofErr w:type="spellStart"/>
      <w:r w:rsidRPr="000844CF">
        <w:rPr>
          <w:rFonts w:ascii="Cambria" w:hAnsi="Cambria"/>
          <w:lang w:eastAsia="fr-FR"/>
        </w:rPr>
        <w:t>Oa</w:t>
      </w:r>
      <w:proofErr w:type="spellEnd"/>
      <w:r w:rsidRPr="000844CF">
        <w:rPr>
          <w:rFonts w:ascii="Cambria" w:hAnsi="Cambria"/>
          <w:lang w:eastAsia="fr-FR"/>
        </w:rPr>
        <w:t xml:space="preserve"> restent des destinations attractives pour la population.</w:t>
      </w:r>
    </w:p>
    <w:p w14:paraId="06FADD8C" w14:textId="77777777" w:rsidR="00CE7851" w:rsidRPr="000844CF" w:rsidRDefault="00CE7851" w:rsidP="00CE7851">
      <w:pPr>
        <w:spacing w:before="100" w:beforeAutospacing="1" w:after="100" w:afterAutospacing="1"/>
        <w:jc w:val="both"/>
        <w:rPr>
          <w:rFonts w:ascii="Cambria" w:hAnsi="Cambria"/>
          <w:lang w:eastAsia="fr-FR"/>
        </w:rPr>
      </w:pPr>
      <w:r w:rsidRPr="000844CF">
        <w:rPr>
          <w:rFonts w:ascii="Cambria" w:hAnsi="Cambria"/>
          <w:lang w:eastAsia="fr-FR"/>
        </w:rPr>
        <w:t xml:space="preserve">Sur la base de ces premiers éléments, l’objectif de privilégier les destinations touristiques hors </w:t>
      </w:r>
      <w:r>
        <w:rPr>
          <w:rFonts w:ascii="Cambria" w:hAnsi="Cambria"/>
          <w:lang w:eastAsia="fr-FR"/>
        </w:rPr>
        <w:t>îles du Vent</w:t>
      </w:r>
      <w:r w:rsidRPr="000844CF">
        <w:rPr>
          <w:rFonts w:ascii="Cambria" w:hAnsi="Cambria"/>
          <w:lang w:eastAsia="fr-FR"/>
        </w:rPr>
        <w:t>, la petite hôtellerie et les pensions de famille</w:t>
      </w:r>
      <w:r>
        <w:rPr>
          <w:rFonts w:ascii="Cambria" w:hAnsi="Cambria"/>
          <w:lang w:eastAsia="fr-FR"/>
        </w:rPr>
        <w:t>,</w:t>
      </w:r>
      <w:r w:rsidRPr="000844CF">
        <w:rPr>
          <w:rFonts w:ascii="Cambria" w:hAnsi="Cambria"/>
          <w:lang w:eastAsia="fr-FR"/>
        </w:rPr>
        <w:t xml:space="preserve"> est rempli.</w:t>
      </w:r>
      <w:r>
        <w:rPr>
          <w:rFonts w:ascii="Cambria" w:hAnsi="Cambria"/>
          <w:lang w:eastAsia="fr-FR"/>
        </w:rPr>
        <w:t xml:space="preserve"> </w:t>
      </w:r>
      <w:r w:rsidRPr="000844CF">
        <w:rPr>
          <w:rFonts w:ascii="Cambria" w:hAnsi="Cambria"/>
          <w:lang w:eastAsia="fr-FR"/>
        </w:rPr>
        <w:t xml:space="preserve">Le retour positif des professionnels, comités du tourisme et de certains maires des îles sur </w:t>
      </w:r>
      <w:proofErr w:type="spellStart"/>
      <w:r w:rsidRPr="000844CF">
        <w:rPr>
          <w:rFonts w:ascii="Cambria" w:hAnsi="Cambria"/>
          <w:lang w:eastAsia="fr-FR"/>
        </w:rPr>
        <w:t>Tīteti</w:t>
      </w:r>
      <w:proofErr w:type="spellEnd"/>
      <w:r w:rsidRPr="000844CF">
        <w:rPr>
          <w:rFonts w:ascii="Cambria" w:hAnsi="Cambria"/>
          <w:lang w:eastAsia="fr-FR"/>
        </w:rPr>
        <w:t xml:space="preserve"> ‘</w:t>
      </w:r>
      <w:proofErr w:type="spellStart"/>
      <w:r w:rsidRPr="000844CF">
        <w:rPr>
          <w:rFonts w:ascii="Cambria" w:hAnsi="Cambria"/>
          <w:lang w:eastAsia="fr-FR"/>
        </w:rPr>
        <w:t>Āia</w:t>
      </w:r>
      <w:proofErr w:type="spellEnd"/>
      <w:r w:rsidRPr="000844CF">
        <w:rPr>
          <w:rFonts w:ascii="Cambria" w:hAnsi="Cambria"/>
          <w:lang w:eastAsia="fr-FR"/>
        </w:rPr>
        <w:t xml:space="preserve">, encourage </w:t>
      </w:r>
      <w:r>
        <w:rPr>
          <w:rFonts w:ascii="Cambria" w:hAnsi="Cambria"/>
          <w:lang w:eastAsia="fr-FR"/>
        </w:rPr>
        <w:t xml:space="preserve">donc </w:t>
      </w:r>
      <w:r w:rsidRPr="000844CF">
        <w:rPr>
          <w:rFonts w:ascii="Cambria" w:hAnsi="Cambria"/>
          <w:lang w:eastAsia="fr-FR"/>
        </w:rPr>
        <w:t xml:space="preserve">à poursuivre ce dispositif </w:t>
      </w:r>
      <w:r>
        <w:rPr>
          <w:rFonts w:ascii="Cambria" w:hAnsi="Cambria"/>
          <w:lang w:eastAsia="fr-FR"/>
        </w:rPr>
        <w:t>avec</w:t>
      </w:r>
      <w:r w:rsidRPr="000844CF">
        <w:rPr>
          <w:rFonts w:ascii="Cambria" w:hAnsi="Cambria"/>
          <w:lang w:eastAsia="fr-FR"/>
        </w:rPr>
        <w:t xml:space="preserve"> le renouvellement d</w:t>
      </w:r>
      <w:r>
        <w:rPr>
          <w:rFonts w:ascii="Cambria" w:hAnsi="Cambria"/>
          <w:lang w:eastAsia="fr-FR"/>
        </w:rPr>
        <w:t>’une e</w:t>
      </w:r>
      <w:r w:rsidRPr="000844CF">
        <w:rPr>
          <w:rFonts w:ascii="Cambria" w:hAnsi="Cambria"/>
          <w:lang w:eastAsia="fr-FR"/>
        </w:rPr>
        <w:t xml:space="preserve">nveloppe de 50 millions </w:t>
      </w:r>
      <w:proofErr w:type="spellStart"/>
      <w:r>
        <w:rPr>
          <w:rFonts w:ascii="Cambria" w:hAnsi="Cambria"/>
          <w:lang w:eastAsia="fr-FR"/>
        </w:rPr>
        <w:t>Fcfp</w:t>
      </w:r>
      <w:proofErr w:type="spellEnd"/>
      <w:r>
        <w:rPr>
          <w:rFonts w:ascii="Cambria" w:hAnsi="Cambria"/>
          <w:lang w:eastAsia="fr-FR"/>
        </w:rPr>
        <w:t xml:space="preserve"> pour ce dispositif</w:t>
      </w:r>
      <w:r w:rsidRPr="000844CF">
        <w:rPr>
          <w:rFonts w:ascii="Cambria" w:hAnsi="Cambria"/>
          <w:lang w:eastAsia="fr-FR"/>
        </w:rPr>
        <w:t xml:space="preserve">, soit un effort de 100 millions </w:t>
      </w:r>
      <w:proofErr w:type="spellStart"/>
      <w:r>
        <w:rPr>
          <w:rFonts w:ascii="Cambria" w:hAnsi="Cambria"/>
          <w:lang w:eastAsia="fr-FR"/>
        </w:rPr>
        <w:t>Fcfp</w:t>
      </w:r>
      <w:proofErr w:type="spellEnd"/>
      <w:r>
        <w:rPr>
          <w:rFonts w:ascii="Cambria" w:hAnsi="Cambria"/>
          <w:lang w:eastAsia="fr-FR"/>
        </w:rPr>
        <w:t xml:space="preserve"> </w:t>
      </w:r>
      <w:r w:rsidRPr="000844CF">
        <w:rPr>
          <w:rFonts w:ascii="Cambria" w:hAnsi="Cambria"/>
          <w:lang w:eastAsia="fr-FR"/>
        </w:rPr>
        <w:t>sur l’année 2021</w:t>
      </w:r>
      <w:r>
        <w:rPr>
          <w:rFonts w:ascii="Cambria" w:hAnsi="Cambria"/>
          <w:lang w:eastAsia="fr-FR"/>
        </w:rPr>
        <w:t>,</w:t>
      </w:r>
      <w:r w:rsidRPr="000844CF">
        <w:rPr>
          <w:rFonts w:ascii="Cambria" w:hAnsi="Cambria"/>
          <w:lang w:eastAsia="fr-FR"/>
        </w:rPr>
        <w:t xml:space="preserve"> comme inscrit au plan de relance 2021-2023.</w:t>
      </w:r>
      <w:r>
        <w:rPr>
          <w:rFonts w:ascii="Cambria" w:hAnsi="Cambria"/>
          <w:lang w:eastAsia="fr-FR"/>
        </w:rPr>
        <w:t xml:space="preserve"> </w:t>
      </w:r>
      <w:r w:rsidRPr="000844CF">
        <w:rPr>
          <w:rFonts w:ascii="Cambria" w:hAnsi="Cambria"/>
          <w:lang w:eastAsia="fr-FR"/>
        </w:rPr>
        <w:t>Le dispositif fait effectivement partie intégrante des mesures sectorielles identifiées au plan de relance 2021-2023 du Pays dans la catégorie du soutien au tourisme d’intérieur.</w:t>
      </w:r>
    </w:p>
    <w:p w14:paraId="6111EDBE" w14:textId="77777777" w:rsidR="00CE7851" w:rsidRPr="00FE2B26" w:rsidRDefault="00CE7851" w:rsidP="00CE7851">
      <w:pPr>
        <w:spacing w:before="100" w:beforeAutospacing="1" w:after="100" w:afterAutospacing="1"/>
        <w:jc w:val="both"/>
        <w:rPr>
          <w:rFonts w:ascii="Cambria" w:hAnsi="Cambria"/>
          <w:lang w:eastAsia="fr-FR"/>
        </w:rPr>
      </w:pPr>
      <w:r w:rsidRPr="000844CF">
        <w:rPr>
          <w:rFonts w:ascii="Cambria" w:hAnsi="Cambria"/>
          <w:lang w:eastAsia="fr-FR"/>
        </w:rPr>
        <w:t>La réouverture progressive des deux principaux marchés émetteurs (Etats-Unis et Europe) dans un contexte toujours très contraint sur le plan sanitaire en termes de mobilité, pousse à maintenir l’effort afin de soutenir le marché local.</w:t>
      </w:r>
      <w:r>
        <w:rPr>
          <w:rFonts w:ascii="Cambria" w:hAnsi="Cambria"/>
          <w:lang w:eastAsia="fr-FR"/>
        </w:rPr>
        <w:t xml:space="preserve"> </w:t>
      </w:r>
      <w:r w:rsidRPr="000844CF">
        <w:rPr>
          <w:rFonts w:ascii="Cambria" w:hAnsi="Cambria"/>
          <w:lang w:eastAsia="fr-FR"/>
        </w:rPr>
        <w:t xml:space="preserve">Cette augmentation de 50 millions </w:t>
      </w:r>
      <w:proofErr w:type="spellStart"/>
      <w:r w:rsidRPr="000844CF">
        <w:rPr>
          <w:rFonts w:ascii="Cambria" w:hAnsi="Cambria"/>
          <w:lang w:eastAsia="fr-FR"/>
        </w:rPr>
        <w:t>Fcfp</w:t>
      </w:r>
      <w:proofErr w:type="spellEnd"/>
      <w:r w:rsidRPr="000844CF">
        <w:rPr>
          <w:rFonts w:ascii="Cambria" w:hAnsi="Cambria"/>
          <w:lang w:eastAsia="fr-FR"/>
        </w:rPr>
        <w:t xml:space="preserve"> est proposée par voie de redéploiement de crédits interne disponible à la mission tourisme.</w:t>
      </w:r>
    </w:p>
    <w:p w14:paraId="50ECA686" w14:textId="44417CC1" w:rsidR="00CE7851" w:rsidRPr="003C398F" w:rsidRDefault="00CE7851" w:rsidP="00CE7851">
      <w:pPr>
        <w:pStyle w:val="NormalWeb"/>
        <w:jc w:val="both"/>
        <w:rPr>
          <w:rStyle w:val="lev"/>
          <w:rFonts w:ascii="Cambria" w:hAnsi="Cambria"/>
          <w:b w:val="0"/>
          <w:bCs w:val="0"/>
        </w:rPr>
      </w:pPr>
      <w:r w:rsidRPr="0073664B">
        <w:rPr>
          <w:rStyle w:val="lev"/>
          <w:rFonts w:ascii="Cambria" w:hAnsi="Cambria"/>
        </w:rPr>
        <w:t> </w:t>
      </w:r>
    </w:p>
    <w:p w14:paraId="2FB0BF1C" w14:textId="7EBA6CCB" w:rsidR="00CE7851" w:rsidRDefault="00CE7851" w:rsidP="00CE7851">
      <w:pPr>
        <w:pStyle w:val="NormalWeb"/>
        <w:jc w:val="both"/>
        <w:rPr>
          <w:rStyle w:val="lev"/>
          <w:rFonts w:ascii="Cambria" w:hAnsi="Cambria"/>
        </w:rPr>
      </w:pPr>
      <w:r w:rsidRPr="00E76641">
        <w:rPr>
          <w:rStyle w:val="lev"/>
          <w:rFonts w:ascii="Cambria" w:hAnsi="Cambria"/>
        </w:rPr>
        <w:t>Subventions de fonctionnement en faveur de onze associations de jeunesse</w:t>
      </w:r>
    </w:p>
    <w:p w14:paraId="2AA06280" w14:textId="77777777" w:rsidR="00CE7851" w:rsidRPr="00E76641" w:rsidRDefault="00CE7851" w:rsidP="00CE7851">
      <w:pPr>
        <w:pStyle w:val="NormalWeb"/>
        <w:jc w:val="both"/>
        <w:rPr>
          <w:rFonts w:ascii="Cambria" w:hAnsi="Cambria"/>
        </w:rPr>
      </w:pPr>
    </w:p>
    <w:p w14:paraId="65EF8D5B" w14:textId="77777777" w:rsidR="00CE7851" w:rsidRPr="00E76641" w:rsidRDefault="00CE7851" w:rsidP="00CE7851">
      <w:pPr>
        <w:pStyle w:val="NormalWeb"/>
        <w:jc w:val="both"/>
        <w:rPr>
          <w:rFonts w:ascii="Cambria" w:hAnsi="Cambria"/>
        </w:rPr>
      </w:pPr>
      <w:r w:rsidRPr="00E76641">
        <w:rPr>
          <w:rFonts w:ascii="Cambria" w:hAnsi="Cambria"/>
        </w:rPr>
        <w:t xml:space="preserve">Sur proposition du ministre </w:t>
      </w:r>
      <w:r>
        <w:rPr>
          <w:rFonts w:ascii="Cambria" w:hAnsi="Cambria"/>
        </w:rPr>
        <w:t xml:space="preserve">de la Culture, </w:t>
      </w:r>
      <w:r w:rsidRPr="00E76641">
        <w:rPr>
          <w:rFonts w:ascii="Cambria" w:hAnsi="Cambria"/>
        </w:rPr>
        <w:t xml:space="preserve">en charge de la </w:t>
      </w:r>
      <w:r>
        <w:rPr>
          <w:rFonts w:ascii="Cambria" w:hAnsi="Cambria"/>
        </w:rPr>
        <w:t>J</w:t>
      </w:r>
      <w:r w:rsidRPr="00E76641">
        <w:rPr>
          <w:rFonts w:ascii="Cambria" w:hAnsi="Cambria"/>
        </w:rPr>
        <w:t xml:space="preserve">eunesse et des </w:t>
      </w:r>
      <w:r>
        <w:rPr>
          <w:rFonts w:ascii="Cambria" w:hAnsi="Cambria"/>
        </w:rPr>
        <w:t>S</w:t>
      </w:r>
      <w:r w:rsidRPr="00E76641">
        <w:rPr>
          <w:rFonts w:ascii="Cambria" w:hAnsi="Cambria"/>
        </w:rPr>
        <w:t xml:space="preserve">ports, le Conseil des ministres a adopté l'octroi de subventions de fonctionnement pour un montant de </w:t>
      </w:r>
      <w:r w:rsidRPr="00E76641">
        <w:rPr>
          <w:rStyle w:val="lev"/>
          <w:rFonts w:ascii="Cambria" w:hAnsi="Cambria"/>
          <w:b w:val="0"/>
          <w:bCs w:val="0"/>
        </w:rPr>
        <w:t xml:space="preserve">6 879 000 </w:t>
      </w:r>
      <w:proofErr w:type="spellStart"/>
      <w:r w:rsidRPr="00E76641">
        <w:rPr>
          <w:rStyle w:val="lev"/>
          <w:rFonts w:ascii="Cambria" w:hAnsi="Cambria"/>
          <w:b w:val="0"/>
          <w:bCs w:val="0"/>
        </w:rPr>
        <w:t>Fcfp</w:t>
      </w:r>
      <w:proofErr w:type="spellEnd"/>
      <w:r w:rsidRPr="00E76641">
        <w:rPr>
          <w:rFonts w:ascii="Cambria" w:hAnsi="Cambria"/>
          <w:b/>
          <w:bCs/>
        </w:rPr>
        <w:t>,</w:t>
      </w:r>
      <w:r w:rsidRPr="00E76641">
        <w:rPr>
          <w:rFonts w:ascii="Cambria" w:hAnsi="Cambria"/>
        </w:rPr>
        <w:t xml:space="preserve"> après avis du comité technique de la Jeunesse et de l’éducation populaire</w:t>
      </w:r>
      <w:r>
        <w:rPr>
          <w:rFonts w:ascii="Cambria" w:hAnsi="Cambria"/>
        </w:rPr>
        <w:t>,</w:t>
      </w:r>
      <w:r w:rsidRPr="00E76641">
        <w:rPr>
          <w:rFonts w:ascii="Cambria" w:hAnsi="Cambria"/>
        </w:rPr>
        <w:t xml:space="preserve"> sur la base de critères relatifs notamment au développement d’actions qui participent à l’intégration des jeunes au sein de la société civile, à la mobilisation des jeunes sur certains </w:t>
      </w:r>
      <w:r w:rsidRPr="00E76641">
        <w:rPr>
          <w:rFonts w:ascii="Cambria" w:hAnsi="Cambria"/>
        </w:rPr>
        <w:lastRenderedPageBreak/>
        <w:t xml:space="preserve">projets ou encore au développement d’initiatives permettant le rayonnement de la Polynésie, </w:t>
      </w:r>
      <w:r>
        <w:rPr>
          <w:rFonts w:ascii="Cambria" w:hAnsi="Cambria"/>
        </w:rPr>
        <w:t xml:space="preserve">et ce </w:t>
      </w:r>
      <w:r w:rsidRPr="00E76641">
        <w:rPr>
          <w:rFonts w:ascii="Cambria" w:hAnsi="Cambria"/>
        </w:rPr>
        <w:t>en faveur de onze associations de jeunesse :</w:t>
      </w:r>
    </w:p>
    <w:p w14:paraId="320ED97D" w14:textId="77777777" w:rsidR="00CE7851" w:rsidRPr="00E76641" w:rsidRDefault="00CE7851" w:rsidP="00CE7851">
      <w:pPr>
        <w:pStyle w:val="NormalWeb"/>
        <w:jc w:val="both"/>
        <w:rPr>
          <w:rFonts w:ascii="Cambria" w:hAnsi="Cambria"/>
        </w:rPr>
      </w:pPr>
      <w:r w:rsidRPr="00E76641">
        <w:rPr>
          <w:rFonts w:ascii="Cambria" w:hAnsi="Cambria"/>
        </w:rPr>
        <w:t xml:space="preserve">Enfance et Jeunesse, </w:t>
      </w:r>
      <w:proofErr w:type="spellStart"/>
      <w:r w:rsidRPr="00E76641">
        <w:rPr>
          <w:rFonts w:ascii="Cambria" w:hAnsi="Cambria"/>
        </w:rPr>
        <w:t>Keapaani</w:t>
      </w:r>
      <w:proofErr w:type="spellEnd"/>
      <w:r w:rsidRPr="00E76641">
        <w:rPr>
          <w:rFonts w:ascii="Cambria" w:hAnsi="Cambria"/>
        </w:rPr>
        <w:t xml:space="preserve">, Comité des Sports et Jeunesse de Taiarapu Ouest, Tama Nui, Maison </w:t>
      </w:r>
      <w:proofErr w:type="spellStart"/>
      <w:r w:rsidRPr="00E76641">
        <w:rPr>
          <w:rFonts w:ascii="Cambria" w:hAnsi="Cambria"/>
        </w:rPr>
        <w:t>Famililae</w:t>
      </w:r>
      <w:proofErr w:type="spellEnd"/>
      <w:r w:rsidRPr="00E76641">
        <w:rPr>
          <w:rFonts w:ascii="Cambria" w:hAnsi="Cambria"/>
        </w:rPr>
        <w:t xml:space="preserve"> Rurale d'Education et d'Orientation de </w:t>
      </w:r>
      <w:proofErr w:type="spellStart"/>
      <w:r w:rsidRPr="00E76641">
        <w:rPr>
          <w:rFonts w:ascii="Cambria" w:hAnsi="Cambria"/>
        </w:rPr>
        <w:t>Taharuu</w:t>
      </w:r>
      <w:proofErr w:type="spellEnd"/>
      <w:r w:rsidRPr="00E76641">
        <w:rPr>
          <w:rFonts w:ascii="Cambria" w:hAnsi="Cambria"/>
        </w:rPr>
        <w:t xml:space="preserve">, Conseil du Scoutisme Polynésien </w:t>
      </w:r>
      <w:proofErr w:type="spellStart"/>
      <w:r w:rsidRPr="00E76641">
        <w:rPr>
          <w:rFonts w:ascii="Cambria" w:hAnsi="Cambria"/>
        </w:rPr>
        <w:t>Tumuhina</w:t>
      </w:r>
      <w:proofErr w:type="spellEnd"/>
      <w:r w:rsidRPr="00E76641">
        <w:rPr>
          <w:rFonts w:ascii="Cambria" w:hAnsi="Cambria"/>
        </w:rPr>
        <w:t xml:space="preserve">, Maison de la Jeunesse et de l'Education Populaire, </w:t>
      </w:r>
      <w:proofErr w:type="spellStart"/>
      <w:r w:rsidRPr="00E76641">
        <w:rPr>
          <w:rFonts w:ascii="Cambria" w:hAnsi="Cambria"/>
        </w:rPr>
        <w:t>Polynélivre</w:t>
      </w:r>
      <w:proofErr w:type="spellEnd"/>
      <w:r w:rsidRPr="00E76641">
        <w:rPr>
          <w:rFonts w:ascii="Cambria" w:hAnsi="Cambria"/>
        </w:rPr>
        <w:t xml:space="preserve">, </w:t>
      </w:r>
      <w:r>
        <w:rPr>
          <w:rFonts w:ascii="Cambria" w:hAnsi="Cambria"/>
        </w:rPr>
        <w:t>Association d</w:t>
      </w:r>
      <w:r w:rsidRPr="00E76641">
        <w:rPr>
          <w:rFonts w:ascii="Cambria" w:hAnsi="Cambria"/>
        </w:rPr>
        <w:t xml:space="preserve">es Amis du Musée des Tahiti et des Iles Te Fare </w:t>
      </w:r>
      <w:proofErr w:type="spellStart"/>
      <w:r w:rsidRPr="00E76641">
        <w:rPr>
          <w:rFonts w:ascii="Cambria" w:hAnsi="Cambria"/>
        </w:rPr>
        <w:t>Mahana</w:t>
      </w:r>
      <w:proofErr w:type="spellEnd"/>
      <w:r w:rsidRPr="00E76641">
        <w:rPr>
          <w:rFonts w:ascii="Cambria" w:hAnsi="Cambria"/>
        </w:rPr>
        <w:t xml:space="preserve"> </w:t>
      </w:r>
      <w:r>
        <w:rPr>
          <w:rFonts w:ascii="Cambria" w:hAnsi="Cambria"/>
        </w:rPr>
        <w:t xml:space="preserve">ainsi que </w:t>
      </w:r>
      <w:r w:rsidRPr="00E76641">
        <w:rPr>
          <w:rFonts w:ascii="Cambria" w:hAnsi="Cambria"/>
        </w:rPr>
        <w:t>Scouts et Guides de Polynésie française.</w:t>
      </w:r>
    </w:p>
    <w:p w14:paraId="26EB65E5" w14:textId="77777777" w:rsidR="00CE7851" w:rsidRDefault="00CE7851" w:rsidP="008F28CC">
      <w:pPr>
        <w:rPr>
          <w:rFonts w:ascii="Calibri" w:hAnsi="Calibri"/>
          <w:sz w:val="22"/>
          <w:szCs w:val="22"/>
        </w:rPr>
      </w:pPr>
    </w:p>
    <w:p w14:paraId="27056B5B" w14:textId="1F5BCD62" w:rsidR="00CE7851" w:rsidRDefault="00CE7851" w:rsidP="008F28CC">
      <w:pPr>
        <w:rPr>
          <w:rFonts w:ascii="Calibri" w:hAnsi="Calibri"/>
          <w:sz w:val="22"/>
          <w:szCs w:val="22"/>
        </w:rPr>
      </w:pPr>
    </w:p>
    <w:p w14:paraId="4145A9C6" w14:textId="77777777" w:rsidR="003C398F" w:rsidRDefault="003C398F" w:rsidP="003C398F">
      <w:pPr>
        <w:rPr>
          <w:rFonts w:ascii="Cambria" w:hAnsi="Cambria"/>
          <w:b/>
          <w:bCs/>
          <w:lang w:eastAsia="en-US"/>
        </w:rPr>
      </w:pPr>
      <w:r>
        <w:rPr>
          <w:rFonts w:ascii="Cambria" w:hAnsi="Cambria"/>
          <w:b/>
          <w:bCs/>
        </w:rPr>
        <w:t>Vaccination contre la covid-19 des enfants de 12 à 15 ans</w:t>
      </w:r>
    </w:p>
    <w:p w14:paraId="288EDC9C" w14:textId="77777777" w:rsidR="003C398F" w:rsidRDefault="003C398F" w:rsidP="003C398F">
      <w:pPr>
        <w:rPr>
          <w:rFonts w:ascii="Cambria" w:hAnsi="Cambria"/>
        </w:rPr>
      </w:pPr>
    </w:p>
    <w:p w14:paraId="0BB211AF" w14:textId="77777777" w:rsidR="003C398F" w:rsidRDefault="003C398F" w:rsidP="003C398F">
      <w:pPr>
        <w:pStyle w:val="-LettreTexteGEDA"/>
        <w:spacing w:before="240"/>
        <w:ind w:firstLine="0"/>
        <w:rPr>
          <w:rFonts w:ascii="Cambria" w:hAnsi="Cambria"/>
          <w:szCs w:val="24"/>
        </w:rPr>
      </w:pPr>
      <w:r>
        <w:rPr>
          <w:rFonts w:ascii="Cambria" w:hAnsi="Cambria"/>
        </w:rPr>
        <w:t xml:space="preserve">Le vaccin </w:t>
      </w:r>
      <w:bookmarkStart w:id="0" w:name="_Hlk74129329"/>
      <w:r>
        <w:rPr>
          <w:rFonts w:ascii="Cambria" w:hAnsi="Cambria"/>
        </w:rPr>
        <w:t xml:space="preserve">Cominarty du laboratoire Pfizer-BioNTech </w:t>
      </w:r>
      <w:bookmarkEnd w:id="0"/>
      <w:r>
        <w:rPr>
          <w:rFonts w:ascii="Cambria" w:hAnsi="Cambria"/>
        </w:rPr>
        <w:t>a été utilisé depuis le début de la campagne vaccinale contre la covid-19 pour la population polynésienne majeure, suivi par le vaccin Janssen.</w:t>
      </w:r>
    </w:p>
    <w:p w14:paraId="495D2537" w14:textId="77777777" w:rsidR="003C398F" w:rsidRDefault="003C398F" w:rsidP="003C398F">
      <w:pPr>
        <w:pStyle w:val="-LettreTexteGEDA"/>
        <w:spacing w:before="240"/>
        <w:ind w:firstLine="0"/>
        <w:rPr>
          <w:rFonts w:ascii="Cambria" w:hAnsi="Cambria"/>
        </w:rPr>
      </w:pPr>
      <w:r>
        <w:rPr>
          <w:rFonts w:ascii="Cambria" w:hAnsi="Cambria"/>
        </w:rPr>
        <w:t>Le vaccin du laboratoire Pfizer-BioNTech a ainsi été recommandé pour la vaccination des mineurs de plus de 16 ans, l’autorisation de mise sur le marché européenne initiale du médicament visant cette tranche d’age.</w:t>
      </w:r>
    </w:p>
    <w:p w14:paraId="15698321" w14:textId="77777777" w:rsidR="003C398F" w:rsidRDefault="003C398F" w:rsidP="003C398F">
      <w:pPr>
        <w:pStyle w:val="-LettreTexteGEDA"/>
        <w:spacing w:before="240"/>
        <w:ind w:firstLine="0"/>
        <w:rPr>
          <w:rFonts w:ascii="Cambria" w:hAnsi="Cambria"/>
        </w:rPr>
      </w:pPr>
      <w:r>
        <w:rPr>
          <w:rFonts w:ascii="Cambria" w:hAnsi="Cambria"/>
        </w:rPr>
        <w:t>Recemment, l'Agence Européenne des médicaments a élargi les indications thérapeutiques de ce vaccin et l’a autorisé chez les 12-15 ans en Europe.</w:t>
      </w:r>
    </w:p>
    <w:p w14:paraId="0BD83BCB" w14:textId="77777777" w:rsidR="003C398F" w:rsidRDefault="003C398F" w:rsidP="003C398F">
      <w:pPr>
        <w:pStyle w:val="-LettreTexteGEDA"/>
        <w:spacing w:before="240"/>
        <w:ind w:firstLine="0"/>
        <w:rPr>
          <w:rFonts w:ascii="Cambria" w:hAnsi="Cambria"/>
        </w:rPr>
      </w:pPr>
      <w:r>
        <w:rPr>
          <w:rFonts w:ascii="Cambria" w:hAnsi="Cambria"/>
        </w:rPr>
        <w:t xml:space="preserve">Le Comirnaty étant à compter de ce jour indiqué pour </w:t>
      </w:r>
      <w:r w:rsidRPr="00645454">
        <w:rPr>
          <w:rFonts w:ascii="Cambria" w:hAnsi="Cambria"/>
        </w:rPr>
        <w:t>l'immunisation active contre le coronavirus SARS-CoV-2 afin de prévenir la maladie covid 19 causée par ce virus chez les personnes âgées de 12 ans et plus</w:t>
      </w:r>
      <w:r>
        <w:rPr>
          <w:rFonts w:ascii="Cambria" w:hAnsi="Cambria"/>
          <w:i/>
          <w:iCs/>
        </w:rPr>
        <w:t xml:space="preserve"> </w:t>
      </w:r>
      <w:r>
        <w:rPr>
          <w:rFonts w:ascii="Cambria" w:hAnsi="Cambria"/>
        </w:rPr>
        <w:t>au niveau national, il est donc admissible de vacciner contre la covid-19 les adolescents qui le demandent, sous reserve de l’accord parental.</w:t>
      </w:r>
    </w:p>
    <w:p w14:paraId="017A9412" w14:textId="77777777" w:rsidR="003C398F" w:rsidRDefault="003C398F" w:rsidP="003C398F">
      <w:pPr>
        <w:rPr>
          <w:rFonts w:ascii="Cambria" w:hAnsi="Cambria"/>
        </w:rPr>
      </w:pPr>
    </w:p>
    <w:p w14:paraId="568F284A" w14:textId="77777777" w:rsidR="003C398F" w:rsidRDefault="003C398F" w:rsidP="003C398F">
      <w:pPr>
        <w:pStyle w:val="-LettreTexteGEDA"/>
        <w:ind w:firstLine="0"/>
        <w:rPr>
          <w:rFonts w:ascii="Cambria" w:hAnsi="Cambria"/>
          <w:szCs w:val="24"/>
        </w:rPr>
      </w:pPr>
      <w:r>
        <w:rPr>
          <w:rFonts w:ascii="Cambria" w:hAnsi="Cambria"/>
        </w:rPr>
        <w:t>Il a ainsi été décidé d’élargir la population pouvant avoir accès à la vaccination contre la covid-19 en Polynésie française et d’offrir la possibilité de vaccination par le Cominarty du laboratoire Pfizer-BioNTech à la tranche d’âge 12 à 15 ans dès le samedi 12 juin 2021.</w:t>
      </w:r>
    </w:p>
    <w:p w14:paraId="725A45D0" w14:textId="77777777" w:rsidR="00CE7851" w:rsidRPr="00724DE2" w:rsidRDefault="00CE7851" w:rsidP="00CE7851">
      <w:pPr>
        <w:pStyle w:val="-LettreTexteGEDA"/>
        <w:ind w:firstLine="0"/>
        <w:textAlignment w:val="baseline"/>
        <w:rPr>
          <w:rFonts w:ascii="Cambria" w:hAnsi="Cambria"/>
          <w:noProof w:val="0"/>
        </w:rPr>
      </w:pPr>
    </w:p>
    <w:p w14:paraId="4001E661" w14:textId="77777777" w:rsidR="005E3718" w:rsidRPr="00724DE2" w:rsidRDefault="005E3718" w:rsidP="005E3718">
      <w:pPr>
        <w:pStyle w:val="Titre"/>
        <w:rPr>
          <w:rFonts w:ascii="Cambria" w:eastAsia="Arial Unicode MS" w:hAnsi="Cambria"/>
          <w:sz w:val="2"/>
        </w:rPr>
      </w:pPr>
    </w:p>
    <w:p w14:paraId="337C7368" w14:textId="77777777" w:rsidR="00CE7851" w:rsidRDefault="00CE7851" w:rsidP="00CE7851">
      <w:pPr>
        <w:pStyle w:val="NormalWeb"/>
        <w:jc w:val="both"/>
        <w:rPr>
          <w:rStyle w:val="lev"/>
          <w:rFonts w:ascii="Cambria" w:hAnsi="Cambria"/>
        </w:rPr>
      </w:pPr>
      <w:r w:rsidRPr="0073664B">
        <w:rPr>
          <w:rStyle w:val="lev"/>
          <w:rFonts w:ascii="Cambria" w:hAnsi="Cambria"/>
        </w:rPr>
        <w:t>Arrêté d’application de la loi du Pays portant création d’un soutien à la création cinématographique et audiovisuelle (SCCA)</w:t>
      </w:r>
    </w:p>
    <w:p w14:paraId="48641F64" w14:textId="77777777" w:rsidR="00CE7851" w:rsidRPr="0073664B" w:rsidRDefault="00CE7851" w:rsidP="00CE7851">
      <w:pPr>
        <w:pStyle w:val="NormalWeb"/>
        <w:jc w:val="both"/>
        <w:rPr>
          <w:rFonts w:ascii="Cambria" w:hAnsi="Cambria"/>
        </w:rPr>
      </w:pPr>
    </w:p>
    <w:p w14:paraId="44152B86" w14:textId="77777777" w:rsidR="00CE7851" w:rsidRPr="0073664B" w:rsidRDefault="00CE7851" w:rsidP="00CE7851">
      <w:pPr>
        <w:pStyle w:val="NormalWeb"/>
        <w:jc w:val="both"/>
        <w:rPr>
          <w:rFonts w:ascii="Cambria" w:hAnsi="Cambria"/>
        </w:rPr>
      </w:pPr>
      <w:r w:rsidRPr="0073664B">
        <w:rPr>
          <w:rFonts w:ascii="Cambria" w:hAnsi="Cambria"/>
        </w:rPr>
        <w:t>Le 16 mars dernier, un nouveau dispositif d’aide à la création audiovisuelle et cinématographique (SCCA) a été créé. Il a comme objectif d’aller vers un soutien plus équitable, avec de meilleures garanties de retombées économiques, tout en accentuant la recherche de qualité, d’originalité et de création des œuvres aidées.</w:t>
      </w:r>
    </w:p>
    <w:p w14:paraId="7B33989B" w14:textId="77777777" w:rsidR="00CE7851" w:rsidRPr="0073664B" w:rsidRDefault="00CE7851" w:rsidP="00CE7851">
      <w:pPr>
        <w:pStyle w:val="NormalWeb"/>
        <w:jc w:val="both"/>
        <w:rPr>
          <w:rFonts w:ascii="Cambria" w:hAnsi="Cambria"/>
        </w:rPr>
      </w:pPr>
      <w:r w:rsidRPr="0073664B">
        <w:rPr>
          <w:rFonts w:ascii="Cambria" w:hAnsi="Cambria"/>
        </w:rPr>
        <w:t>Le dispositif d’aide met l’accent sur le développement et la professionnalisation de la filière audiovisuelle et des acteurs concernés en fixant un certain nombre d’exigences et de critères d’éligibilité.</w:t>
      </w:r>
    </w:p>
    <w:p w14:paraId="057265DA" w14:textId="77777777" w:rsidR="00CE7851" w:rsidRPr="0073664B" w:rsidRDefault="00CE7851" w:rsidP="00CE7851">
      <w:pPr>
        <w:pStyle w:val="NormalWeb"/>
        <w:jc w:val="both"/>
        <w:rPr>
          <w:rFonts w:ascii="Cambria" w:hAnsi="Cambria"/>
        </w:rPr>
      </w:pPr>
      <w:r w:rsidRPr="0073664B">
        <w:rPr>
          <w:rFonts w:ascii="Cambria" w:hAnsi="Cambria"/>
        </w:rPr>
        <w:t>Par ailleurs, dans le but d’encourager une plus grande diversité des œuvres aidées, une plus grande créativité en matière de fiction et un accroissement de la qualité des productions locales, la primo diffusion des œuvres éligibles est étendue aux salles de cinéma et au SMAD (service de médias audiovisuels à la demande).</w:t>
      </w:r>
    </w:p>
    <w:p w14:paraId="10BA1345" w14:textId="77777777" w:rsidR="00CE7851" w:rsidRPr="0073664B" w:rsidRDefault="00CE7851" w:rsidP="00CE7851">
      <w:pPr>
        <w:pStyle w:val="NormalWeb"/>
        <w:jc w:val="both"/>
        <w:rPr>
          <w:rFonts w:ascii="Cambria" w:hAnsi="Cambria"/>
        </w:rPr>
      </w:pPr>
      <w:r w:rsidRPr="0073664B">
        <w:rPr>
          <w:rFonts w:ascii="Cambria" w:hAnsi="Cambria"/>
        </w:rPr>
        <w:lastRenderedPageBreak/>
        <w:t>L’arrêté d’application pris en Conseil des ministres détermine notamment :</w:t>
      </w:r>
    </w:p>
    <w:p w14:paraId="4D8204F3" w14:textId="77777777" w:rsidR="00CE7851" w:rsidRPr="0073664B" w:rsidRDefault="00CE7851" w:rsidP="00CE7851">
      <w:pPr>
        <w:numPr>
          <w:ilvl w:val="0"/>
          <w:numId w:val="11"/>
        </w:numPr>
        <w:spacing w:before="100" w:beforeAutospacing="1" w:after="100" w:afterAutospacing="1"/>
        <w:jc w:val="both"/>
        <w:rPr>
          <w:rFonts w:ascii="Cambria" w:hAnsi="Cambria"/>
        </w:rPr>
      </w:pPr>
      <w:r w:rsidRPr="0073664B">
        <w:rPr>
          <w:rFonts w:ascii="Cambria" w:hAnsi="Cambria"/>
        </w:rPr>
        <w:t>Les phases soutenues et les dépenses locales éligibles selon le niveau d’avancement des œuvres audiovisuelles et cinématographiques, soit :</w:t>
      </w:r>
    </w:p>
    <w:p w14:paraId="1004B1AD" w14:textId="77777777" w:rsidR="00CE7851" w:rsidRPr="0073664B" w:rsidRDefault="00CE7851" w:rsidP="00CE7851">
      <w:pPr>
        <w:numPr>
          <w:ilvl w:val="0"/>
          <w:numId w:val="11"/>
        </w:numPr>
        <w:spacing w:before="100" w:beforeAutospacing="1" w:after="100" w:afterAutospacing="1"/>
        <w:jc w:val="both"/>
        <w:rPr>
          <w:rFonts w:ascii="Cambria" w:hAnsi="Cambria"/>
        </w:rPr>
      </w:pPr>
      <w:proofErr w:type="gramStart"/>
      <w:r w:rsidRPr="0073664B">
        <w:rPr>
          <w:rFonts w:ascii="Cambria" w:hAnsi="Cambria"/>
        </w:rPr>
        <w:t>la</w:t>
      </w:r>
      <w:proofErr w:type="gramEnd"/>
      <w:r w:rsidRPr="0073664B">
        <w:rPr>
          <w:rFonts w:ascii="Cambria" w:hAnsi="Cambria"/>
        </w:rPr>
        <w:t xml:space="preserve"> phase de préparation des œuvres audiovisuelles et cinématographiques, à savoir la rédaction et l’écriture d’un scénario et/ou les travaux de repérages, d’archives, de sélection des intervenants, et la réalisation de pilote ou de bande-annonce,</w:t>
      </w:r>
    </w:p>
    <w:p w14:paraId="1F20F3B2" w14:textId="77777777" w:rsidR="00CE7851" w:rsidRPr="0073664B" w:rsidRDefault="00CE7851" w:rsidP="00CE7851">
      <w:pPr>
        <w:numPr>
          <w:ilvl w:val="0"/>
          <w:numId w:val="11"/>
        </w:numPr>
        <w:spacing w:before="100" w:beforeAutospacing="1" w:after="100" w:afterAutospacing="1"/>
        <w:jc w:val="both"/>
        <w:rPr>
          <w:rFonts w:ascii="Cambria" w:hAnsi="Cambria"/>
        </w:rPr>
      </w:pPr>
      <w:proofErr w:type="gramStart"/>
      <w:r w:rsidRPr="0073664B">
        <w:rPr>
          <w:rFonts w:ascii="Cambria" w:hAnsi="Cambria"/>
        </w:rPr>
        <w:t>et</w:t>
      </w:r>
      <w:proofErr w:type="gramEnd"/>
      <w:r w:rsidRPr="0073664B">
        <w:rPr>
          <w:rFonts w:ascii="Cambria" w:hAnsi="Cambria"/>
        </w:rPr>
        <w:t xml:space="preserve"> la phase de production des œuvres audiovisuelles et cinématographiques.</w:t>
      </w:r>
    </w:p>
    <w:p w14:paraId="4E31AFD5" w14:textId="77777777" w:rsidR="00CE7851" w:rsidRPr="0073664B" w:rsidRDefault="00CE7851" w:rsidP="00CE7851">
      <w:pPr>
        <w:numPr>
          <w:ilvl w:val="0"/>
          <w:numId w:val="11"/>
        </w:numPr>
        <w:spacing w:before="100" w:beforeAutospacing="1" w:after="100" w:afterAutospacing="1"/>
        <w:jc w:val="both"/>
        <w:rPr>
          <w:rFonts w:ascii="Cambria" w:hAnsi="Cambria"/>
        </w:rPr>
      </w:pPr>
      <w:r w:rsidRPr="0073664B">
        <w:rPr>
          <w:rFonts w:ascii="Cambria" w:hAnsi="Cambria"/>
        </w:rPr>
        <w:t>La procédure d’octroi de l’aide précise :</w:t>
      </w:r>
    </w:p>
    <w:p w14:paraId="633352BF" w14:textId="77777777" w:rsidR="00CE7851" w:rsidRPr="0073664B" w:rsidRDefault="00CE7851" w:rsidP="00CE7851">
      <w:pPr>
        <w:pStyle w:val="NormalWeb"/>
        <w:jc w:val="both"/>
        <w:rPr>
          <w:rFonts w:ascii="Cambria" w:hAnsi="Cambria"/>
        </w:rPr>
      </w:pPr>
      <w:proofErr w:type="gramStart"/>
      <w:r w:rsidRPr="0073664B">
        <w:rPr>
          <w:rFonts w:ascii="Cambria" w:hAnsi="Cambria"/>
        </w:rPr>
        <w:t>la</w:t>
      </w:r>
      <w:proofErr w:type="gramEnd"/>
      <w:r w:rsidRPr="0073664B">
        <w:rPr>
          <w:rFonts w:ascii="Cambria" w:hAnsi="Cambria"/>
        </w:rPr>
        <w:t xml:space="preserve"> formulation de la demande se fera uniquement en ligne sur le site internet </w:t>
      </w:r>
      <w:hyperlink r:id="rId7" w:history="1">
        <w:r w:rsidRPr="0073664B">
          <w:rPr>
            <w:rStyle w:val="Lienhypertexte"/>
            <w:rFonts w:ascii="Cambria" w:hAnsi="Cambria"/>
          </w:rPr>
          <w:t>www.mes-demarches.gov.pf</w:t>
        </w:r>
      </w:hyperlink>
      <w:r w:rsidRPr="0073664B">
        <w:rPr>
          <w:rFonts w:ascii="Cambria" w:hAnsi="Cambria"/>
        </w:rPr>
        <w:t>,</w:t>
      </w:r>
    </w:p>
    <w:p w14:paraId="42FA5775" w14:textId="77777777" w:rsidR="00CE7851" w:rsidRPr="0073664B" w:rsidRDefault="00CE7851" w:rsidP="00CE7851">
      <w:pPr>
        <w:numPr>
          <w:ilvl w:val="0"/>
          <w:numId w:val="12"/>
        </w:numPr>
        <w:spacing w:before="100" w:beforeAutospacing="1" w:after="100" w:afterAutospacing="1"/>
        <w:jc w:val="both"/>
        <w:rPr>
          <w:rFonts w:ascii="Cambria" w:hAnsi="Cambria"/>
        </w:rPr>
      </w:pPr>
      <w:proofErr w:type="gramStart"/>
      <w:r w:rsidRPr="0073664B">
        <w:rPr>
          <w:rFonts w:ascii="Cambria" w:hAnsi="Cambria"/>
        </w:rPr>
        <w:t>les</w:t>
      </w:r>
      <w:proofErr w:type="gramEnd"/>
      <w:r w:rsidRPr="0073664B">
        <w:rPr>
          <w:rFonts w:ascii="Cambria" w:hAnsi="Cambria"/>
        </w:rPr>
        <w:t xml:space="preserve"> conditions d’éligibilité du demandeur, notamment en termes d’immatriculation. En effet, afin de mieux cibler les entreprises bénéficiaires, les aides profiteront aux professionnels de la filière, personnes physiques et personnes morales, sous l’une des activités liées à l’audiovisuel. Ces activités sont rappelées et les codes APE/NAF retenus sont listés ;</w:t>
      </w:r>
    </w:p>
    <w:p w14:paraId="18F9F6D4" w14:textId="77777777" w:rsidR="00CE7851" w:rsidRPr="0073664B" w:rsidRDefault="00CE7851" w:rsidP="00CE7851">
      <w:pPr>
        <w:numPr>
          <w:ilvl w:val="0"/>
          <w:numId w:val="12"/>
        </w:numPr>
        <w:spacing w:before="100" w:beforeAutospacing="1" w:after="100" w:afterAutospacing="1"/>
        <w:jc w:val="both"/>
        <w:rPr>
          <w:rFonts w:ascii="Cambria" w:hAnsi="Cambria"/>
        </w:rPr>
      </w:pPr>
      <w:proofErr w:type="gramStart"/>
      <w:r w:rsidRPr="0073664B">
        <w:rPr>
          <w:rFonts w:ascii="Cambria" w:hAnsi="Cambria"/>
        </w:rPr>
        <w:t>les</w:t>
      </w:r>
      <w:proofErr w:type="gramEnd"/>
      <w:r w:rsidRPr="0073664B">
        <w:rPr>
          <w:rFonts w:ascii="Cambria" w:hAnsi="Cambria"/>
        </w:rPr>
        <w:t xml:space="preserve"> informations et documents à transmettre selon la phase du projet à soutenir ;</w:t>
      </w:r>
    </w:p>
    <w:p w14:paraId="487ED5E4" w14:textId="77777777" w:rsidR="00CE7851" w:rsidRPr="0073664B" w:rsidRDefault="00CE7851" w:rsidP="00CE7851">
      <w:pPr>
        <w:numPr>
          <w:ilvl w:val="0"/>
          <w:numId w:val="12"/>
        </w:numPr>
        <w:spacing w:before="100" w:beforeAutospacing="1" w:after="100" w:afterAutospacing="1"/>
        <w:jc w:val="both"/>
        <w:rPr>
          <w:rFonts w:ascii="Cambria" w:hAnsi="Cambria"/>
        </w:rPr>
      </w:pPr>
      <w:proofErr w:type="gramStart"/>
      <w:r w:rsidRPr="0073664B">
        <w:rPr>
          <w:rFonts w:ascii="Cambria" w:hAnsi="Cambria"/>
        </w:rPr>
        <w:t>et</w:t>
      </w:r>
      <w:proofErr w:type="gramEnd"/>
      <w:r w:rsidRPr="0073664B">
        <w:rPr>
          <w:rFonts w:ascii="Cambria" w:hAnsi="Cambria"/>
        </w:rPr>
        <w:t xml:space="preserve"> les conditions d’implication des diffuseurs ;</w:t>
      </w:r>
    </w:p>
    <w:p w14:paraId="44E0727B" w14:textId="77777777" w:rsidR="00CE7851" w:rsidRPr="0073664B" w:rsidRDefault="00CE7851" w:rsidP="00CE7851">
      <w:pPr>
        <w:numPr>
          <w:ilvl w:val="0"/>
          <w:numId w:val="12"/>
        </w:numPr>
        <w:spacing w:before="100" w:beforeAutospacing="1" w:after="100" w:afterAutospacing="1"/>
        <w:jc w:val="both"/>
        <w:rPr>
          <w:rFonts w:ascii="Cambria" w:hAnsi="Cambria"/>
        </w:rPr>
      </w:pPr>
      <w:r w:rsidRPr="0073664B">
        <w:rPr>
          <w:rFonts w:ascii="Cambria" w:hAnsi="Cambria"/>
        </w:rPr>
        <w:t>Les 14 types de projets éligibles au titre du SCCA : documentaires, films d’animation, clips vidéo, magazines, films de fiction télévisuelle et cinématographique, programmes courts de fiction, courts-métrages de création de fiction), en unitaire ou en série. Sont également définis les conditions de soutien selon la phase de production, le nombre de dossiers aidés par commission et en-cours de réalisation ;</w:t>
      </w:r>
    </w:p>
    <w:p w14:paraId="7194ACAD" w14:textId="77777777" w:rsidR="00CE7851" w:rsidRPr="0073664B" w:rsidRDefault="00CE7851" w:rsidP="00CE7851">
      <w:pPr>
        <w:numPr>
          <w:ilvl w:val="0"/>
          <w:numId w:val="12"/>
        </w:numPr>
        <w:spacing w:before="100" w:beforeAutospacing="1" w:after="100" w:afterAutospacing="1"/>
        <w:jc w:val="both"/>
        <w:rPr>
          <w:rFonts w:ascii="Cambria" w:hAnsi="Cambria"/>
        </w:rPr>
      </w:pPr>
      <w:r w:rsidRPr="0073664B">
        <w:rPr>
          <w:rFonts w:ascii="Cambria" w:hAnsi="Cambria"/>
        </w:rPr>
        <w:t xml:space="preserve">Les montants des aides, qui sont fixés par type d’œuvres et selon le phasage de l’œuvre. De 300 000 </w:t>
      </w:r>
      <w:proofErr w:type="spellStart"/>
      <w:r w:rsidRPr="0073664B">
        <w:rPr>
          <w:rFonts w:ascii="Cambria" w:hAnsi="Cambria"/>
        </w:rPr>
        <w:t>Fcfp</w:t>
      </w:r>
      <w:proofErr w:type="spellEnd"/>
      <w:r w:rsidRPr="0073664B">
        <w:rPr>
          <w:rFonts w:ascii="Cambria" w:hAnsi="Cambria"/>
        </w:rPr>
        <w:t xml:space="preserve"> pour la préparation d’un documentaire unitaire de plus de 22 minutes à 20 000 000 </w:t>
      </w:r>
      <w:proofErr w:type="spellStart"/>
      <w:r w:rsidRPr="0073664B">
        <w:rPr>
          <w:rFonts w:ascii="Cambria" w:hAnsi="Cambria"/>
        </w:rPr>
        <w:t>Fcfp</w:t>
      </w:r>
      <w:proofErr w:type="spellEnd"/>
      <w:r w:rsidRPr="0073664B">
        <w:rPr>
          <w:rFonts w:ascii="Cambria" w:hAnsi="Cambria"/>
        </w:rPr>
        <w:t xml:space="preserve"> pour la production d’un long métrage cinématographique de fiction de plus de 60 minutes. Par ailleurs, afin d’inciter l’emploi de professionnels locaux ou la dépense locale, un barème permettant de calculer le montant du plafond de l’aide à octroyer est prévu ;</w:t>
      </w:r>
    </w:p>
    <w:p w14:paraId="6FB15A70" w14:textId="77777777" w:rsidR="00CE7851" w:rsidRPr="0073664B" w:rsidRDefault="00CE7851" w:rsidP="00CE7851">
      <w:pPr>
        <w:numPr>
          <w:ilvl w:val="0"/>
          <w:numId w:val="12"/>
        </w:numPr>
        <w:spacing w:before="100" w:beforeAutospacing="1" w:after="100" w:afterAutospacing="1"/>
        <w:jc w:val="both"/>
        <w:rPr>
          <w:rFonts w:ascii="Cambria" w:hAnsi="Cambria"/>
        </w:rPr>
      </w:pPr>
      <w:r w:rsidRPr="0073664B">
        <w:rPr>
          <w:rFonts w:ascii="Cambria" w:hAnsi="Cambria"/>
        </w:rPr>
        <w:t>Les dépenses locales éligibles susceptibles de justifier de l’octroi d’une aide financière ;</w:t>
      </w:r>
    </w:p>
    <w:p w14:paraId="01E7629E" w14:textId="77777777" w:rsidR="00CE7851" w:rsidRPr="0073664B" w:rsidRDefault="00CE7851" w:rsidP="00CE7851">
      <w:pPr>
        <w:numPr>
          <w:ilvl w:val="0"/>
          <w:numId w:val="12"/>
        </w:numPr>
        <w:spacing w:before="100" w:beforeAutospacing="1" w:after="100" w:afterAutospacing="1"/>
        <w:jc w:val="both"/>
        <w:rPr>
          <w:rFonts w:ascii="Cambria" w:hAnsi="Cambria"/>
        </w:rPr>
      </w:pPr>
      <w:r w:rsidRPr="0073664B">
        <w:rPr>
          <w:rFonts w:ascii="Cambria" w:hAnsi="Cambria"/>
        </w:rPr>
        <w:t>L’organisation, le fonctionnement et la composition de la commission consultative du soutien à la création audiovisuelle et cinématographique, composée de 7 membres ;</w:t>
      </w:r>
    </w:p>
    <w:p w14:paraId="24BEF87A" w14:textId="77777777" w:rsidR="00CE7851" w:rsidRPr="0073664B" w:rsidRDefault="00CE7851" w:rsidP="00CE7851">
      <w:pPr>
        <w:numPr>
          <w:ilvl w:val="0"/>
          <w:numId w:val="12"/>
        </w:numPr>
        <w:spacing w:before="100" w:beforeAutospacing="1" w:after="100" w:afterAutospacing="1"/>
        <w:jc w:val="both"/>
        <w:rPr>
          <w:rFonts w:ascii="Cambria" w:hAnsi="Cambria"/>
        </w:rPr>
      </w:pPr>
      <w:r w:rsidRPr="0073664B">
        <w:rPr>
          <w:rFonts w:ascii="Cambria" w:hAnsi="Cambria"/>
        </w:rPr>
        <w:t>Les critères d’évaluation techniques, artistiques et économiques des demandes d’aide, notamment :</w:t>
      </w:r>
    </w:p>
    <w:p w14:paraId="4D4F3930" w14:textId="77777777" w:rsidR="00CE7851" w:rsidRPr="0073664B" w:rsidRDefault="00CE7851" w:rsidP="00CE7851">
      <w:pPr>
        <w:numPr>
          <w:ilvl w:val="0"/>
          <w:numId w:val="12"/>
        </w:numPr>
        <w:spacing w:before="100" w:beforeAutospacing="1" w:after="100" w:afterAutospacing="1"/>
        <w:jc w:val="both"/>
        <w:rPr>
          <w:rFonts w:ascii="Cambria" w:hAnsi="Cambria"/>
        </w:rPr>
      </w:pPr>
      <w:proofErr w:type="gramStart"/>
      <w:r w:rsidRPr="0073664B">
        <w:rPr>
          <w:rFonts w:ascii="Cambria" w:hAnsi="Cambria"/>
        </w:rPr>
        <w:t>la</w:t>
      </w:r>
      <w:proofErr w:type="gramEnd"/>
      <w:r w:rsidRPr="0073664B">
        <w:rPr>
          <w:rFonts w:ascii="Cambria" w:hAnsi="Cambria"/>
        </w:rPr>
        <w:t xml:space="preserve"> pertinence des sujets, l’originalité de traitement des sujets ;</w:t>
      </w:r>
    </w:p>
    <w:p w14:paraId="7351C13F" w14:textId="77777777" w:rsidR="00CE7851" w:rsidRPr="0073664B" w:rsidRDefault="00CE7851" w:rsidP="00CE7851">
      <w:pPr>
        <w:numPr>
          <w:ilvl w:val="0"/>
          <w:numId w:val="12"/>
        </w:numPr>
        <w:spacing w:before="100" w:beforeAutospacing="1" w:after="100" w:afterAutospacing="1"/>
        <w:jc w:val="both"/>
        <w:rPr>
          <w:rFonts w:ascii="Cambria" w:hAnsi="Cambria"/>
        </w:rPr>
      </w:pPr>
      <w:proofErr w:type="gramStart"/>
      <w:r w:rsidRPr="0073664B">
        <w:rPr>
          <w:rFonts w:ascii="Cambria" w:hAnsi="Cambria"/>
        </w:rPr>
        <w:t>les</w:t>
      </w:r>
      <w:proofErr w:type="gramEnd"/>
      <w:r w:rsidRPr="0073664B">
        <w:rPr>
          <w:rFonts w:ascii="Cambria" w:hAnsi="Cambria"/>
        </w:rPr>
        <w:t xml:space="preserve"> retombées économiques locales en termes de dépenses de production et d'emplois ;</w:t>
      </w:r>
    </w:p>
    <w:p w14:paraId="226F93C9" w14:textId="77777777" w:rsidR="00CE7851" w:rsidRPr="0073664B" w:rsidRDefault="00CE7851" w:rsidP="00CE7851">
      <w:pPr>
        <w:numPr>
          <w:ilvl w:val="0"/>
          <w:numId w:val="12"/>
        </w:numPr>
        <w:spacing w:before="100" w:beforeAutospacing="1" w:after="100" w:afterAutospacing="1"/>
        <w:jc w:val="both"/>
        <w:rPr>
          <w:rFonts w:ascii="Cambria" w:hAnsi="Cambria"/>
        </w:rPr>
      </w:pPr>
      <w:proofErr w:type="gramStart"/>
      <w:r w:rsidRPr="0073664B">
        <w:rPr>
          <w:rFonts w:ascii="Cambria" w:hAnsi="Cambria"/>
        </w:rPr>
        <w:t>le</w:t>
      </w:r>
      <w:proofErr w:type="gramEnd"/>
      <w:r w:rsidRPr="0073664B">
        <w:rPr>
          <w:rFonts w:ascii="Cambria" w:hAnsi="Cambria"/>
        </w:rPr>
        <w:t xml:space="preserve"> recours aux moyens techniques et aux compétences localement présents ;</w:t>
      </w:r>
    </w:p>
    <w:p w14:paraId="2D855046" w14:textId="77777777" w:rsidR="00CE7851" w:rsidRPr="0073664B" w:rsidRDefault="00CE7851" w:rsidP="00CE7851">
      <w:pPr>
        <w:numPr>
          <w:ilvl w:val="0"/>
          <w:numId w:val="12"/>
        </w:numPr>
        <w:spacing w:before="100" w:beforeAutospacing="1" w:after="100" w:afterAutospacing="1"/>
        <w:jc w:val="both"/>
        <w:rPr>
          <w:rFonts w:ascii="Cambria" w:hAnsi="Cambria"/>
        </w:rPr>
      </w:pPr>
      <w:proofErr w:type="gramStart"/>
      <w:r w:rsidRPr="0073664B">
        <w:rPr>
          <w:rFonts w:ascii="Cambria" w:hAnsi="Cambria"/>
        </w:rPr>
        <w:t>l’aptitude</w:t>
      </w:r>
      <w:proofErr w:type="gramEnd"/>
      <w:r w:rsidRPr="0073664B">
        <w:rPr>
          <w:rFonts w:ascii="Cambria" w:hAnsi="Cambria"/>
        </w:rPr>
        <w:t xml:space="preserve"> technique des intervenants au projet ;</w:t>
      </w:r>
    </w:p>
    <w:p w14:paraId="6E65677E" w14:textId="77777777" w:rsidR="00CE7851" w:rsidRPr="0073664B" w:rsidRDefault="00CE7851" w:rsidP="00CE7851">
      <w:pPr>
        <w:numPr>
          <w:ilvl w:val="0"/>
          <w:numId w:val="12"/>
        </w:numPr>
        <w:spacing w:before="100" w:beforeAutospacing="1" w:after="100" w:afterAutospacing="1"/>
        <w:jc w:val="both"/>
        <w:rPr>
          <w:rFonts w:ascii="Cambria" w:hAnsi="Cambria"/>
        </w:rPr>
      </w:pPr>
      <w:proofErr w:type="gramStart"/>
      <w:r w:rsidRPr="0073664B">
        <w:rPr>
          <w:rFonts w:ascii="Cambria" w:hAnsi="Cambria"/>
        </w:rPr>
        <w:t>les</w:t>
      </w:r>
      <w:proofErr w:type="gramEnd"/>
      <w:r w:rsidRPr="0073664B">
        <w:rPr>
          <w:rFonts w:ascii="Cambria" w:hAnsi="Cambria"/>
        </w:rPr>
        <w:t xml:space="preserve"> dépenses prévues, les modalités de financement et la fixation d’un montant d’aide ;</w:t>
      </w:r>
    </w:p>
    <w:p w14:paraId="4E71628F" w14:textId="614B0082" w:rsidR="000A7051" w:rsidRPr="00F44A8A" w:rsidRDefault="00CE7851" w:rsidP="003C398F">
      <w:pPr>
        <w:pStyle w:val="NormalWeb"/>
        <w:jc w:val="both"/>
        <w:rPr>
          <w:rFonts w:ascii="Cambria" w:hAnsi="Cambria"/>
        </w:rPr>
      </w:pPr>
      <w:r w:rsidRPr="0073664B">
        <w:rPr>
          <w:rFonts w:ascii="Cambria" w:hAnsi="Cambria"/>
        </w:rPr>
        <w:t xml:space="preserve">-   Les modalités de versement des aides, de contrôle et de remboursement. En effet, les pièces constitutives du dossier de demande d’aide, et du bilan post-opérationnel, sont autant d’éléments d’appréciation a priori et a posteriori qui permettront à la direction générale de l’économie numérique (DGEN) d’assurer le suivi financier et le contrôle des obligations des bénéficiaires. De plus, la puissance publique pourra ainsi évaluer l'impact </w:t>
      </w:r>
      <w:r w:rsidRPr="0073664B">
        <w:rPr>
          <w:rFonts w:ascii="Cambria" w:hAnsi="Cambria"/>
        </w:rPr>
        <w:lastRenderedPageBreak/>
        <w:t>des aides accordées sur le développement économique de la filière et mesurer l’efficacité de son action.</w:t>
      </w:r>
    </w:p>
    <w:p w14:paraId="05777A0D" w14:textId="77777777" w:rsidR="001025C8" w:rsidRDefault="001025C8" w:rsidP="0073664B">
      <w:pPr>
        <w:rPr>
          <w:rFonts w:ascii="Cambria" w:hAnsi="Cambria"/>
          <w:b/>
          <w:bCs/>
          <w:lang w:eastAsia="fr-FR"/>
        </w:rPr>
      </w:pPr>
    </w:p>
    <w:p w14:paraId="78E0A985" w14:textId="54573C1B"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3405"/>
    <w:multiLevelType w:val="multilevel"/>
    <w:tmpl w:val="B25AAC06"/>
    <w:lvl w:ilvl="0">
      <w:start w:val="3"/>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CC92395"/>
    <w:multiLevelType w:val="hybridMultilevel"/>
    <w:tmpl w:val="93BE6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990E43"/>
    <w:multiLevelType w:val="hybridMultilevel"/>
    <w:tmpl w:val="7FFC6C32"/>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D527BCE"/>
    <w:multiLevelType w:val="multilevel"/>
    <w:tmpl w:val="C9E6F4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69F5F92"/>
    <w:multiLevelType w:val="multilevel"/>
    <w:tmpl w:val="35F2041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7" w15:restartNumberingAfterBreak="0">
    <w:nsid w:val="39DC7CAE"/>
    <w:multiLevelType w:val="multilevel"/>
    <w:tmpl w:val="F184D3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1577499"/>
    <w:multiLevelType w:val="multilevel"/>
    <w:tmpl w:val="D9FE72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5EF1EFF"/>
    <w:multiLevelType w:val="hybridMultilevel"/>
    <w:tmpl w:val="9BBC08B6"/>
    <w:lvl w:ilvl="0" w:tplc="510C8CF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9185398"/>
    <w:multiLevelType w:val="multilevel"/>
    <w:tmpl w:val="4CCA48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93B1198"/>
    <w:multiLevelType w:val="multilevel"/>
    <w:tmpl w:val="58564BA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D7F49CB"/>
    <w:multiLevelType w:val="multilevel"/>
    <w:tmpl w:val="7C2AC5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19D3106"/>
    <w:multiLevelType w:val="multilevel"/>
    <w:tmpl w:val="EDE62C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E885C30"/>
    <w:multiLevelType w:val="multilevel"/>
    <w:tmpl w:val="C6205F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19" w15:restartNumberingAfterBreak="0">
    <w:nsid w:val="6BBD0F40"/>
    <w:multiLevelType w:val="multilevel"/>
    <w:tmpl w:val="557497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E4939B5"/>
    <w:multiLevelType w:val="multilevel"/>
    <w:tmpl w:val="335E25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2366508"/>
    <w:multiLevelType w:val="multilevel"/>
    <w:tmpl w:val="46DA9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3EA284B"/>
    <w:multiLevelType w:val="multilevel"/>
    <w:tmpl w:val="01CEB7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463592A"/>
    <w:multiLevelType w:val="multilevel"/>
    <w:tmpl w:val="B0F400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6B71746"/>
    <w:multiLevelType w:val="multilevel"/>
    <w:tmpl w:val="30688DC6"/>
    <w:lvl w:ilvl="0">
      <w:start w:val="3"/>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7D0F7026"/>
    <w:multiLevelType w:val="multilevel"/>
    <w:tmpl w:val="66424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D05690"/>
    <w:multiLevelType w:val="multilevel"/>
    <w:tmpl w:val="5154803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lvlOverride w:ilvl="0">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6"/>
  </w:num>
  <w:num w:numId="6">
    <w:abstractNumId w:val="17"/>
  </w:num>
  <w:num w:numId="7">
    <w:abstractNumId w:val="9"/>
  </w:num>
  <w:num w:numId="8">
    <w:abstractNumId w:val="14"/>
  </w:num>
  <w:num w:numId="9">
    <w:abstractNumId w:val="25"/>
  </w:num>
  <w:num w:numId="10">
    <w:abstractNumId w:val="15"/>
  </w:num>
  <w:num w:numId="11">
    <w:abstractNumId w:val="22"/>
  </w:num>
  <w:num w:numId="12">
    <w:abstractNumId w:val="11"/>
  </w:num>
  <w:num w:numId="13">
    <w:abstractNumId w:val="7"/>
  </w:num>
  <w:num w:numId="14">
    <w:abstractNumId w:val="20"/>
  </w:num>
  <w:num w:numId="15">
    <w:abstractNumId w:val="26"/>
  </w:num>
  <w:num w:numId="16">
    <w:abstractNumId w:val="23"/>
  </w:num>
  <w:num w:numId="17">
    <w:abstractNumId w:val="24"/>
  </w:num>
  <w:num w:numId="18">
    <w:abstractNumId w:val="0"/>
  </w:num>
  <w:num w:numId="19">
    <w:abstractNumId w:val="12"/>
  </w:num>
  <w:num w:numId="20">
    <w:abstractNumId w:val="4"/>
    <w:lvlOverride w:ilvl="0"/>
    <w:lvlOverride w:ilvl="1">
      <w:startOverride w:val="1"/>
    </w:lvlOverride>
    <w:lvlOverride w:ilvl="2"/>
    <w:lvlOverride w:ilvl="3"/>
    <w:lvlOverride w:ilvl="4"/>
    <w:lvlOverride w:ilvl="5"/>
    <w:lvlOverride w:ilvl="6"/>
    <w:lvlOverride w:ilvl="7"/>
    <w:lvlOverride w:ilvl="8"/>
  </w:num>
  <w:num w:numId="21">
    <w:abstractNumId w:val="13"/>
  </w:num>
  <w:num w:numId="22">
    <w:abstractNumId w:val="1"/>
  </w:num>
  <w:num w:numId="23">
    <w:abstractNumId w:val="19"/>
  </w:num>
  <w:num w:numId="24">
    <w:abstractNumId w:val="2"/>
  </w:num>
  <w:num w:numId="25">
    <w:abstractNumId w:val="8"/>
  </w:num>
  <w:num w:numId="26">
    <w:abstractNumId w:val="21"/>
  </w:num>
  <w:num w:numId="2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62C36"/>
    <w:rsid w:val="00067B39"/>
    <w:rsid w:val="000844CF"/>
    <w:rsid w:val="000A19DF"/>
    <w:rsid w:val="000A7051"/>
    <w:rsid w:val="000C153E"/>
    <w:rsid w:val="000E490F"/>
    <w:rsid w:val="000F4C48"/>
    <w:rsid w:val="001019EF"/>
    <w:rsid w:val="001025C8"/>
    <w:rsid w:val="0010365C"/>
    <w:rsid w:val="0011437E"/>
    <w:rsid w:val="001657A7"/>
    <w:rsid w:val="00191D50"/>
    <w:rsid w:val="00197F24"/>
    <w:rsid w:val="001A441F"/>
    <w:rsid w:val="001A6384"/>
    <w:rsid w:val="001B5671"/>
    <w:rsid w:val="001B6B39"/>
    <w:rsid w:val="00203E06"/>
    <w:rsid w:val="002073E8"/>
    <w:rsid w:val="002234A0"/>
    <w:rsid w:val="00261798"/>
    <w:rsid w:val="00263FAF"/>
    <w:rsid w:val="002659FD"/>
    <w:rsid w:val="002D2F1A"/>
    <w:rsid w:val="00303F47"/>
    <w:rsid w:val="00315CE8"/>
    <w:rsid w:val="00324C73"/>
    <w:rsid w:val="00336845"/>
    <w:rsid w:val="00373A04"/>
    <w:rsid w:val="0038799A"/>
    <w:rsid w:val="003A785E"/>
    <w:rsid w:val="003C398F"/>
    <w:rsid w:val="003E32DC"/>
    <w:rsid w:val="003E7569"/>
    <w:rsid w:val="003F24CA"/>
    <w:rsid w:val="00410ECC"/>
    <w:rsid w:val="004128F4"/>
    <w:rsid w:val="004178CE"/>
    <w:rsid w:val="004268C8"/>
    <w:rsid w:val="00436FB8"/>
    <w:rsid w:val="00453068"/>
    <w:rsid w:val="00464602"/>
    <w:rsid w:val="0047255C"/>
    <w:rsid w:val="0048276D"/>
    <w:rsid w:val="004A0B38"/>
    <w:rsid w:val="004A28D6"/>
    <w:rsid w:val="004A2D7B"/>
    <w:rsid w:val="004B00A1"/>
    <w:rsid w:val="004C71F3"/>
    <w:rsid w:val="004F1350"/>
    <w:rsid w:val="004F4E5C"/>
    <w:rsid w:val="00522EA0"/>
    <w:rsid w:val="00524E73"/>
    <w:rsid w:val="005314A8"/>
    <w:rsid w:val="00570711"/>
    <w:rsid w:val="00590A68"/>
    <w:rsid w:val="0059364C"/>
    <w:rsid w:val="005A5AAB"/>
    <w:rsid w:val="005E3718"/>
    <w:rsid w:val="005F3BE8"/>
    <w:rsid w:val="005F535E"/>
    <w:rsid w:val="0060389A"/>
    <w:rsid w:val="00617820"/>
    <w:rsid w:val="00625270"/>
    <w:rsid w:val="00645454"/>
    <w:rsid w:val="00661801"/>
    <w:rsid w:val="006676A1"/>
    <w:rsid w:val="0068337E"/>
    <w:rsid w:val="0068570C"/>
    <w:rsid w:val="00685D29"/>
    <w:rsid w:val="0068678A"/>
    <w:rsid w:val="00690ED4"/>
    <w:rsid w:val="006C3C9F"/>
    <w:rsid w:val="006C3CC1"/>
    <w:rsid w:val="006E6DA1"/>
    <w:rsid w:val="006F7FD4"/>
    <w:rsid w:val="00720225"/>
    <w:rsid w:val="00731EBA"/>
    <w:rsid w:val="0073664B"/>
    <w:rsid w:val="00744496"/>
    <w:rsid w:val="00750891"/>
    <w:rsid w:val="00754E86"/>
    <w:rsid w:val="007A5E09"/>
    <w:rsid w:val="007A6A5E"/>
    <w:rsid w:val="007E133D"/>
    <w:rsid w:val="007E1C32"/>
    <w:rsid w:val="007E62B3"/>
    <w:rsid w:val="008056CD"/>
    <w:rsid w:val="00807CE3"/>
    <w:rsid w:val="00814C48"/>
    <w:rsid w:val="00820BBC"/>
    <w:rsid w:val="00822589"/>
    <w:rsid w:val="008809BE"/>
    <w:rsid w:val="008823C5"/>
    <w:rsid w:val="00887E90"/>
    <w:rsid w:val="008900C4"/>
    <w:rsid w:val="00890177"/>
    <w:rsid w:val="008946C5"/>
    <w:rsid w:val="008C03E9"/>
    <w:rsid w:val="008D4C19"/>
    <w:rsid w:val="008E0300"/>
    <w:rsid w:val="008E2E81"/>
    <w:rsid w:val="008F28CC"/>
    <w:rsid w:val="00902A51"/>
    <w:rsid w:val="00902AD0"/>
    <w:rsid w:val="00916876"/>
    <w:rsid w:val="00920D6D"/>
    <w:rsid w:val="009263A2"/>
    <w:rsid w:val="0094375D"/>
    <w:rsid w:val="00964474"/>
    <w:rsid w:val="009646E6"/>
    <w:rsid w:val="00966231"/>
    <w:rsid w:val="009744ED"/>
    <w:rsid w:val="00986E2E"/>
    <w:rsid w:val="009A0D8B"/>
    <w:rsid w:val="009E2B35"/>
    <w:rsid w:val="009E34ED"/>
    <w:rsid w:val="009E7DA0"/>
    <w:rsid w:val="00A00B63"/>
    <w:rsid w:val="00A12C80"/>
    <w:rsid w:val="00A1301D"/>
    <w:rsid w:val="00A534C1"/>
    <w:rsid w:val="00A66B6A"/>
    <w:rsid w:val="00A751A0"/>
    <w:rsid w:val="00A83348"/>
    <w:rsid w:val="00A90C15"/>
    <w:rsid w:val="00AA1585"/>
    <w:rsid w:val="00AA6AED"/>
    <w:rsid w:val="00AB5AD0"/>
    <w:rsid w:val="00AD364D"/>
    <w:rsid w:val="00AD4D7B"/>
    <w:rsid w:val="00AE0A7B"/>
    <w:rsid w:val="00B05F97"/>
    <w:rsid w:val="00B22E99"/>
    <w:rsid w:val="00B2325C"/>
    <w:rsid w:val="00B31D2D"/>
    <w:rsid w:val="00B33E76"/>
    <w:rsid w:val="00B34C72"/>
    <w:rsid w:val="00B35075"/>
    <w:rsid w:val="00B7240B"/>
    <w:rsid w:val="00B81E7B"/>
    <w:rsid w:val="00B9245A"/>
    <w:rsid w:val="00B97C80"/>
    <w:rsid w:val="00BB77F0"/>
    <w:rsid w:val="00BD2018"/>
    <w:rsid w:val="00BE1F42"/>
    <w:rsid w:val="00BF6854"/>
    <w:rsid w:val="00C069A5"/>
    <w:rsid w:val="00C126C0"/>
    <w:rsid w:val="00C257B4"/>
    <w:rsid w:val="00C2611A"/>
    <w:rsid w:val="00C41BF8"/>
    <w:rsid w:val="00C6114E"/>
    <w:rsid w:val="00C76AD5"/>
    <w:rsid w:val="00C80BBF"/>
    <w:rsid w:val="00C945C0"/>
    <w:rsid w:val="00CB73CF"/>
    <w:rsid w:val="00CC01A4"/>
    <w:rsid w:val="00CD3117"/>
    <w:rsid w:val="00CE7851"/>
    <w:rsid w:val="00D13D49"/>
    <w:rsid w:val="00D1539E"/>
    <w:rsid w:val="00D22A2D"/>
    <w:rsid w:val="00D410EC"/>
    <w:rsid w:val="00D5697C"/>
    <w:rsid w:val="00D64937"/>
    <w:rsid w:val="00D91BC5"/>
    <w:rsid w:val="00D92064"/>
    <w:rsid w:val="00DA7916"/>
    <w:rsid w:val="00DC0835"/>
    <w:rsid w:val="00E03ED5"/>
    <w:rsid w:val="00E226B8"/>
    <w:rsid w:val="00E40188"/>
    <w:rsid w:val="00E42C99"/>
    <w:rsid w:val="00E51A6D"/>
    <w:rsid w:val="00EB6346"/>
    <w:rsid w:val="00EF1DB1"/>
    <w:rsid w:val="00F07947"/>
    <w:rsid w:val="00F14D09"/>
    <w:rsid w:val="00F30305"/>
    <w:rsid w:val="00F35395"/>
    <w:rsid w:val="00F44A8A"/>
    <w:rsid w:val="00F530C1"/>
    <w:rsid w:val="00F767F2"/>
    <w:rsid w:val="00F81704"/>
    <w:rsid w:val="00F84689"/>
    <w:rsid w:val="00F90A6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character" w:customStyle="1" w:styleId="Corpsdutexte2">
    <w:name w:val="Corps du texte (2)"/>
    <w:basedOn w:val="Policepardfaut"/>
    <w:rsid w:val="00E42C99"/>
    <w:rPr>
      <w:rFonts w:ascii="Times New Roman" w:eastAsia="Times New Roman" w:hAnsi="Times New Roman" w:cs="Times New Roman"/>
      <w:b w:val="0"/>
      <w:bCs w:val="0"/>
      <w:i w:val="0"/>
      <w:iCs w:val="0"/>
      <w:smallCaps w:val="0"/>
      <w:strike w:val="0"/>
      <w:color w:val="161A71"/>
      <w:spacing w:val="0"/>
      <w:w w:val="100"/>
      <w:position w:val="0"/>
      <w:sz w:val="24"/>
      <w:szCs w:val="24"/>
      <w:u w:val="none"/>
      <w:lang w:val="fr-FR" w:eastAsia="fr-FR" w:bidi="fr-FR"/>
    </w:rPr>
  </w:style>
  <w:style w:type="paragraph" w:customStyle="1" w:styleId="-ConventionPrambuleGEDA">
    <w:name w:val="- Convention:Préambule           GEDA"/>
    <w:rsid w:val="00373A04"/>
    <w:pPr>
      <w:spacing w:before="60" w:after="0" w:line="240" w:lineRule="auto"/>
      <w:ind w:firstLine="340"/>
      <w:jc w:val="both"/>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03968134">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36421910">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26124629">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44947959">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596912659">
      <w:bodyDiv w:val="1"/>
      <w:marLeft w:val="0"/>
      <w:marRight w:val="0"/>
      <w:marTop w:val="0"/>
      <w:marBottom w:val="0"/>
      <w:divBdr>
        <w:top w:val="none" w:sz="0" w:space="0" w:color="auto"/>
        <w:left w:val="none" w:sz="0" w:space="0" w:color="auto"/>
        <w:bottom w:val="none" w:sz="0" w:space="0" w:color="auto"/>
        <w:right w:val="none" w:sz="0" w:space="0" w:color="auto"/>
      </w:divBdr>
    </w:div>
    <w:div w:id="669916482">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938946887">
      <w:bodyDiv w:val="1"/>
      <w:marLeft w:val="0"/>
      <w:marRight w:val="0"/>
      <w:marTop w:val="0"/>
      <w:marBottom w:val="0"/>
      <w:divBdr>
        <w:top w:val="none" w:sz="0" w:space="0" w:color="auto"/>
        <w:left w:val="none" w:sz="0" w:space="0" w:color="auto"/>
        <w:bottom w:val="none" w:sz="0" w:space="0" w:color="auto"/>
        <w:right w:val="none" w:sz="0" w:space="0" w:color="auto"/>
      </w:divBdr>
    </w:div>
    <w:div w:id="100435917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27842573">
      <w:bodyDiv w:val="1"/>
      <w:marLeft w:val="0"/>
      <w:marRight w:val="0"/>
      <w:marTop w:val="0"/>
      <w:marBottom w:val="0"/>
      <w:divBdr>
        <w:top w:val="none" w:sz="0" w:space="0" w:color="auto"/>
        <w:left w:val="none" w:sz="0" w:space="0" w:color="auto"/>
        <w:bottom w:val="none" w:sz="0" w:space="0" w:color="auto"/>
        <w:right w:val="none" w:sz="0" w:space="0" w:color="auto"/>
      </w:divBdr>
    </w:div>
    <w:div w:id="1233128035">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79793230">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38988061">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576624071">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45550457">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57746971">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32021345">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48850514">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s-demarches.gov.p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3838</Words>
  <Characters>21110</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2021-06-10T01:07:00Z</dcterms:created>
  <dcterms:modified xsi:type="dcterms:W3CDTF">2021-06-10T01:07:00Z</dcterms:modified>
</cp:coreProperties>
</file>