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1E8E5DA1" w:rsidR="00625270" w:rsidRPr="00964474" w:rsidRDefault="004C71F3" w:rsidP="00964474">
      <w:pPr>
        <w:tabs>
          <w:tab w:val="left" w:pos="3240"/>
        </w:tabs>
        <w:jc w:val="center"/>
        <w:rPr>
          <w:rFonts w:ascii="Cambria" w:hAnsi="Cambria" w:cs="Arial"/>
          <w:b/>
          <w:i/>
        </w:rPr>
      </w:pPr>
      <w:r w:rsidRPr="00964474">
        <w:rPr>
          <w:rFonts w:ascii="Cambria" w:hAnsi="Cambria" w:cs="Arial"/>
          <w:b/>
          <w:i/>
        </w:rPr>
        <w:t>Mercredi</w:t>
      </w:r>
      <w:r w:rsidR="00625270" w:rsidRPr="00964474">
        <w:rPr>
          <w:rFonts w:ascii="Cambria" w:hAnsi="Cambria" w:cs="Arial"/>
          <w:b/>
          <w:i/>
        </w:rPr>
        <w:t xml:space="preserve"> </w:t>
      </w:r>
      <w:r w:rsidR="000B02D4">
        <w:rPr>
          <w:rFonts w:ascii="Cambria" w:hAnsi="Cambria" w:cs="Arial"/>
          <w:b/>
          <w:i/>
        </w:rPr>
        <w:t>12 mai</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964474" w:rsidRDefault="00625270"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46DEFA30" w14:textId="77777777" w:rsidR="001434EF" w:rsidRDefault="001434EF" w:rsidP="001434EF">
      <w:pPr>
        <w:rPr>
          <w:rFonts w:ascii="Cambria" w:hAnsi="Cambria"/>
          <w:b/>
          <w:bCs/>
          <w:lang w:eastAsia="fr-FR"/>
        </w:rPr>
      </w:pPr>
    </w:p>
    <w:p w14:paraId="555A674B" w14:textId="2EB3E82E" w:rsidR="001434EF" w:rsidRPr="001434EF" w:rsidRDefault="001434EF" w:rsidP="001434EF">
      <w:pPr>
        <w:rPr>
          <w:rFonts w:ascii="Cambria" w:hAnsi="Cambria"/>
          <w:b/>
        </w:rPr>
      </w:pPr>
      <w:r w:rsidRPr="001434EF">
        <w:rPr>
          <w:rFonts w:ascii="Cambria" w:hAnsi="Cambria"/>
          <w:b/>
        </w:rPr>
        <w:t xml:space="preserve">Fait </w:t>
      </w:r>
      <w:proofErr w:type="gramStart"/>
      <w:r w:rsidRPr="001434EF">
        <w:rPr>
          <w:rFonts w:ascii="Cambria" w:hAnsi="Cambria"/>
          <w:b/>
        </w:rPr>
        <w:t>nucléaire</w:t>
      </w:r>
      <w:r>
        <w:rPr>
          <w:rFonts w:ascii="Cambria" w:hAnsi="Cambria"/>
          <w:b/>
        </w:rPr>
        <w:t>:</w:t>
      </w:r>
      <w:proofErr w:type="gramEnd"/>
      <w:r w:rsidRPr="001434EF">
        <w:rPr>
          <w:rFonts w:ascii="Cambria" w:hAnsi="Cambria"/>
          <w:b/>
        </w:rPr>
        <w:t xml:space="preserve"> création de la délégation polynésienne </w:t>
      </w:r>
      <w:proofErr w:type="spellStart"/>
      <w:r w:rsidRPr="001434EF">
        <w:rPr>
          <w:rFonts w:ascii="Cambria" w:hAnsi="Cambria"/>
          <w:b/>
        </w:rPr>
        <w:t>R</w:t>
      </w:r>
      <w:r>
        <w:rPr>
          <w:rFonts w:ascii="Cambria" w:hAnsi="Cambria"/>
          <w:b/>
        </w:rPr>
        <w:t>eko</w:t>
      </w:r>
      <w:proofErr w:type="spellEnd"/>
      <w:r>
        <w:rPr>
          <w:rFonts w:ascii="Cambria" w:hAnsi="Cambria"/>
          <w:b/>
        </w:rPr>
        <w:t xml:space="preserve"> </w:t>
      </w:r>
      <w:proofErr w:type="spellStart"/>
      <w:r>
        <w:rPr>
          <w:rFonts w:ascii="Cambria" w:hAnsi="Cambria"/>
          <w:b/>
        </w:rPr>
        <w:t>Tika</w:t>
      </w:r>
      <w:proofErr w:type="spellEnd"/>
    </w:p>
    <w:p w14:paraId="08397952" w14:textId="77777777" w:rsidR="001434EF" w:rsidRPr="001434EF" w:rsidRDefault="001434EF" w:rsidP="001434EF">
      <w:pPr>
        <w:jc w:val="both"/>
        <w:rPr>
          <w:rFonts w:ascii="Cambria" w:hAnsi="Cambria"/>
        </w:rPr>
      </w:pPr>
    </w:p>
    <w:p w14:paraId="564188F0" w14:textId="77777777" w:rsidR="001434EF" w:rsidRPr="001434EF" w:rsidRDefault="001434EF" w:rsidP="001434EF">
      <w:pPr>
        <w:pStyle w:val="-LettreTexteGEDA"/>
        <w:ind w:firstLine="0"/>
        <w:rPr>
          <w:rFonts w:ascii="Cambria" w:hAnsi="Cambria"/>
          <w:szCs w:val="24"/>
        </w:rPr>
      </w:pPr>
      <w:r w:rsidRPr="001434EF">
        <w:rPr>
          <w:rFonts w:ascii="Cambria" w:hAnsi="Cambria"/>
          <w:szCs w:val="24"/>
        </w:rPr>
        <w:t>Le Président de la République française, Emmanuel Macron, en réponse à l’appel du président du Pays Edouard Fritch, a proposé de présider une Table Ronde de Haut Niveau sur le fait nucléaire.</w:t>
      </w:r>
    </w:p>
    <w:p w14:paraId="2B2F4E4F" w14:textId="599171FA" w:rsidR="001434EF" w:rsidRPr="001434EF" w:rsidRDefault="001434EF" w:rsidP="001434EF">
      <w:pPr>
        <w:pStyle w:val="-LettreTexteGEDA"/>
        <w:ind w:firstLine="0"/>
        <w:rPr>
          <w:rFonts w:ascii="Cambria" w:hAnsi="Cambria"/>
          <w:szCs w:val="24"/>
        </w:rPr>
      </w:pPr>
      <w:r w:rsidRPr="001434EF">
        <w:rPr>
          <w:rFonts w:ascii="Cambria" w:hAnsi="Cambria"/>
          <w:szCs w:val="24"/>
        </w:rPr>
        <w:t xml:space="preserve">Pour le Pays, l’objectif est d’apporter vérité et justice: </w:t>
      </w:r>
      <w:r>
        <w:rPr>
          <w:rFonts w:ascii="Cambria" w:hAnsi="Cambria"/>
          <w:szCs w:val="24"/>
        </w:rPr>
        <w:t>R</w:t>
      </w:r>
      <w:r w:rsidRPr="001434EF">
        <w:rPr>
          <w:rFonts w:ascii="Cambria" w:hAnsi="Cambria"/>
          <w:szCs w:val="24"/>
        </w:rPr>
        <w:t xml:space="preserve">eko </w:t>
      </w:r>
      <w:r>
        <w:rPr>
          <w:rFonts w:ascii="Cambria" w:hAnsi="Cambria"/>
          <w:szCs w:val="24"/>
        </w:rPr>
        <w:t>T</w:t>
      </w:r>
      <w:r w:rsidRPr="001434EF">
        <w:rPr>
          <w:rFonts w:ascii="Cambria" w:hAnsi="Cambria"/>
          <w:szCs w:val="24"/>
        </w:rPr>
        <w:t>ika, sur l’histoire du Centre d’expérimentation du Pacifique (CEP) et de porter devant le Président de la République française les demandes adressées à l’Etat de mesures de réparation des dommages subis à titre individuel et à titre collectif par les Polynésiens.</w:t>
      </w:r>
    </w:p>
    <w:p w14:paraId="50DBEE7C" w14:textId="77A6C5A8" w:rsidR="001434EF" w:rsidRPr="001434EF" w:rsidRDefault="001434EF" w:rsidP="001434EF">
      <w:pPr>
        <w:pStyle w:val="-LettreTexteGEDA"/>
        <w:ind w:firstLine="0"/>
        <w:rPr>
          <w:rFonts w:ascii="Cambria" w:hAnsi="Cambria"/>
          <w:szCs w:val="24"/>
        </w:rPr>
      </w:pPr>
      <w:r w:rsidRPr="001434EF">
        <w:rPr>
          <w:rFonts w:ascii="Cambria" w:hAnsi="Cambria"/>
          <w:szCs w:val="24"/>
        </w:rPr>
        <w:t xml:space="preserve">A cet effet, le </w:t>
      </w:r>
      <w:r>
        <w:rPr>
          <w:rFonts w:ascii="Cambria" w:hAnsi="Cambria"/>
          <w:szCs w:val="24"/>
        </w:rPr>
        <w:t>C</w:t>
      </w:r>
      <w:r w:rsidRPr="001434EF">
        <w:rPr>
          <w:rFonts w:ascii="Cambria" w:hAnsi="Cambria"/>
          <w:szCs w:val="24"/>
        </w:rPr>
        <w:t>onseil des ministres vient de créer la délégation polynésienne Reko Tika, au sein de laquelle sont invitées à participer les forces vives du Pays.</w:t>
      </w:r>
    </w:p>
    <w:p w14:paraId="2058F752" w14:textId="77777777" w:rsidR="001434EF" w:rsidRPr="001434EF" w:rsidRDefault="001434EF" w:rsidP="001434EF">
      <w:pPr>
        <w:pStyle w:val="-LettreTexteGEDA"/>
        <w:ind w:firstLine="0"/>
        <w:rPr>
          <w:rFonts w:ascii="Cambria" w:hAnsi="Cambria"/>
          <w:szCs w:val="24"/>
        </w:rPr>
      </w:pPr>
      <w:r w:rsidRPr="001434EF">
        <w:rPr>
          <w:rFonts w:ascii="Cambria" w:hAnsi="Cambria"/>
          <w:szCs w:val="24"/>
        </w:rPr>
        <w:t xml:space="preserve">Cette délégation sera conduite à la Table Ronde de Haut Niveau par le Président Edouard Fritch. </w:t>
      </w:r>
    </w:p>
    <w:p w14:paraId="1014CA53" w14:textId="2674BCA6" w:rsidR="001434EF" w:rsidRPr="001434EF" w:rsidRDefault="001434EF" w:rsidP="001434EF">
      <w:pPr>
        <w:pStyle w:val="-LettreTexteGEDA"/>
        <w:ind w:firstLine="0"/>
        <w:rPr>
          <w:rFonts w:ascii="Cambria" w:hAnsi="Cambria"/>
          <w:szCs w:val="24"/>
        </w:rPr>
      </w:pPr>
      <w:r w:rsidRPr="001434EF">
        <w:rPr>
          <w:rFonts w:ascii="Cambria" w:hAnsi="Cambria"/>
          <w:szCs w:val="24"/>
        </w:rPr>
        <w:t>Monsieur Joël A</w:t>
      </w:r>
      <w:r>
        <w:rPr>
          <w:rFonts w:ascii="Cambria" w:hAnsi="Cambria"/>
          <w:szCs w:val="24"/>
        </w:rPr>
        <w:t>llain</w:t>
      </w:r>
      <w:r w:rsidRPr="001434EF">
        <w:rPr>
          <w:rFonts w:ascii="Cambria" w:hAnsi="Cambria"/>
          <w:szCs w:val="24"/>
        </w:rPr>
        <w:t xml:space="preserve"> </w:t>
      </w:r>
      <w:r w:rsidRPr="001434EF">
        <w:rPr>
          <w:rFonts w:ascii="Cambria" w:hAnsi="Cambria"/>
          <w:szCs w:val="24"/>
        </w:rPr>
        <w:t>est</w:t>
      </w:r>
      <w:r w:rsidRPr="001434EF">
        <w:rPr>
          <w:rFonts w:ascii="Cambria" w:hAnsi="Cambria"/>
          <w:szCs w:val="24"/>
        </w:rPr>
        <w:t xml:space="preserve"> désigné coordonnateur de cette délégation.</w:t>
      </w:r>
    </w:p>
    <w:p w14:paraId="002ECFD2" w14:textId="01E2ECAB" w:rsidR="00DA56F1" w:rsidRPr="001434EF" w:rsidRDefault="001434EF" w:rsidP="001434EF">
      <w:pPr>
        <w:pStyle w:val="-LettreTexteGEDA"/>
        <w:ind w:firstLine="0"/>
        <w:rPr>
          <w:rFonts w:ascii="Cambria" w:hAnsi="Cambria"/>
          <w:szCs w:val="24"/>
        </w:rPr>
      </w:pPr>
      <w:r w:rsidRPr="001434EF">
        <w:rPr>
          <w:rFonts w:ascii="Cambria" w:hAnsi="Cambria"/>
          <w:szCs w:val="24"/>
        </w:rPr>
        <w:t>La délégation pour le suivi des conséquences des essais nucléaires (DSCEN) est chargée du secrétariat général, technique et scientifique de la délégation polynésienne Reko Tika et de son coordonnateur</w:t>
      </w:r>
      <w:r w:rsidRPr="001434EF">
        <w:rPr>
          <w:rFonts w:ascii="Cambria" w:hAnsi="Cambria"/>
          <w:szCs w:val="24"/>
        </w:rPr>
        <w:t>.</w:t>
      </w:r>
    </w:p>
    <w:p w14:paraId="799E0B53" w14:textId="77777777" w:rsidR="001434EF" w:rsidRPr="001434EF" w:rsidRDefault="001434EF" w:rsidP="001434EF">
      <w:pPr>
        <w:pStyle w:val="-LettreTexteGEDA"/>
        <w:ind w:firstLine="0"/>
      </w:pPr>
    </w:p>
    <w:p w14:paraId="1EE76BBB" w14:textId="77777777" w:rsidR="00DA56F1" w:rsidRPr="00DA56F1" w:rsidRDefault="00DA56F1" w:rsidP="00DA56F1">
      <w:pPr>
        <w:spacing w:before="100" w:beforeAutospacing="1" w:after="100" w:afterAutospacing="1"/>
        <w:jc w:val="both"/>
        <w:rPr>
          <w:rFonts w:ascii="Cambria" w:hAnsi="Cambria"/>
          <w:lang w:eastAsia="fr-FR"/>
        </w:rPr>
      </w:pPr>
      <w:r w:rsidRPr="00DA56F1">
        <w:rPr>
          <w:rFonts w:ascii="Cambria" w:hAnsi="Cambria"/>
          <w:b/>
          <w:bCs/>
          <w:lang w:eastAsia="fr-FR"/>
        </w:rPr>
        <w:t>Projet de convention de coopération entre la Polynésie française et l’ADECAL Technopole sur la filière crevette</w:t>
      </w:r>
    </w:p>
    <w:p w14:paraId="2F1CA081" w14:textId="77777777" w:rsidR="00DA56F1" w:rsidRPr="00DA56F1" w:rsidRDefault="00DA56F1" w:rsidP="00DA56F1">
      <w:pPr>
        <w:spacing w:before="100" w:beforeAutospacing="1" w:after="100" w:afterAutospacing="1"/>
        <w:jc w:val="both"/>
        <w:rPr>
          <w:rFonts w:ascii="Cambria" w:hAnsi="Cambria"/>
          <w:lang w:eastAsia="fr-FR"/>
        </w:rPr>
      </w:pPr>
      <w:r w:rsidRPr="00DA56F1">
        <w:rPr>
          <w:rFonts w:ascii="Cambria" w:hAnsi="Cambria"/>
          <w:lang w:eastAsia="fr-FR"/>
        </w:rPr>
        <w:t xml:space="preserve">En aquaculture, pour mener à bien une stratégie de développement durable, le Pays s’appuie à travers la Direction des Ressources marines (DRM) sur différents partenariats avec le secteur privé et les centres de recherche, notamment sur le pôle aquacole de </w:t>
      </w:r>
      <w:proofErr w:type="spellStart"/>
      <w:r w:rsidRPr="00DA56F1">
        <w:rPr>
          <w:rFonts w:ascii="Cambria" w:hAnsi="Cambria"/>
          <w:lang w:eastAsia="fr-FR"/>
        </w:rPr>
        <w:t>Vairao</w:t>
      </w:r>
      <w:proofErr w:type="spellEnd"/>
      <w:r w:rsidRPr="00DA56F1">
        <w:rPr>
          <w:rFonts w:ascii="Cambria" w:hAnsi="Cambria"/>
          <w:lang w:eastAsia="fr-FR"/>
        </w:rPr>
        <w:t xml:space="preserve"> qui comprend les Ecloseries de Production (EPV) et le Centre Technique Aquacole (CTA) composant VAIA ainsi que le centre Ifremer du Pacifique (CIP). Le complexe VAIA de </w:t>
      </w:r>
      <w:proofErr w:type="spellStart"/>
      <w:r w:rsidRPr="00DA56F1">
        <w:rPr>
          <w:rFonts w:ascii="Cambria" w:hAnsi="Cambria"/>
          <w:lang w:eastAsia="fr-FR"/>
        </w:rPr>
        <w:t>Vairao</w:t>
      </w:r>
      <w:proofErr w:type="spellEnd"/>
      <w:r w:rsidRPr="00DA56F1">
        <w:rPr>
          <w:rFonts w:ascii="Cambria" w:hAnsi="Cambria"/>
          <w:lang w:eastAsia="fr-FR"/>
        </w:rPr>
        <w:t xml:space="preserve"> ainsi que le projet </w:t>
      </w:r>
      <w:proofErr w:type="spellStart"/>
      <w:r w:rsidRPr="00DA56F1">
        <w:rPr>
          <w:rFonts w:ascii="Cambria" w:hAnsi="Cambria"/>
          <w:lang w:eastAsia="fr-FR"/>
        </w:rPr>
        <w:t>Biomarine</w:t>
      </w:r>
      <w:proofErr w:type="spellEnd"/>
      <w:r w:rsidRPr="00DA56F1">
        <w:rPr>
          <w:rFonts w:ascii="Cambria" w:hAnsi="Cambria"/>
          <w:lang w:eastAsia="fr-FR"/>
        </w:rPr>
        <w:t xml:space="preserve"> de </w:t>
      </w:r>
      <w:proofErr w:type="spellStart"/>
      <w:r w:rsidRPr="00DA56F1">
        <w:rPr>
          <w:rFonts w:ascii="Cambria" w:hAnsi="Cambria"/>
          <w:lang w:eastAsia="fr-FR"/>
        </w:rPr>
        <w:t>Faratea</w:t>
      </w:r>
      <w:proofErr w:type="spellEnd"/>
      <w:r w:rsidRPr="00DA56F1">
        <w:rPr>
          <w:rFonts w:ascii="Cambria" w:hAnsi="Cambria"/>
          <w:lang w:eastAsia="fr-FR"/>
        </w:rPr>
        <w:t xml:space="preserve"> témoignent de cette ambition du Pays de développer ce secteur d’avenir.</w:t>
      </w:r>
    </w:p>
    <w:p w14:paraId="7846463B" w14:textId="77777777" w:rsidR="00DA56F1" w:rsidRPr="00DA56F1" w:rsidRDefault="00DA56F1" w:rsidP="00DA56F1">
      <w:pPr>
        <w:spacing w:before="100" w:beforeAutospacing="1" w:after="100" w:afterAutospacing="1"/>
        <w:jc w:val="both"/>
        <w:rPr>
          <w:rFonts w:ascii="Cambria" w:hAnsi="Cambria"/>
          <w:lang w:eastAsia="fr-FR"/>
        </w:rPr>
      </w:pPr>
      <w:r w:rsidRPr="00DA56F1">
        <w:rPr>
          <w:rFonts w:ascii="Cambria" w:hAnsi="Cambria"/>
          <w:lang w:eastAsia="fr-FR"/>
        </w:rPr>
        <w:t>Dans un contexte similaire, l’ADECAL Technopole est une association loi de 1901 dont les objectifs sont de favoriser l’émergence de projets et filières innovants, notamment par la valorisation des ressources biologiques marines et terrestres de Nouvelle-Calédonie au travers de plusieurs centres techniques.</w:t>
      </w:r>
    </w:p>
    <w:p w14:paraId="3B014FAD" w14:textId="77777777" w:rsidR="00DA56F1" w:rsidRPr="00DA56F1" w:rsidRDefault="00DA56F1" w:rsidP="00DA56F1">
      <w:pPr>
        <w:spacing w:before="100" w:beforeAutospacing="1" w:after="100" w:afterAutospacing="1"/>
        <w:jc w:val="both"/>
        <w:rPr>
          <w:rFonts w:ascii="Cambria" w:hAnsi="Cambria"/>
          <w:lang w:eastAsia="fr-FR"/>
        </w:rPr>
      </w:pPr>
      <w:r w:rsidRPr="00DA56F1">
        <w:rPr>
          <w:rFonts w:ascii="Cambria" w:hAnsi="Cambria"/>
          <w:lang w:eastAsia="fr-FR"/>
        </w:rPr>
        <w:lastRenderedPageBreak/>
        <w:t xml:space="preserve">En Polynésie française comme en Nouvelle Calédonie, la filière crevetticole est basée sur l’espèce de crevette bleue </w:t>
      </w:r>
      <w:proofErr w:type="spellStart"/>
      <w:r w:rsidRPr="00DA56F1">
        <w:rPr>
          <w:rFonts w:ascii="Cambria" w:hAnsi="Cambria"/>
          <w:lang w:eastAsia="fr-FR"/>
        </w:rPr>
        <w:t>Litopenaeus</w:t>
      </w:r>
      <w:proofErr w:type="spellEnd"/>
      <w:r w:rsidRPr="00DA56F1">
        <w:rPr>
          <w:rFonts w:ascii="Cambria" w:hAnsi="Cambria"/>
          <w:lang w:eastAsia="fr-FR"/>
        </w:rPr>
        <w:t xml:space="preserve"> </w:t>
      </w:r>
      <w:proofErr w:type="spellStart"/>
      <w:r w:rsidRPr="00DA56F1">
        <w:rPr>
          <w:rFonts w:ascii="Cambria" w:hAnsi="Cambria"/>
          <w:lang w:eastAsia="fr-FR"/>
        </w:rPr>
        <w:t>stylirostris</w:t>
      </w:r>
      <w:proofErr w:type="spellEnd"/>
      <w:r w:rsidRPr="00DA56F1">
        <w:rPr>
          <w:rFonts w:ascii="Cambria" w:hAnsi="Cambria"/>
          <w:lang w:eastAsia="fr-FR"/>
        </w:rPr>
        <w:t xml:space="preserve"> qui représente la principale ressource aquacole (hors perliculture) de ces deux territoires. Si la filière polynésienne produit actuellement 150 tonnes par an, elle présente un fort potentiel de développement basé sur la souche de crevette bleue polynésienne domestiquée, performante et saine dont la DRM est l’unique gestionnaire depuis 2015.</w:t>
      </w:r>
    </w:p>
    <w:p w14:paraId="3C5A7EA2" w14:textId="77777777" w:rsidR="00DA56F1" w:rsidRPr="00DA56F1" w:rsidRDefault="00DA56F1" w:rsidP="00DA56F1">
      <w:pPr>
        <w:spacing w:before="100" w:beforeAutospacing="1" w:after="100" w:afterAutospacing="1"/>
        <w:jc w:val="both"/>
        <w:rPr>
          <w:rFonts w:ascii="Cambria" w:hAnsi="Cambria"/>
          <w:lang w:eastAsia="fr-FR"/>
        </w:rPr>
      </w:pPr>
      <w:r w:rsidRPr="00DA56F1">
        <w:rPr>
          <w:rFonts w:ascii="Cambria" w:hAnsi="Cambria"/>
          <w:lang w:eastAsia="fr-FR"/>
        </w:rPr>
        <w:t>Une gestion génétique appropriée de cette souche apparaissant comme un impératif au développement durable de cette filière en Polynésie, le Conseil des ministres a autorisé la transmission aux fins d’examen par l’Assemblée de la Polynésie française d’un projet de délibération portant habilitation du Président de la Polynésie française à négocier et à signer un projet de convention de coopération entre la Polynésie française et l’ADECAL Technopole portant sur :</w:t>
      </w:r>
    </w:p>
    <w:p w14:paraId="76B8DE12" w14:textId="77777777" w:rsidR="00DA56F1" w:rsidRPr="00DA56F1" w:rsidRDefault="00DA56F1" w:rsidP="00DA56F1">
      <w:pPr>
        <w:spacing w:before="100" w:beforeAutospacing="1" w:after="100" w:afterAutospacing="1"/>
        <w:jc w:val="both"/>
        <w:rPr>
          <w:rFonts w:ascii="Cambria" w:hAnsi="Cambria"/>
          <w:lang w:eastAsia="fr-FR"/>
        </w:rPr>
      </w:pPr>
      <w:r w:rsidRPr="00DA56F1">
        <w:rPr>
          <w:rFonts w:ascii="Cambria" w:hAnsi="Cambria"/>
          <w:lang w:eastAsia="fr-FR"/>
        </w:rPr>
        <w:t xml:space="preserve">- L’acquisition en copropriété par la DRM de l’unique panel de marqueurs génétiques « Single </w:t>
      </w:r>
      <w:proofErr w:type="spellStart"/>
      <w:r w:rsidRPr="00DA56F1">
        <w:rPr>
          <w:rFonts w:ascii="Cambria" w:hAnsi="Cambria"/>
          <w:lang w:eastAsia="fr-FR"/>
        </w:rPr>
        <w:t>Nucleotide</w:t>
      </w:r>
      <w:proofErr w:type="spellEnd"/>
      <w:r w:rsidRPr="00DA56F1">
        <w:rPr>
          <w:rFonts w:ascii="Cambria" w:hAnsi="Cambria"/>
          <w:lang w:eastAsia="fr-FR"/>
        </w:rPr>
        <w:t xml:space="preserve"> Polymorphisme » sur </w:t>
      </w:r>
      <w:proofErr w:type="spellStart"/>
      <w:r w:rsidRPr="00DA56F1">
        <w:rPr>
          <w:rFonts w:ascii="Cambria" w:hAnsi="Cambria"/>
          <w:lang w:eastAsia="fr-FR"/>
        </w:rPr>
        <w:t>Litopenaeus</w:t>
      </w:r>
      <w:proofErr w:type="spellEnd"/>
      <w:r w:rsidRPr="00DA56F1">
        <w:rPr>
          <w:rFonts w:ascii="Cambria" w:hAnsi="Cambria"/>
          <w:lang w:eastAsia="fr-FR"/>
        </w:rPr>
        <w:t xml:space="preserve"> </w:t>
      </w:r>
      <w:proofErr w:type="spellStart"/>
      <w:r w:rsidRPr="00DA56F1">
        <w:rPr>
          <w:rFonts w:ascii="Cambria" w:hAnsi="Cambria"/>
          <w:lang w:eastAsia="fr-FR"/>
        </w:rPr>
        <w:t>stylirostris</w:t>
      </w:r>
      <w:proofErr w:type="spellEnd"/>
      <w:r w:rsidRPr="00DA56F1">
        <w:rPr>
          <w:rFonts w:ascii="Cambria" w:hAnsi="Cambria"/>
          <w:lang w:eastAsia="fr-FR"/>
        </w:rPr>
        <w:t xml:space="preserve"> existant à ce jour à l’échelle mondiale, fonctionnant sur la souche polynésienne de crevette bleue et développé dans le cadre du projet STYLISNP’S financé par la Nouvelle-Calédonie.</w:t>
      </w:r>
    </w:p>
    <w:p w14:paraId="2D2C54D9" w14:textId="77777777" w:rsidR="00DA56F1" w:rsidRPr="00DA56F1" w:rsidRDefault="00DA56F1" w:rsidP="00DA56F1">
      <w:pPr>
        <w:spacing w:before="100" w:beforeAutospacing="1" w:after="100" w:afterAutospacing="1"/>
        <w:jc w:val="both"/>
        <w:rPr>
          <w:rFonts w:ascii="Cambria" w:hAnsi="Cambria"/>
          <w:lang w:eastAsia="fr-FR"/>
        </w:rPr>
      </w:pPr>
      <w:r w:rsidRPr="00DA56F1">
        <w:rPr>
          <w:rFonts w:ascii="Cambria" w:hAnsi="Cambria"/>
          <w:lang w:eastAsia="fr-FR"/>
        </w:rPr>
        <w:t xml:space="preserve">- Le partage des génotypes des souches polynésiennes et calédoniennes de </w:t>
      </w:r>
      <w:proofErr w:type="spellStart"/>
      <w:r w:rsidRPr="00DA56F1">
        <w:rPr>
          <w:rFonts w:ascii="Cambria" w:hAnsi="Cambria"/>
          <w:lang w:eastAsia="fr-FR"/>
        </w:rPr>
        <w:t>Litopenaeus</w:t>
      </w:r>
      <w:proofErr w:type="spellEnd"/>
      <w:r w:rsidRPr="00DA56F1">
        <w:rPr>
          <w:rFonts w:ascii="Cambria" w:hAnsi="Cambria"/>
          <w:lang w:eastAsia="fr-FR"/>
        </w:rPr>
        <w:t xml:space="preserve"> </w:t>
      </w:r>
      <w:proofErr w:type="spellStart"/>
      <w:r w:rsidRPr="00DA56F1">
        <w:rPr>
          <w:rFonts w:ascii="Cambria" w:hAnsi="Cambria"/>
          <w:lang w:eastAsia="fr-FR"/>
        </w:rPr>
        <w:t>stylirostris</w:t>
      </w:r>
      <w:proofErr w:type="spellEnd"/>
      <w:r w:rsidRPr="00DA56F1">
        <w:rPr>
          <w:rFonts w:ascii="Cambria" w:hAnsi="Cambria"/>
          <w:lang w:eastAsia="fr-FR"/>
        </w:rPr>
        <w:t>. </w:t>
      </w:r>
    </w:p>
    <w:p w14:paraId="18BFC97F" w14:textId="77777777" w:rsidR="00DA56F1" w:rsidRPr="00DA56F1" w:rsidRDefault="00DA56F1" w:rsidP="00DA56F1">
      <w:pPr>
        <w:spacing w:before="100" w:beforeAutospacing="1" w:after="100" w:afterAutospacing="1"/>
        <w:jc w:val="both"/>
        <w:rPr>
          <w:rFonts w:ascii="Cambria" w:hAnsi="Cambria"/>
          <w:lang w:eastAsia="fr-FR"/>
        </w:rPr>
      </w:pPr>
      <w:r w:rsidRPr="00DA56F1">
        <w:rPr>
          <w:rFonts w:ascii="Cambria" w:hAnsi="Cambria"/>
          <w:lang w:eastAsia="fr-FR"/>
        </w:rPr>
        <w:t>Une telle collaboration entre la Polynésie française et l’ADECAL Technopole offre également les avantages de pouvoir encadrer et organiser un partage important d’outils, de compétences et de savoir-faire entre les deux parties via la mise en place d’un comité de pilotage dans le but de cogérer l’outil moléculaire, de confronter les problématiques et de partager des solutions.           </w:t>
      </w:r>
    </w:p>
    <w:p w14:paraId="10A1DD9D" w14:textId="77777777" w:rsidR="00DA56F1" w:rsidRPr="00DA56F1" w:rsidRDefault="00DA56F1" w:rsidP="00DA56F1">
      <w:pPr>
        <w:spacing w:before="100" w:beforeAutospacing="1" w:after="100" w:afterAutospacing="1"/>
        <w:jc w:val="both"/>
        <w:rPr>
          <w:rFonts w:ascii="Cambria" w:hAnsi="Cambria"/>
          <w:lang w:eastAsia="fr-FR"/>
        </w:rPr>
      </w:pPr>
      <w:r w:rsidRPr="00DA56F1">
        <w:rPr>
          <w:rFonts w:ascii="Cambria" w:hAnsi="Cambria"/>
          <w:lang w:eastAsia="fr-FR"/>
        </w:rPr>
        <w:t> </w:t>
      </w:r>
    </w:p>
    <w:p w14:paraId="2CBF86A9" w14:textId="77777777" w:rsidR="00DA56F1" w:rsidRPr="00DA56F1" w:rsidRDefault="00DA56F1" w:rsidP="00DA56F1">
      <w:pPr>
        <w:spacing w:before="100" w:beforeAutospacing="1" w:after="100" w:afterAutospacing="1"/>
        <w:jc w:val="both"/>
        <w:rPr>
          <w:rFonts w:ascii="Cambria" w:hAnsi="Cambria"/>
          <w:lang w:eastAsia="fr-FR"/>
        </w:rPr>
      </w:pPr>
      <w:r w:rsidRPr="00DA56F1">
        <w:rPr>
          <w:rFonts w:ascii="Cambria" w:hAnsi="Cambria"/>
          <w:b/>
          <w:bCs/>
          <w:lang w:eastAsia="fr-FR"/>
        </w:rPr>
        <w:t>Modernisation de la réglementation économique concernant les sociétés par actions simplifiées</w:t>
      </w:r>
    </w:p>
    <w:p w14:paraId="4A9DC4D4" w14:textId="77777777" w:rsidR="00DA56F1" w:rsidRPr="00DA56F1" w:rsidRDefault="00DA56F1" w:rsidP="00DA56F1">
      <w:pPr>
        <w:spacing w:before="100" w:beforeAutospacing="1" w:after="100" w:afterAutospacing="1"/>
        <w:jc w:val="both"/>
        <w:rPr>
          <w:rFonts w:ascii="Cambria" w:hAnsi="Cambria"/>
          <w:lang w:eastAsia="fr-FR"/>
        </w:rPr>
      </w:pPr>
      <w:r w:rsidRPr="00DA56F1">
        <w:rPr>
          <w:rFonts w:ascii="Cambria" w:hAnsi="Cambria"/>
          <w:lang w:eastAsia="fr-FR"/>
        </w:rPr>
        <w:t>Outil juridique privilégié des nouveaux entrepreneurs, la société par actions simplifiée offre l'avantage d'une grande liberté laissée aux associés, notamment dans l'élaboration des statuts. Afin de permettre un développement plus conséquent des SAS et donc de soutenir la création d'entreprises, le gouvernement a décidé de :</w:t>
      </w:r>
    </w:p>
    <w:p w14:paraId="2194E524" w14:textId="77777777" w:rsidR="00DA56F1" w:rsidRPr="00DA56F1" w:rsidRDefault="00DA56F1" w:rsidP="00DA56F1">
      <w:pPr>
        <w:numPr>
          <w:ilvl w:val="0"/>
          <w:numId w:val="27"/>
        </w:numPr>
        <w:spacing w:before="100" w:beforeAutospacing="1" w:after="100" w:afterAutospacing="1"/>
        <w:jc w:val="both"/>
        <w:rPr>
          <w:rFonts w:ascii="Cambria" w:hAnsi="Cambria"/>
          <w:lang w:eastAsia="fr-FR"/>
        </w:rPr>
      </w:pPr>
      <w:proofErr w:type="gramStart"/>
      <w:r w:rsidRPr="00DA56F1">
        <w:rPr>
          <w:rFonts w:ascii="Cambria" w:hAnsi="Cambria"/>
          <w:lang w:eastAsia="fr-FR"/>
        </w:rPr>
        <w:t>diminuer</w:t>
      </w:r>
      <w:proofErr w:type="gramEnd"/>
      <w:r w:rsidRPr="00DA56F1">
        <w:rPr>
          <w:rFonts w:ascii="Cambria" w:hAnsi="Cambria"/>
          <w:lang w:eastAsia="fr-FR"/>
        </w:rPr>
        <w:t xml:space="preserve"> le capital social minimum d’une SAS, ramené à 200 000 </w:t>
      </w:r>
      <w:proofErr w:type="spellStart"/>
      <w:r w:rsidRPr="00DA56F1">
        <w:rPr>
          <w:rFonts w:ascii="Cambria" w:hAnsi="Cambria"/>
          <w:lang w:eastAsia="fr-FR"/>
        </w:rPr>
        <w:t>Fcfp</w:t>
      </w:r>
      <w:proofErr w:type="spellEnd"/>
    </w:p>
    <w:p w14:paraId="68274DAC" w14:textId="77777777" w:rsidR="00DA56F1" w:rsidRPr="00DA56F1" w:rsidRDefault="00DA56F1" w:rsidP="00DA56F1">
      <w:pPr>
        <w:numPr>
          <w:ilvl w:val="0"/>
          <w:numId w:val="27"/>
        </w:numPr>
        <w:spacing w:before="100" w:beforeAutospacing="1" w:after="100" w:afterAutospacing="1"/>
        <w:jc w:val="both"/>
        <w:rPr>
          <w:rFonts w:ascii="Cambria" w:hAnsi="Cambria"/>
          <w:lang w:eastAsia="fr-FR"/>
        </w:rPr>
      </w:pPr>
      <w:proofErr w:type="gramStart"/>
      <w:r w:rsidRPr="00DA56F1">
        <w:rPr>
          <w:rFonts w:ascii="Cambria" w:hAnsi="Cambria"/>
          <w:lang w:eastAsia="fr-FR"/>
        </w:rPr>
        <w:t>permettre</w:t>
      </w:r>
      <w:proofErr w:type="gramEnd"/>
      <w:r w:rsidRPr="00DA56F1">
        <w:rPr>
          <w:rFonts w:ascii="Cambria" w:hAnsi="Cambria"/>
          <w:lang w:eastAsia="fr-FR"/>
        </w:rPr>
        <w:t xml:space="preserve"> la transformation d’une SAS en société d'une autre forme, en supprimant le délai obligatoire de deux ans d’existence, tel que prévu actuellement dans le code de commerce applicable en Polynésie française ;</w:t>
      </w:r>
    </w:p>
    <w:p w14:paraId="46DBB725" w14:textId="77777777" w:rsidR="00DA56F1" w:rsidRPr="00DA56F1" w:rsidRDefault="00DA56F1" w:rsidP="00DA56F1">
      <w:pPr>
        <w:numPr>
          <w:ilvl w:val="0"/>
          <w:numId w:val="27"/>
        </w:numPr>
        <w:spacing w:before="100" w:beforeAutospacing="1" w:after="100" w:afterAutospacing="1"/>
        <w:jc w:val="both"/>
        <w:rPr>
          <w:rFonts w:ascii="Cambria" w:hAnsi="Cambria"/>
          <w:lang w:eastAsia="fr-FR"/>
        </w:rPr>
      </w:pPr>
      <w:proofErr w:type="gramStart"/>
      <w:r w:rsidRPr="00DA56F1">
        <w:rPr>
          <w:rFonts w:ascii="Cambria" w:hAnsi="Cambria"/>
          <w:lang w:eastAsia="fr-FR"/>
        </w:rPr>
        <w:t>permettre</w:t>
      </w:r>
      <w:proofErr w:type="gramEnd"/>
      <w:r w:rsidRPr="00DA56F1">
        <w:rPr>
          <w:rFonts w:ascii="Cambria" w:hAnsi="Cambria"/>
          <w:lang w:eastAsia="fr-FR"/>
        </w:rPr>
        <w:t xml:space="preserve"> à une SAS de faire un appel public à l’épargne par l'intermédiaire d’un conseiller en investissement participatif ;</w:t>
      </w:r>
    </w:p>
    <w:p w14:paraId="760DE359" w14:textId="77777777" w:rsidR="00DA56F1" w:rsidRPr="00DA56F1" w:rsidRDefault="00DA56F1" w:rsidP="00DA56F1">
      <w:pPr>
        <w:numPr>
          <w:ilvl w:val="0"/>
          <w:numId w:val="27"/>
        </w:numPr>
        <w:spacing w:before="100" w:beforeAutospacing="1" w:after="100" w:afterAutospacing="1"/>
        <w:jc w:val="both"/>
        <w:rPr>
          <w:rFonts w:ascii="Cambria" w:hAnsi="Cambria"/>
          <w:lang w:eastAsia="fr-FR"/>
        </w:rPr>
      </w:pPr>
      <w:proofErr w:type="gramStart"/>
      <w:r w:rsidRPr="00DA56F1">
        <w:rPr>
          <w:rFonts w:ascii="Cambria" w:hAnsi="Cambria"/>
          <w:lang w:eastAsia="fr-FR"/>
        </w:rPr>
        <w:t>confier</w:t>
      </w:r>
      <w:proofErr w:type="gramEnd"/>
      <w:r w:rsidRPr="00DA56F1">
        <w:rPr>
          <w:rFonts w:ascii="Cambria" w:hAnsi="Cambria"/>
          <w:lang w:eastAsia="fr-FR"/>
        </w:rPr>
        <w:t xml:space="preserve"> les pouvoirs de représentation à une ou plusieurs personnes portant le titre de directeur général ou directeur général délégué ;</w:t>
      </w:r>
    </w:p>
    <w:p w14:paraId="0DD7D687" w14:textId="77777777" w:rsidR="00DA56F1" w:rsidRPr="00DA56F1" w:rsidRDefault="00DA56F1" w:rsidP="00DA56F1">
      <w:pPr>
        <w:numPr>
          <w:ilvl w:val="0"/>
          <w:numId w:val="27"/>
        </w:numPr>
        <w:spacing w:before="100" w:beforeAutospacing="1" w:after="100" w:afterAutospacing="1"/>
        <w:jc w:val="both"/>
        <w:rPr>
          <w:rFonts w:ascii="Cambria" w:hAnsi="Cambria"/>
          <w:lang w:eastAsia="fr-FR"/>
        </w:rPr>
      </w:pPr>
      <w:proofErr w:type="gramStart"/>
      <w:r w:rsidRPr="00DA56F1">
        <w:rPr>
          <w:rFonts w:ascii="Cambria" w:hAnsi="Cambria"/>
          <w:lang w:eastAsia="fr-FR"/>
        </w:rPr>
        <w:t>assouplir</w:t>
      </w:r>
      <w:proofErr w:type="gramEnd"/>
      <w:r w:rsidRPr="00DA56F1">
        <w:rPr>
          <w:rFonts w:ascii="Cambria" w:hAnsi="Cambria"/>
          <w:lang w:eastAsia="fr-FR"/>
        </w:rPr>
        <w:t xml:space="preserve"> l’exigence d’appel au commissaire aux comptes, en ne l’imposant que lorsque deux des trois seuils sont dépassés (total du bilan, le montant hors taxes du chiffre d’affaires et le nombre moyen de salariés).</w:t>
      </w:r>
    </w:p>
    <w:p w14:paraId="2C4DC300" w14:textId="77777777" w:rsidR="00DA56F1" w:rsidRPr="00DA56F1" w:rsidRDefault="00DA56F1" w:rsidP="00DA56F1">
      <w:pPr>
        <w:numPr>
          <w:ilvl w:val="0"/>
          <w:numId w:val="27"/>
        </w:numPr>
        <w:spacing w:before="100" w:beforeAutospacing="1" w:after="100" w:afterAutospacing="1"/>
        <w:jc w:val="both"/>
        <w:rPr>
          <w:rFonts w:ascii="Cambria" w:hAnsi="Cambria"/>
          <w:lang w:eastAsia="fr-FR"/>
        </w:rPr>
      </w:pPr>
      <w:proofErr w:type="gramStart"/>
      <w:r w:rsidRPr="00DA56F1">
        <w:rPr>
          <w:rFonts w:ascii="Cambria" w:hAnsi="Cambria"/>
          <w:lang w:eastAsia="fr-FR"/>
        </w:rPr>
        <w:lastRenderedPageBreak/>
        <w:t>clarifier</w:t>
      </w:r>
      <w:proofErr w:type="gramEnd"/>
      <w:r w:rsidRPr="00DA56F1">
        <w:rPr>
          <w:rFonts w:ascii="Cambria" w:hAnsi="Cambria"/>
          <w:lang w:eastAsia="fr-FR"/>
        </w:rPr>
        <w:t xml:space="preserve"> le statut social des dirigeants des SAS et des dirigeants de sociétés d’exercice libéral constituées sous forme de sociétés à responsabilité limitée ou de sociétés anonymes en prévoyant leur affiliation au régime des salariés pour l’ensemble des risques couverts (accidents du travail et maladies professionnelles, famille, maladie-invalidité et vieillesse).</w:t>
      </w:r>
    </w:p>
    <w:p w14:paraId="3E3E9531" w14:textId="77777777" w:rsidR="00DA56F1" w:rsidRPr="00DA56F1" w:rsidRDefault="00DA56F1" w:rsidP="00DA56F1">
      <w:pPr>
        <w:spacing w:before="100" w:beforeAutospacing="1" w:after="100" w:afterAutospacing="1"/>
        <w:jc w:val="both"/>
        <w:rPr>
          <w:rFonts w:ascii="Cambria" w:hAnsi="Cambria"/>
          <w:lang w:eastAsia="fr-FR"/>
        </w:rPr>
      </w:pPr>
      <w:r w:rsidRPr="00DA56F1">
        <w:rPr>
          <w:rFonts w:ascii="Cambria" w:hAnsi="Cambria"/>
          <w:lang w:eastAsia="fr-FR"/>
        </w:rPr>
        <w:t>Cette simplification s'inscrit dans le chantier de modernisation de la réglementation économique au bénéfice de l'esprit d'entreprise, de la croissance et de l'emploi, initié par le gouvernement.</w:t>
      </w:r>
    </w:p>
    <w:p w14:paraId="01EE4981" w14:textId="77777777" w:rsidR="00DA56F1" w:rsidRPr="00DA56F1" w:rsidRDefault="00DA56F1" w:rsidP="00DA56F1">
      <w:pPr>
        <w:spacing w:before="100" w:beforeAutospacing="1" w:after="100" w:afterAutospacing="1"/>
        <w:jc w:val="both"/>
        <w:rPr>
          <w:rFonts w:ascii="Cambria" w:hAnsi="Cambria"/>
          <w:lang w:eastAsia="fr-FR"/>
        </w:rPr>
      </w:pPr>
      <w:r w:rsidRPr="00DA56F1">
        <w:rPr>
          <w:rFonts w:ascii="Cambria" w:hAnsi="Cambria"/>
          <w:lang w:eastAsia="fr-FR"/>
        </w:rPr>
        <w:t> </w:t>
      </w:r>
    </w:p>
    <w:p w14:paraId="2D867F07" w14:textId="6775F3B6" w:rsidR="00DA56F1" w:rsidRPr="00DA56F1" w:rsidRDefault="00DA56F1" w:rsidP="00DA56F1">
      <w:pPr>
        <w:spacing w:before="100" w:beforeAutospacing="1" w:after="100" w:afterAutospacing="1"/>
        <w:jc w:val="both"/>
        <w:rPr>
          <w:rFonts w:ascii="Cambria" w:hAnsi="Cambria"/>
          <w:lang w:eastAsia="fr-FR"/>
        </w:rPr>
      </w:pPr>
      <w:r w:rsidRPr="00DA56F1">
        <w:rPr>
          <w:rFonts w:ascii="Cambria" w:hAnsi="Cambria"/>
          <w:b/>
          <w:bCs/>
          <w:lang w:eastAsia="fr-FR"/>
        </w:rPr>
        <w:t xml:space="preserve">Indice des </w:t>
      </w:r>
      <w:proofErr w:type="gramStart"/>
      <w:r w:rsidRPr="00DA56F1">
        <w:rPr>
          <w:rFonts w:ascii="Cambria" w:hAnsi="Cambria"/>
          <w:b/>
          <w:bCs/>
          <w:lang w:eastAsia="fr-FR"/>
        </w:rPr>
        <w:t>prix:</w:t>
      </w:r>
      <w:proofErr w:type="gramEnd"/>
      <w:r w:rsidRPr="00DA56F1">
        <w:rPr>
          <w:rFonts w:ascii="Cambria" w:hAnsi="Cambria"/>
          <w:b/>
          <w:bCs/>
          <w:lang w:eastAsia="fr-FR"/>
        </w:rPr>
        <w:t xml:space="preserve"> baisse de 0,4% sur 12 mois</w:t>
      </w:r>
    </w:p>
    <w:p w14:paraId="1BC40CFC" w14:textId="77777777" w:rsidR="00DA56F1" w:rsidRPr="00DA56F1" w:rsidRDefault="00DA56F1" w:rsidP="00DA56F1">
      <w:pPr>
        <w:spacing w:before="100" w:beforeAutospacing="1" w:after="100" w:afterAutospacing="1"/>
        <w:jc w:val="both"/>
        <w:rPr>
          <w:rFonts w:ascii="Cambria" w:hAnsi="Cambria"/>
          <w:lang w:eastAsia="fr-FR"/>
        </w:rPr>
      </w:pPr>
      <w:r w:rsidRPr="00DA56F1">
        <w:rPr>
          <w:rFonts w:ascii="Cambria" w:hAnsi="Cambria"/>
          <w:lang w:eastAsia="fr-FR"/>
        </w:rPr>
        <w:t>En avril 2021, l'indice des prix à la consommation est stable et s'établit à 99,27. La baisse de 0,2 % des prix des Produits alimentaires et boissons non alcoolisées compense la hausse de 0,3 % des prix des Transports. Sur douze mois, l'indice général des prix à la consommation baisse de 0,4 %.</w:t>
      </w:r>
    </w:p>
    <w:p w14:paraId="4B32D712" w14:textId="77777777" w:rsidR="00DA56F1" w:rsidRPr="00DA56F1" w:rsidRDefault="00DA56F1" w:rsidP="00DA56F1">
      <w:pPr>
        <w:spacing w:before="100" w:beforeAutospacing="1" w:after="100" w:afterAutospacing="1"/>
        <w:jc w:val="both"/>
        <w:rPr>
          <w:rFonts w:ascii="Cambria" w:hAnsi="Cambria"/>
          <w:lang w:eastAsia="fr-FR"/>
        </w:rPr>
      </w:pPr>
      <w:r w:rsidRPr="00DA56F1">
        <w:rPr>
          <w:rFonts w:ascii="Cambria" w:hAnsi="Cambria"/>
          <w:lang w:eastAsia="fr-FR"/>
        </w:rPr>
        <w:t>L’indice ouvrier augmente de 0,1 % en avril 2021. Il baisse de 1,0 % en glissement sur douze mois. L'indice général hors Transport aérien international augmente de 0,1 % en avril 2021 et diminue de 0,3 % en glissement sur douze mois.</w:t>
      </w:r>
    </w:p>
    <w:p w14:paraId="787197DD" w14:textId="77777777" w:rsidR="00DA56F1" w:rsidRPr="00DA56F1" w:rsidRDefault="00DA56F1" w:rsidP="00DA56F1">
      <w:pPr>
        <w:spacing w:before="100" w:beforeAutospacing="1" w:after="100" w:afterAutospacing="1"/>
        <w:jc w:val="both"/>
        <w:rPr>
          <w:rFonts w:ascii="Cambria" w:hAnsi="Cambria"/>
          <w:lang w:eastAsia="fr-FR"/>
        </w:rPr>
      </w:pPr>
      <w:r w:rsidRPr="00DA56F1">
        <w:rPr>
          <w:rFonts w:ascii="Cambria" w:hAnsi="Cambria"/>
          <w:lang w:eastAsia="fr-FR"/>
        </w:rPr>
        <w:t>Toujours pour le mois d’avril, l'index du Bâtiment et des Travaux Publics (BTP) augmente de 0,2 % et s'établit à 110,80. Cette évolution est principalement liée à l'augmentation de 1,3 % des prix des matériaux chimiques ainsi que celle de 1,1 % des prix des matériaux végétaux. Sur douze mois, l'index général du Bâtiment et Travaux publics augmente de 1,6 %.</w:t>
      </w:r>
    </w:p>
    <w:p w14:paraId="38DC00AE" w14:textId="77777777" w:rsidR="00DA56F1" w:rsidRPr="00DA56F1" w:rsidRDefault="00DA56F1" w:rsidP="00DA56F1">
      <w:pPr>
        <w:spacing w:before="100" w:beforeAutospacing="1" w:after="100" w:afterAutospacing="1"/>
        <w:jc w:val="both"/>
        <w:rPr>
          <w:rFonts w:ascii="Cambria" w:hAnsi="Cambria"/>
          <w:lang w:eastAsia="fr-FR"/>
        </w:rPr>
      </w:pPr>
      <w:r w:rsidRPr="00DA56F1">
        <w:rPr>
          <w:rFonts w:ascii="Cambria" w:hAnsi="Cambria"/>
          <w:lang w:eastAsia="fr-FR"/>
        </w:rPr>
        <w:t>Dans le Bâtiment, l'index du Gros Œuvre augmente de 0,1 % et celui du Second Œuvre baisse de 0,1 %. Sur douze mois, l'index général du Bâtiment est en hausse de 1,2 %. Dans les Travaux Publics, l'index du Génie Civil augmente de 0,6 % et celui des Travaux spécialisés est stable. Sur douze mois, l'index général des Travaux Publics est en hausse de 2,1 %.</w:t>
      </w:r>
    </w:p>
    <w:p w14:paraId="6B12F5BD" w14:textId="77777777" w:rsidR="00DA56F1" w:rsidRPr="00DA56F1" w:rsidRDefault="00DA56F1" w:rsidP="00DA56F1">
      <w:pPr>
        <w:spacing w:before="100" w:beforeAutospacing="1" w:after="100" w:afterAutospacing="1"/>
        <w:jc w:val="both"/>
        <w:rPr>
          <w:rFonts w:ascii="Cambria" w:hAnsi="Cambria"/>
          <w:lang w:eastAsia="fr-FR"/>
        </w:rPr>
      </w:pPr>
      <w:r w:rsidRPr="00DA56F1">
        <w:rPr>
          <w:rFonts w:ascii="Cambria" w:hAnsi="Cambria"/>
          <w:lang w:eastAsia="fr-FR"/>
        </w:rPr>
        <w:t>En avril également, les index hybrides prennent les valeurs suivantes (base 100 en décembre 2010</w:t>
      </w:r>
      <w:proofErr w:type="gramStart"/>
      <w:r w:rsidRPr="00DA56F1">
        <w:rPr>
          <w:rFonts w:ascii="Cambria" w:hAnsi="Cambria"/>
          <w:lang w:eastAsia="fr-FR"/>
        </w:rPr>
        <w:t>):</w:t>
      </w:r>
      <w:proofErr w:type="gramEnd"/>
    </w:p>
    <w:p w14:paraId="26EC2686" w14:textId="77777777" w:rsidR="00C527BF" w:rsidRDefault="00C527BF" w:rsidP="00C527BF">
      <w:pPr>
        <w:rPr>
          <w:rFonts w:ascii="Cambria" w:hAnsi="Cambria"/>
        </w:rPr>
      </w:pPr>
    </w:p>
    <w:tbl>
      <w:tblPr>
        <w:tblW w:w="8987" w:type="dxa"/>
        <w:jc w:val="center"/>
        <w:tblCellMar>
          <w:left w:w="0" w:type="dxa"/>
          <w:right w:w="0" w:type="dxa"/>
        </w:tblCellMar>
        <w:tblLook w:val="04A0" w:firstRow="1" w:lastRow="0" w:firstColumn="1" w:lastColumn="0" w:noHBand="0" w:noVBand="1"/>
      </w:tblPr>
      <w:tblGrid>
        <w:gridCol w:w="5665"/>
        <w:gridCol w:w="1276"/>
        <w:gridCol w:w="1309"/>
        <w:gridCol w:w="737"/>
      </w:tblGrid>
      <w:tr w:rsidR="00C527BF" w14:paraId="3FD85F23" w14:textId="77777777" w:rsidTr="005E45AD">
        <w:trPr>
          <w:trHeight w:val="315"/>
          <w:jc w:val="center"/>
        </w:trPr>
        <w:tc>
          <w:tcPr>
            <w:tcW w:w="5665" w:type="dxa"/>
            <w:vMerge w:val="restart"/>
            <w:tcBorders>
              <w:top w:val="dotted" w:sz="8" w:space="0" w:color="auto"/>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4C8EB57A" w14:textId="77777777" w:rsidR="00C527BF" w:rsidRDefault="00C527BF">
            <w:pPr>
              <w:rPr>
                <w:rFonts w:ascii="Cambria" w:hAnsi="Cambria"/>
                <w:b/>
                <w:bCs/>
              </w:rPr>
            </w:pPr>
            <w:r>
              <w:rPr>
                <w:rFonts w:ascii="Cambria" w:hAnsi="Cambria"/>
                <w:b/>
                <w:bCs/>
              </w:rPr>
              <w:t>Index</w:t>
            </w:r>
          </w:p>
        </w:tc>
        <w:tc>
          <w:tcPr>
            <w:tcW w:w="1276" w:type="dxa"/>
            <w:vMerge w:val="restart"/>
            <w:tcBorders>
              <w:top w:val="dotted" w:sz="8" w:space="0" w:color="auto"/>
              <w:left w:val="nil"/>
              <w:bottom w:val="dotted" w:sz="8" w:space="0" w:color="auto"/>
              <w:right w:val="dotted" w:sz="8" w:space="0" w:color="auto"/>
            </w:tcBorders>
            <w:noWrap/>
            <w:tcMar>
              <w:top w:w="0" w:type="dxa"/>
              <w:left w:w="70" w:type="dxa"/>
              <w:bottom w:w="0" w:type="dxa"/>
              <w:right w:w="70" w:type="dxa"/>
            </w:tcMar>
            <w:vAlign w:val="center"/>
            <w:hideMark/>
          </w:tcPr>
          <w:p w14:paraId="19D4D826" w14:textId="77777777" w:rsidR="00C527BF" w:rsidRDefault="00C527BF">
            <w:pPr>
              <w:rPr>
                <w:rFonts w:ascii="Cambria" w:hAnsi="Cambria"/>
                <w:b/>
                <w:bCs/>
              </w:rPr>
            </w:pPr>
            <w:r>
              <w:rPr>
                <w:rFonts w:ascii="Cambria" w:hAnsi="Cambria"/>
                <w:b/>
                <w:bCs/>
              </w:rPr>
              <w:t>Valeur</w:t>
            </w:r>
          </w:p>
        </w:tc>
        <w:tc>
          <w:tcPr>
            <w:tcW w:w="2046" w:type="dxa"/>
            <w:gridSpan w:val="2"/>
            <w:tcBorders>
              <w:top w:val="dotted" w:sz="8" w:space="0" w:color="auto"/>
              <w:left w:val="nil"/>
              <w:bottom w:val="dotted" w:sz="8" w:space="0" w:color="auto"/>
              <w:right w:val="dotted" w:sz="8" w:space="0" w:color="auto"/>
            </w:tcBorders>
            <w:noWrap/>
            <w:tcMar>
              <w:top w:w="0" w:type="dxa"/>
              <w:left w:w="70" w:type="dxa"/>
              <w:bottom w:w="0" w:type="dxa"/>
              <w:right w:w="70" w:type="dxa"/>
            </w:tcMar>
            <w:vAlign w:val="center"/>
            <w:hideMark/>
          </w:tcPr>
          <w:p w14:paraId="1574E095" w14:textId="77777777" w:rsidR="00C527BF" w:rsidRDefault="00C527BF">
            <w:pPr>
              <w:rPr>
                <w:rFonts w:ascii="Cambria" w:hAnsi="Cambria"/>
                <w:b/>
                <w:bCs/>
              </w:rPr>
            </w:pPr>
            <w:r>
              <w:rPr>
                <w:rFonts w:ascii="Cambria" w:hAnsi="Cambria"/>
                <w:b/>
                <w:bCs/>
              </w:rPr>
              <w:t>Variations en %</w:t>
            </w:r>
          </w:p>
        </w:tc>
      </w:tr>
      <w:tr w:rsidR="00C527BF" w14:paraId="36002B13" w14:textId="77777777" w:rsidTr="005E45AD">
        <w:trPr>
          <w:trHeight w:val="315"/>
          <w:jc w:val="center"/>
        </w:trPr>
        <w:tc>
          <w:tcPr>
            <w:tcW w:w="0" w:type="auto"/>
            <w:vMerge/>
            <w:tcBorders>
              <w:top w:val="dotted" w:sz="8" w:space="0" w:color="auto"/>
              <w:left w:val="dotted" w:sz="8" w:space="0" w:color="auto"/>
              <w:bottom w:val="dotted" w:sz="8" w:space="0" w:color="auto"/>
              <w:right w:val="dotted" w:sz="8" w:space="0" w:color="auto"/>
            </w:tcBorders>
            <w:vAlign w:val="center"/>
            <w:hideMark/>
          </w:tcPr>
          <w:p w14:paraId="6AC6A598" w14:textId="77777777" w:rsidR="00C527BF" w:rsidRDefault="00C527BF">
            <w:pPr>
              <w:rPr>
                <w:rFonts w:ascii="Cambria" w:eastAsiaTheme="minorHAnsi" w:hAnsi="Cambria" w:cs="Calibri"/>
                <w:b/>
                <w:bCs/>
                <w:lang w:eastAsia="en-US"/>
              </w:rPr>
            </w:pPr>
          </w:p>
        </w:tc>
        <w:tc>
          <w:tcPr>
            <w:tcW w:w="0" w:type="auto"/>
            <w:vMerge/>
            <w:tcBorders>
              <w:top w:val="dotted" w:sz="8" w:space="0" w:color="auto"/>
              <w:left w:val="nil"/>
              <w:bottom w:val="dotted" w:sz="8" w:space="0" w:color="auto"/>
              <w:right w:val="dotted" w:sz="8" w:space="0" w:color="auto"/>
            </w:tcBorders>
            <w:vAlign w:val="center"/>
            <w:hideMark/>
          </w:tcPr>
          <w:p w14:paraId="61CB96ED" w14:textId="77777777" w:rsidR="00C527BF" w:rsidRDefault="00C527BF">
            <w:pPr>
              <w:rPr>
                <w:rFonts w:ascii="Cambria" w:eastAsiaTheme="minorHAnsi" w:hAnsi="Cambria" w:cs="Calibri"/>
                <w:b/>
                <w:bCs/>
                <w:lang w:eastAsia="en-US"/>
              </w:rPr>
            </w:pP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5A69F2B7" w14:textId="77777777" w:rsidR="00C527BF" w:rsidRDefault="00C527BF">
            <w:pPr>
              <w:rPr>
                <w:rFonts w:ascii="Cambria" w:hAnsi="Cambria"/>
                <w:b/>
                <w:bCs/>
              </w:rPr>
            </w:pPr>
            <w:r>
              <w:rPr>
                <w:rFonts w:ascii="Cambria" w:hAnsi="Cambria"/>
                <w:b/>
                <w:bCs/>
              </w:rPr>
              <w:t>Mensuelle</w:t>
            </w:r>
          </w:p>
        </w:tc>
        <w:tc>
          <w:tcPr>
            <w:tcW w:w="737"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2D91308C" w14:textId="77777777" w:rsidR="00C527BF" w:rsidRDefault="00C527BF">
            <w:pPr>
              <w:rPr>
                <w:rFonts w:ascii="Cambria" w:hAnsi="Cambria"/>
                <w:b/>
                <w:bCs/>
              </w:rPr>
            </w:pPr>
            <w:r>
              <w:rPr>
                <w:rFonts w:ascii="Cambria" w:hAnsi="Cambria"/>
                <w:b/>
                <w:bCs/>
              </w:rPr>
              <w:t>Sur 12 mois</w:t>
            </w:r>
          </w:p>
        </w:tc>
      </w:tr>
      <w:tr w:rsidR="00C527BF" w14:paraId="7A1BA0B7" w14:textId="77777777" w:rsidTr="005E45AD">
        <w:trPr>
          <w:trHeight w:val="315"/>
          <w:jc w:val="center"/>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3F8144EE" w14:textId="77777777" w:rsidR="00C527BF" w:rsidRDefault="00C527BF">
            <w:pPr>
              <w:rPr>
                <w:rFonts w:ascii="Cambria" w:hAnsi="Cambria"/>
              </w:rPr>
            </w:pPr>
            <w:r>
              <w:rPr>
                <w:rFonts w:ascii="Cambria" w:hAnsi="Cambria"/>
              </w:rPr>
              <w:t>Gardiennage</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5D3E2DCF" w14:textId="77777777" w:rsidR="00C527BF" w:rsidRDefault="00C527BF">
            <w:pPr>
              <w:rPr>
                <w:rFonts w:ascii="Cambria" w:hAnsi="Cambria"/>
              </w:rPr>
            </w:pPr>
            <w:r>
              <w:rPr>
                <w:rFonts w:ascii="Cambria" w:hAnsi="Cambria"/>
              </w:rPr>
              <w:t>115,65</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357045C0" w14:textId="77777777" w:rsidR="00C527BF" w:rsidRDefault="00C527BF">
            <w:pPr>
              <w:rPr>
                <w:rFonts w:ascii="Cambria" w:hAnsi="Cambria"/>
              </w:rPr>
            </w:pPr>
            <w:r>
              <w:rPr>
                <w:rFonts w:ascii="Cambria" w:hAnsi="Cambria"/>
              </w:rPr>
              <w:t>-</w:t>
            </w:r>
          </w:p>
        </w:tc>
        <w:tc>
          <w:tcPr>
            <w:tcW w:w="737"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2F30B1A4" w14:textId="77777777" w:rsidR="00C527BF" w:rsidRDefault="00C527BF">
            <w:pPr>
              <w:rPr>
                <w:rFonts w:ascii="Cambria" w:hAnsi="Cambria"/>
              </w:rPr>
            </w:pPr>
            <w:r>
              <w:rPr>
                <w:rFonts w:ascii="Cambria" w:hAnsi="Cambria"/>
              </w:rPr>
              <w:t>-0,1</w:t>
            </w:r>
          </w:p>
        </w:tc>
      </w:tr>
      <w:tr w:rsidR="00C527BF" w14:paraId="27F0C95C" w14:textId="77777777" w:rsidTr="005E45AD">
        <w:trPr>
          <w:trHeight w:val="315"/>
          <w:jc w:val="center"/>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10F178E8" w14:textId="77777777" w:rsidR="00C527BF" w:rsidRDefault="00C527BF">
            <w:pPr>
              <w:rPr>
                <w:rFonts w:ascii="Cambria" w:hAnsi="Cambria"/>
              </w:rPr>
            </w:pPr>
            <w:r>
              <w:rPr>
                <w:rFonts w:ascii="Cambria" w:hAnsi="Cambria"/>
              </w:rPr>
              <w:t>Sûreté</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1AB80977" w14:textId="77777777" w:rsidR="00C527BF" w:rsidRDefault="00C527BF">
            <w:pPr>
              <w:rPr>
                <w:rFonts w:ascii="Cambria" w:hAnsi="Cambria"/>
              </w:rPr>
            </w:pPr>
            <w:r>
              <w:rPr>
                <w:rFonts w:ascii="Cambria" w:hAnsi="Cambria"/>
              </w:rPr>
              <w:t>110,83</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214FE204" w14:textId="77777777" w:rsidR="00C527BF" w:rsidRDefault="00C527BF">
            <w:pPr>
              <w:rPr>
                <w:rFonts w:ascii="Cambria" w:hAnsi="Cambria"/>
              </w:rPr>
            </w:pPr>
            <w:r>
              <w:rPr>
                <w:rFonts w:ascii="Cambria" w:hAnsi="Cambria"/>
              </w:rPr>
              <w:t>-</w:t>
            </w:r>
          </w:p>
        </w:tc>
        <w:tc>
          <w:tcPr>
            <w:tcW w:w="737"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109E6762" w14:textId="77777777" w:rsidR="00C527BF" w:rsidRDefault="00C527BF">
            <w:pPr>
              <w:rPr>
                <w:rFonts w:ascii="Cambria" w:hAnsi="Cambria"/>
              </w:rPr>
            </w:pPr>
            <w:r>
              <w:rPr>
                <w:rFonts w:ascii="Cambria" w:hAnsi="Cambria"/>
              </w:rPr>
              <w:t>-0,1</w:t>
            </w:r>
          </w:p>
        </w:tc>
      </w:tr>
      <w:tr w:rsidR="00C527BF" w14:paraId="0311D64A" w14:textId="77777777" w:rsidTr="005E45AD">
        <w:trPr>
          <w:trHeight w:val="315"/>
          <w:jc w:val="center"/>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5B698F15" w14:textId="77777777" w:rsidR="00C527BF" w:rsidRDefault="00C527BF">
            <w:pPr>
              <w:rPr>
                <w:rFonts w:ascii="Cambria" w:hAnsi="Cambria"/>
              </w:rPr>
            </w:pPr>
            <w:r>
              <w:rPr>
                <w:rFonts w:ascii="Cambria" w:hAnsi="Cambria"/>
              </w:rPr>
              <w:t>Véhicules Légers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7BA30F76" w14:textId="77777777" w:rsidR="00C527BF" w:rsidRDefault="00C527BF">
            <w:pPr>
              <w:rPr>
                <w:rFonts w:ascii="Cambria" w:hAnsi="Cambria"/>
              </w:rPr>
            </w:pPr>
            <w:r>
              <w:rPr>
                <w:rFonts w:ascii="Cambria" w:hAnsi="Cambria"/>
              </w:rPr>
              <w:t>112,91</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39952538" w14:textId="77777777" w:rsidR="00C527BF" w:rsidRDefault="00C527BF">
            <w:pPr>
              <w:rPr>
                <w:rFonts w:ascii="Cambria" w:hAnsi="Cambria"/>
              </w:rPr>
            </w:pPr>
            <w:r>
              <w:rPr>
                <w:rFonts w:ascii="Cambria" w:hAnsi="Cambria"/>
              </w:rPr>
              <w:t>0,1</w:t>
            </w:r>
          </w:p>
        </w:tc>
        <w:tc>
          <w:tcPr>
            <w:tcW w:w="737"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29C198DB" w14:textId="77777777" w:rsidR="00C527BF" w:rsidRDefault="00C527BF">
            <w:pPr>
              <w:rPr>
                <w:rFonts w:ascii="Cambria" w:hAnsi="Cambria"/>
              </w:rPr>
            </w:pPr>
            <w:r>
              <w:rPr>
                <w:rFonts w:ascii="Cambria" w:hAnsi="Cambria"/>
              </w:rPr>
              <w:t>1,5</w:t>
            </w:r>
          </w:p>
        </w:tc>
      </w:tr>
      <w:tr w:rsidR="00C527BF" w14:paraId="0DC7A23F" w14:textId="77777777" w:rsidTr="005E45AD">
        <w:trPr>
          <w:trHeight w:val="315"/>
          <w:jc w:val="center"/>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5E56885B" w14:textId="77777777" w:rsidR="00C527BF" w:rsidRDefault="00C527BF">
            <w:pPr>
              <w:rPr>
                <w:rFonts w:ascii="Cambria" w:hAnsi="Cambria"/>
              </w:rPr>
            </w:pPr>
            <w:r>
              <w:rPr>
                <w:rFonts w:ascii="Cambria" w:hAnsi="Cambria"/>
              </w:rPr>
              <w:t>Véhicules de Chantier</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38BA0319" w14:textId="77777777" w:rsidR="00C527BF" w:rsidRDefault="00C527BF">
            <w:pPr>
              <w:rPr>
                <w:rFonts w:ascii="Cambria" w:hAnsi="Cambria"/>
              </w:rPr>
            </w:pPr>
            <w:r>
              <w:rPr>
                <w:rFonts w:ascii="Cambria" w:hAnsi="Cambria"/>
              </w:rPr>
              <w:t>106,10</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5315A01C" w14:textId="77777777" w:rsidR="00C527BF" w:rsidRDefault="00C527BF">
            <w:pPr>
              <w:rPr>
                <w:rFonts w:ascii="Cambria" w:hAnsi="Cambria"/>
              </w:rPr>
            </w:pPr>
            <w:r>
              <w:rPr>
                <w:rFonts w:ascii="Cambria" w:hAnsi="Cambria"/>
              </w:rPr>
              <w:t>-</w:t>
            </w:r>
          </w:p>
        </w:tc>
        <w:tc>
          <w:tcPr>
            <w:tcW w:w="737"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7FAC3DB1" w14:textId="77777777" w:rsidR="00C527BF" w:rsidRDefault="00C527BF">
            <w:pPr>
              <w:rPr>
                <w:rFonts w:ascii="Cambria" w:hAnsi="Cambria"/>
              </w:rPr>
            </w:pPr>
            <w:r>
              <w:rPr>
                <w:rFonts w:ascii="Cambria" w:hAnsi="Cambria"/>
              </w:rPr>
              <w:t>0,7</w:t>
            </w:r>
          </w:p>
        </w:tc>
      </w:tr>
      <w:tr w:rsidR="00C527BF" w14:paraId="4D5797BA" w14:textId="77777777" w:rsidTr="005E45AD">
        <w:trPr>
          <w:trHeight w:val="315"/>
          <w:jc w:val="center"/>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3EA7F093" w14:textId="77777777" w:rsidR="00C527BF" w:rsidRDefault="00C527BF">
            <w:pPr>
              <w:rPr>
                <w:rFonts w:ascii="Cambria" w:hAnsi="Cambria"/>
              </w:rPr>
            </w:pPr>
            <w:r>
              <w:rPr>
                <w:rFonts w:ascii="Cambria" w:hAnsi="Cambria"/>
              </w:rPr>
              <w:t>Construction navale en aluminium</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4BC51F41" w14:textId="77777777" w:rsidR="00C527BF" w:rsidRDefault="00C527BF">
            <w:pPr>
              <w:rPr>
                <w:rFonts w:ascii="Cambria" w:hAnsi="Cambria"/>
              </w:rPr>
            </w:pPr>
            <w:r>
              <w:rPr>
                <w:rFonts w:ascii="Cambria" w:hAnsi="Cambria"/>
              </w:rPr>
              <w:t>122,03</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644CD102" w14:textId="77777777" w:rsidR="00C527BF" w:rsidRDefault="00C527BF">
            <w:pPr>
              <w:rPr>
                <w:rFonts w:ascii="Cambria" w:hAnsi="Cambria"/>
              </w:rPr>
            </w:pPr>
            <w:r>
              <w:rPr>
                <w:rFonts w:ascii="Cambria" w:hAnsi="Cambria"/>
              </w:rPr>
              <w:t>0,1</w:t>
            </w:r>
          </w:p>
        </w:tc>
        <w:tc>
          <w:tcPr>
            <w:tcW w:w="737"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71FB361B" w14:textId="77777777" w:rsidR="00C527BF" w:rsidRDefault="00C527BF">
            <w:pPr>
              <w:rPr>
                <w:rFonts w:ascii="Cambria" w:hAnsi="Cambria"/>
              </w:rPr>
            </w:pPr>
            <w:r>
              <w:rPr>
                <w:rFonts w:ascii="Cambria" w:hAnsi="Cambria"/>
              </w:rPr>
              <w:t>0,9</w:t>
            </w:r>
          </w:p>
        </w:tc>
      </w:tr>
      <w:tr w:rsidR="00C527BF" w14:paraId="2E919FFB" w14:textId="77777777" w:rsidTr="005E45AD">
        <w:trPr>
          <w:trHeight w:val="315"/>
          <w:jc w:val="center"/>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3464A665" w14:textId="77777777" w:rsidR="00C527BF" w:rsidRDefault="00C527BF">
            <w:pPr>
              <w:rPr>
                <w:rFonts w:ascii="Cambria" w:hAnsi="Cambria"/>
              </w:rPr>
            </w:pPr>
            <w:r>
              <w:rPr>
                <w:rFonts w:ascii="Cambria" w:hAnsi="Cambria"/>
              </w:rPr>
              <w:lastRenderedPageBreak/>
              <w:t>Fourniture de pièces détachées pour navires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145032C8" w14:textId="77777777" w:rsidR="00C527BF" w:rsidRDefault="00C527BF">
            <w:pPr>
              <w:rPr>
                <w:rFonts w:ascii="Cambria" w:hAnsi="Cambria"/>
              </w:rPr>
            </w:pPr>
            <w:r>
              <w:rPr>
                <w:rFonts w:ascii="Cambria" w:hAnsi="Cambria"/>
              </w:rPr>
              <w:t>111,23</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63B8DE13" w14:textId="77777777" w:rsidR="00C527BF" w:rsidRDefault="00C527BF">
            <w:pPr>
              <w:rPr>
                <w:rFonts w:ascii="Cambria" w:hAnsi="Cambria"/>
              </w:rPr>
            </w:pPr>
            <w:r>
              <w:rPr>
                <w:rFonts w:ascii="Cambria" w:hAnsi="Cambria"/>
              </w:rPr>
              <w:t>-</w:t>
            </w:r>
          </w:p>
        </w:tc>
        <w:tc>
          <w:tcPr>
            <w:tcW w:w="737"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462C5A51" w14:textId="77777777" w:rsidR="00C527BF" w:rsidRDefault="00C527BF">
            <w:pPr>
              <w:rPr>
                <w:rFonts w:ascii="Cambria" w:hAnsi="Cambria"/>
              </w:rPr>
            </w:pPr>
            <w:r>
              <w:rPr>
                <w:rFonts w:ascii="Cambria" w:hAnsi="Cambria"/>
              </w:rPr>
              <w:t>1,1</w:t>
            </w:r>
          </w:p>
        </w:tc>
      </w:tr>
      <w:tr w:rsidR="00C527BF" w14:paraId="29ABD60C" w14:textId="77777777" w:rsidTr="005E45AD">
        <w:trPr>
          <w:trHeight w:val="315"/>
          <w:jc w:val="center"/>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23B32FC2" w14:textId="77777777" w:rsidR="00C527BF" w:rsidRDefault="00C527BF">
            <w:pPr>
              <w:rPr>
                <w:rFonts w:ascii="Cambria" w:hAnsi="Cambria"/>
              </w:rPr>
            </w:pPr>
            <w:r>
              <w:rPr>
                <w:rFonts w:ascii="Cambria" w:hAnsi="Cambria"/>
              </w:rPr>
              <w:t>Index des Transports Publics Terrestres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2C3BFB92" w14:textId="77777777" w:rsidR="00C527BF" w:rsidRDefault="00C527BF">
            <w:pPr>
              <w:rPr>
                <w:rFonts w:ascii="Cambria" w:hAnsi="Cambria"/>
              </w:rPr>
            </w:pPr>
            <w:r>
              <w:rPr>
                <w:rFonts w:ascii="Cambria" w:hAnsi="Cambria"/>
              </w:rPr>
              <w:t>105,91</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142EDE91" w14:textId="77777777" w:rsidR="00C527BF" w:rsidRDefault="00C527BF">
            <w:pPr>
              <w:rPr>
                <w:rFonts w:ascii="Cambria" w:hAnsi="Cambria"/>
              </w:rPr>
            </w:pPr>
            <w:r>
              <w:rPr>
                <w:rFonts w:ascii="Cambria" w:hAnsi="Cambria"/>
              </w:rPr>
              <w:t>-</w:t>
            </w:r>
          </w:p>
        </w:tc>
        <w:tc>
          <w:tcPr>
            <w:tcW w:w="737"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651D21F0" w14:textId="77777777" w:rsidR="00C527BF" w:rsidRDefault="00C527BF">
            <w:pPr>
              <w:rPr>
                <w:rFonts w:ascii="Cambria" w:hAnsi="Cambria"/>
              </w:rPr>
            </w:pPr>
            <w:r>
              <w:rPr>
                <w:rFonts w:ascii="Cambria" w:hAnsi="Cambria"/>
              </w:rPr>
              <w:t>-2,3</w:t>
            </w:r>
          </w:p>
        </w:tc>
      </w:tr>
      <w:tr w:rsidR="00C527BF" w14:paraId="2F36CC7A" w14:textId="77777777" w:rsidTr="005E45AD">
        <w:trPr>
          <w:trHeight w:val="315"/>
          <w:jc w:val="center"/>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403F4661" w14:textId="77777777" w:rsidR="00C527BF" w:rsidRDefault="00C527BF">
            <w:pPr>
              <w:rPr>
                <w:rFonts w:ascii="Cambria" w:hAnsi="Cambria"/>
              </w:rPr>
            </w:pPr>
            <w:r>
              <w:rPr>
                <w:rFonts w:ascii="Cambria" w:hAnsi="Cambria"/>
              </w:rPr>
              <w:t>Index des Assurances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567BBDAB" w14:textId="77777777" w:rsidR="00C527BF" w:rsidRDefault="00C527BF">
            <w:pPr>
              <w:rPr>
                <w:rFonts w:ascii="Cambria" w:hAnsi="Cambria"/>
              </w:rPr>
            </w:pPr>
            <w:r>
              <w:rPr>
                <w:rFonts w:ascii="Cambria" w:hAnsi="Cambria"/>
              </w:rPr>
              <w:t>101,71</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64283F6E" w14:textId="77777777" w:rsidR="00C527BF" w:rsidRDefault="00C527BF">
            <w:pPr>
              <w:rPr>
                <w:rFonts w:ascii="Cambria" w:hAnsi="Cambria"/>
              </w:rPr>
            </w:pPr>
            <w:r>
              <w:rPr>
                <w:rFonts w:ascii="Cambria" w:hAnsi="Cambria"/>
              </w:rPr>
              <w:t>-</w:t>
            </w:r>
          </w:p>
        </w:tc>
        <w:tc>
          <w:tcPr>
            <w:tcW w:w="737"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771657E4" w14:textId="77777777" w:rsidR="00C527BF" w:rsidRDefault="00C527BF">
            <w:pPr>
              <w:rPr>
                <w:rFonts w:ascii="Cambria" w:hAnsi="Cambria"/>
              </w:rPr>
            </w:pPr>
            <w:r>
              <w:rPr>
                <w:rFonts w:ascii="Cambria" w:hAnsi="Cambria"/>
              </w:rPr>
              <w:t>-1,7</w:t>
            </w:r>
          </w:p>
        </w:tc>
      </w:tr>
      <w:tr w:rsidR="00C527BF" w14:paraId="46EA7BBC" w14:textId="77777777" w:rsidTr="005E45AD">
        <w:trPr>
          <w:trHeight w:val="315"/>
          <w:jc w:val="center"/>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644F2787" w14:textId="77777777" w:rsidR="00C527BF" w:rsidRDefault="00C527BF">
            <w:pPr>
              <w:rPr>
                <w:rFonts w:ascii="Cambria" w:hAnsi="Cambria"/>
              </w:rPr>
            </w:pPr>
            <w:r>
              <w:rPr>
                <w:rFonts w:ascii="Cambria" w:hAnsi="Cambria"/>
              </w:rPr>
              <w:t>Index du Transport Aérien International</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4BAC639F" w14:textId="77777777" w:rsidR="00C527BF" w:rsidRDefault="00C527BF">
            <w:pPr>
              <w:rPr>
                <w:rFonts w:ascii="Cambria" w:hAnsi="Cambria"/>
              </w:rPr>
            </w:pPr>
            <w:r>
              <w:rPr>
                <w:rFonts w:ascii="Cambria" w:hAnsi="Cambria"/>
              </w:rPr>
              <w:t>99,00</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2F76B516" w14:textId="77777777" w:rsidR="00C527BF" w:rsidRDefault="00C527BF">
            <w:pPr>
              <w:rPr>
                <w:rFonts w:ascii="Cambria" w:hAnsi="Cambria"/>
              </w:rPr>
            </w:pPr>
            <w:r>
              <w:rPr>
                <w:rFonts w:ascii="Cambria" w:hAnsi="Cambria"/>
              </w:rPr>
              <w:t>1,2</w:t>
            </w:r>
          </w:p>
        </w:tc>
        <w:tc>
          <w:tcPr>
            <w:tcW w:w="737"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780DDD2A" w14:textId="77777777" w:rsidR="00C527BF" w:rsidRDefault="00C527BF">
            <w:pPr>
              <w:rPr>
                <w:rFonts w:ascii="Cambria" w:hAnsi="Cambria"/>
              </w:rPr>
            </w:pPr>
            <w:r>
              <w:rPr>
                <w:rFonts w:ascii="Cambria" w:hAnsi="Cambria"/>
              </w:rPr>
              <w:t>5,7</w:t>
            </w:r>
          </w:p>
        </w:tc>
      </w:tr>
    </w:tbl>
    <w:p w14:paraId="6F195B82" w14:textId="77777777" w:rsidR="00DA56F1" w:rsidRDefault="00DA56F1" w:rsidP="00491287">
      <w:pPr>
        <w:spacing w:before="100" w:beforeAutospacing="1" w:after="100" w:afterAutospacing="1"/>
        <w:jc w:val="both"/>
        <w:rPr>
          <w:rFonts w:ascii="Cambria" w:hAnsi="Cambria"/>
          <w:b/>
          <w:bCs/>
        </w:rPr>
      </w:pPr>
    </w:p>
    <w:p w14:paraId="097FA2D4" w14:textId="71088669" w:rsidR="009638AE" w:rsidRPr="009638AE" w:rsidRDefault="009638AE" w:rsidP="00491287">
      <w:pPr>
        <w:spacing w:before="100" w:beforeAutospacing="1" w:after="100" w:afterAutospacing="1"/>
        <w:jc w:val="both"/>
        <w:rPr>
          <w:rFonts w:ascii="Cambria" w:hAnsi="Cambria"/>
        </w:rPr>
      </w:pPr>
      <w:r w:rsidRPr="009638AE">
        <w:rPr>
          <w:rFonts w:ascii="Cambria" w:hAnsi="Cambria"/>
          <w:b/>
          <w:bCs/>
        </w:rPr>
        <w:t xml:space="preserve">Air Tahiti obtient sa </w:t>
      </w:r>
      <w:r w:rsidR="00C527BF">
        <w:rPr>
          <w:rFonts w:ascii="Cambria" w:hAnsi="Cambria"/>
          <w:b/>
          <w:bCs/>
        </w:rPr>
        <w:t>l</w:t>
      </w:r>
      <w:r w:rsidRPr="009638AE">
        <w:rPr>
          <w:rFonts w:ascii="Cambria" w:hAnsi="Cambria"/>
          <w:b/>
          <w:bCs/>
        </w:rPr>
        <w:t>icence d’exploitation</w:t>
      </w:r>
    </w:p>
    <w:p w14:paraId="00964C0D" w14:textId="2AE5FB97" w:rsidR="009638AE" w:rsidRPr="009638AE" w:rsidRDefault="009638AE" w:rsidP="00491287">
      <w:pPr>
        <w:spacing w:before="100" w:beforeAutospacing="1" w:after="100" w:afterAutospacing="1"/>
        <w:jc w:val="both"/>
        <w:rPr>
          <w:rFonts w:ascii="Cambria" w:hAnsi="Cambria"/>
        </w:rPr>
      </w:pPr>
      <w:r w:rsidRPr="009638AE">
        <w:rPr>
          <w:rFonts w:ascii="Cambria" w:hAnsi="Cambria"/>
        </w:rPr>
        <w:t xml:space="preserve">Le Conseil des ministres a approuvé un arrêté octroyant une licence d’exploitation à la SA Air Tahiti dans le secteur du </w:t>
      </w:r>
      <w:r w:rsidR="009B7993" w:rsidRPr="009638AE">
        <w:rPr>
          <w:rFonts w:ascii="Cambria" w:hAnsi="Cambria"/>
        </w:rPr>
        <w:t>transport</w:t>
      </w:r>
      <w:r w:rsidRPr="009638AE">
        <w:rPr>
          <w:rFonts w:ascii="Cambria" w:hAnsi="Cambria"/>
        </w:rPr>
        <w:t xml:space="preserve"> aérien interinsulaire. Air Tahiti est le premier employeur privé de la Polynésie française dans le transport aérien. En 2019, Air Tahiti comprend 2 branches d’activité (aérienne et escale internationale) pour 175 fonctions et 1 295 salariés en </w:t>
      </w:r>
      <w:r w:rsidR="00E16250">
        <w:rPr>
          <w:rFonts w:ascii="Cambria" w:hAnsi="Cambria"/>
        </w:rPr>
        <w:t>contrat à durée indéterminée</w:t>
      </w:r>
      <w:r w:rsidRPr="009638AE">
        <w:rPr>
          <w:rFonts w:ascii="Cambria" w:hAnsi="Cambria"/>
        </w:rPr>
        <w:t xml:space="preserve"> (995,5 </w:t>
      </w:r>
      <w:r w:rsidR="00E16250">
        <w:rPr>
          <w:rFonts w:ascii="Cambria" w:hAnsi="Cambria"/>
        </w:rPr>
        <w:t xml:space="preserve">en </w:t>
      </w:r>
      <w:r w:rsidRPr="009638AE">
        <w:rPr>
          <w:rFonts w:ascii="Cambria" w:hAnsi="Cambria"/>
        </w:rPr>
        <w:t>équivalent plein temps) qualifiés et formés.</w:t>
      </w:r>
    </w:p>
    <w:p w14:paraId="20F04892" w14:textId="77777777" w:rsidR="009638AE" w:rsidRPr="009638AE" w:rsidRDefault="009638AE" w:rsidP="00491287">
      <w:pPr>
        <w:spacing w:before="100" w:beforeAutospacing="1" w:after="100" w:afterAutospacing="1"/>
        <w:jc w:val="both"/>
        <w:rPr>
          <w:rFonts w:ascii="Cambria" w:hAnsi="Cambria"/>
        </w:rPr>
      </w:pPr>
      <w:r w:rsidRPr="009638AE">
        <w:rPr>
          <w:rFonts w:ascii="Cambria" w:hAnsi="Cambria"/>
        </w:rPr>
        <w:t>Depuis l’adoption de la délibération du 30 juillet 2020, le programme d’exploitation de desserte aérienne régulière des aérodromes situés dans la zone dite de libre concurrence doit faire l’objet d’une approbation par l’octroi d’une licence d’exploitation.</w:t>
      </w:r>
    </w:p>
    <w:p w14:paraId="3D1CC535" w14:textId="2C58FBD8" w:rsidR="009638AE" w:rsidRPr="009638AE" w:rsidRDefault="009638AE" w:rsidP="00491287">
      <w:pPr>
        <w:spacing w:before="100" w:beforeAutospacing="1" w:after="100" w:afterAutospacing="1"/>
        <w:jc w:val="both"/>
        <w:rPr>
          <w:rFonts w:ascii="Cambria" w:hAnsi="Cambria"/>
        </w:rPr>
      </w:pPr>
      <w:r w:rsidRPr="009638AE">
        <w:rPr>
          <w:rFonts w:ascii="Cambria" w:hAnsi="Cambria"/>
        </w:rPr>
        <w:t>Air Tahiti proposera le programme minimum de vol de et vers Papeete comme suit :</w:t>
      </w:r>
    </w:p>
    <w:tbl>
      <w:tblPr>
        <w:tblW w:w="694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0"/>
        <w:gridCol w:w="4681"/>
      </w:tblGrid>
      <w:tr w:rsidR="009638AE" w:rsidRPr="009638AE" w14:paraId="4BF7F5EF" w14:textId="77777777" w:rsidTr="005E45AD">
        <w:trPr>
          <w:trHeight w:val="630"/>
          <w:jc w:val="center"/>
        </w:trPr>
        <w:tc>
          <w:tcPr>
            <w:tcW w:w="2260" w:type="dxa"/>
            <w:shd w:val="clear" w:color="auto" w:fill="auto"/>
            <w:vAlign w:val="center"/>
            <w:hideMark/>
          </w:tcPr>
          <w:p w14:paraId="322A8209" w14:textId="77777777" w:rsidR="009638AE" w:rsidRPr="009638AE" w:rsidRDefault="009638AE" w:rsidP="00491287">
            <w:pPr>
              <w:jc w:val="both"/>
              <w:rPr>
                <w:rFonts w:ascii="Cambria" w:hAnsi="Cambria"/>
                <w:b/>
                <w:bCs/>
                <w:color w:val="000000"/>
              </w:rPr>
            </w:pPr>
            <w:r w:rsidRPr="009638AE">
              <w:rPr>
                <w:rFonts w:ascii="Cambria" w:hAnsi="Cambria"/>
                <w:b/>
                <w:bCs/>
                <w:color w:val="000000"/>
              </w:rPr>
              <w:t>Aérodrome</w:t>
            </w:r>
          </w:p>
        </w:tc>
        <w:tc>
          <w:tcPr>
            <w:tcW w:w="4681" w:type="dxa"/>
            <w:shd w:val="clear" w:color="auto" w:fill="auto"/>
            <w:vAlign w:val="center"/>
            <w:hideMark/>
          </w:tcPr>
          <w:p w14:paraId="23CB5E93" w14:textId="77777777" w:rsidR="009638AE" w:rsidRPr="009638AE" w:rsidRDefault="009638AE" w:rsidP="00491287">
            <w:pPr>
              <w:jc w:val="both"/>
              <w:rPr>
                <w:rFonts w:ascii="Cambria" w:hAnsi="Cambria"/>
                <w:b/>
                <w:bCs/>
                <w:color w:val="000000"/>
              </w:rPr>
            </w:pPr>
            <w:r w:rsidRPr="009638AE">
              <w:rPr>
                <w:rFonts w:ascii="Cambria" w:hAnsi="Cambria"/>
                <w:b/>
                <w:bCs/>
                <w:color w:val="000000"/>
              </w:rPr>
              <w:t>Fréquence minimum hebdomadaire</w:t>
            </w:r>
          </w:p>
        </w:tc>
      </w:tr>
      <w:tr w:rsidR="009638AE" w:rsidRPr="009638AE" w14:paraId="34A375D0" w14:textId="77777777" w:rsidTr="005E45AD">
        <w:trPr>
          <w:trHeight w:val="315"/>
          <w:jc w:val="center"/>
        </w:trPr>
        <w:tc>
          <w:tcPr>
            <w:tcW w:w="6941" w:type="dxa"/>
            <w:gridSpan w:val="2"/>
            <w:shd w:val="clear" w:color="auto" w:fill="auto"/>
            <w:vAlign w:val="center"/>
            <w:hideMark/>
          </w:tcPr>
          <w:p w14:paraId="02A2A513" w14:textId="77777777" w:rsidR="009638AE" w:rsidRPr="009638AE" w:rsidRDefault="009638AE" w:rsidP="00C47A4B">
            <w:pPr>
              <w:jc w:val="center"/>
              <w:rPr>
                <w:rFonts w:ascii="Cambria" w:hAnsi="Cambria"/>
                <w:b/>
                <w:bCs/>
                <w:color w:val="000000"/>
              </w:rPr>
            </w:pPr>
            <w:r w:rsidRPr="009638AE">
              <w:rPr>
                <w:rFonts w:ascii="Cambria" w:hAnsi="Cambria"/>
                <w:b/>
                <w:bCs/>
                <w:color w:val="000000"/>
              </w:rPr>
              <w:t>Iles de la Société</w:t>
            </w:r>
          </w:p>
        </w:tc>
      </w:tr>
      <w:tr w:rsidR="009638AE" w:rsidRPr="009638AE" w14:paraId="309C4A63" w14:textId="77777777" w:rsidTr="005E45AD">
        <w:trPr>
          <w:trHeight w:val="315"/>
          <w:jc w:val="center"/>
        </w:trPr>
        <w:tc>
          <w:tcPr>
            <w:tcW w:w="2260" w:type="dxa"/>
            <w:shd w:val="clear" w:color="auto" w:fill="auto"/>
            <w:vAlign w:val="center"/>
            <w:hideMark/>
          </w:tcPr>
          <w:p w14:paraId="7DEB70F9" w14:textId="77777777" w:rsidR="009638AE" w:rsidRPr="009638AE" w:rsidRDefault="009638AE" w:rsidP="00491287">
            <w:pPr>
              <w:jc w:val="both"/>
              <w:rPr>
                <w:rFonts w:ascii="Cambria" w:hAnsi="Cambria"/>
                <w:b/>
                <w:bCs/>
                <w:color w:val="000000"/>
              </w:rPr>
            </w:pPr>
            <w:r w:rsidRPr="009638AE">
              <w:rPr>
                <w:rFonts w:ascii="Cambria" w:hAnsi="Cambria"/>
                <w:b/>
                <w:bCs/>
                <w:color w:val="000000"/>
              </w:rPr>
              <w:t>Moorea</w:t>
            </w:r>
          </w:p>
        </w:tc>
        <w:tc>
          <w:tcPr>
            <w:tcW w:w="4681" w:type="dxa"/>
            <w:shd w:val="clear" w:color="auto" w:fill="auto"/>
            <w:vAlign w:val="center"/>
            <w:hideMark/>
          </w:tcPr>
          <w:p w14:paraId="4C59EB14" w14:textId="77777777" w:rsidR="009638AE" w:rsidRPr="009638AE" w:rsidRDefault="009638AE" w:rsidP="00491287">
            <w:pPr>
              <w:jc w:val="both"/>
              <w:rPr>
                <w:rFonts w:ascii="Cambria" w:hAnsi="Cambria"/>
                <w:color w:val="000000"/>
              </w:rPr>
            </w:pPr>
            <w:r w:rsidRPr="009638AE">
              <w:rPr>
                <w:rFonts w:ascii="Cambria" w:hAnsi="Cambria"/>
                <w:color w:val="000000"/>
              </w:rPr>
              <w:t>-</w:t>
            </w:r>
          </w:p>
        </w:tc>
      </w:tr>
      <w:tr w:rsidR="009638AE" w:rsidRPr="009638AE" w14:paraId="7C0CDDAD" w14:textId="77777777" w:rsidTr="005E45AD">
        <w:trPr>
          <w:trHeight w:val="315"/>
          <w:jc w:val="center"/>
        </w:trPr>
        <w:tc>
          <w:tcPr>
            <w:tcW w:w="2260" w:type="dxa"/>
            <w:shd w:val="clear" w:color="auto" w:fill="auto"/>
            <w:vAlign w:val="center"/>
            <w:hideMark/>
          </w:tcPr>
          <w:p w14:paraId="76DE95EC" w14:textId="77777777" w:rsidR="009638AE" w:rsidRPr="009638AE" w:rsidRDefault="009638AE" w:rsidP="00491287">
            <w:pPr>
              <w:jc w:val="both"/>
              <w:rPr>
                <w:rFonts w:ascii="Cambria" w:hAnsi="Cambria"/>
                <w:b/>
                <w:bCs/>
                <w:color w:val="000000"/>
              </w:rPr>
            </w:pPr>
            <w:r w:rsidRPr="009638AE">
              <w:rPr>
                <w:rFonts w:ascii="Cambria" w:hAnsi="Cambria"/>
                <w:b/>
                <w:bCs/>
                <w:color w:val="000000"/>
              </w:rPr>
              <w:t>Bora Bora</w:t>
            </w:r>
          </w:p>
        </w:tc>
        <w:tc>
          <w:tcPr>
            <w:tcW w:w="4681" w:type="dxa"/>
            <w:shd w:val="clear" w:color="auto" w:fill="auto"/>
            <w:vAlign w:val="center"/>
            <w:hideMark/>
          </w:tcPr>
          <w:p w14:paraId="542A7665" w14:textId="77777777" w:rsidR="009638AE" w:rsidRPr="009638AE" w:rsidRDefault="009638AE" w:rsidP="00491287">
            <w:pPr>
              <w:jc w:val="both"/>
              <w:rPr>
                <w:rFonts w:ascii="Cambria" w:hAnsi="Cambria"/>
                <w:color w:val="000000"/>
              </w:rPr>
            </w:pPr>
            <w:r w:rsidRPr="009638AE">
              <w:rPr>
                <w:rFonts w:ascii="Cambria" w:hAnsi="Cambria"/>
                <w:color w:val="000000"/>
              </w:rPr>
              <w:t>10</w:t>
            </w:r>
          </w:p>
        </w:tc>
      </w:tr>
      <w:tr w:rsidR="009638AE" w:rsidRPr="009638AE" w14:paraId="55C4E8C6" w14:textId="77777777" w:rsidTr="005E45AD">
        <w:trPr>
          <w:trHeight w:val="315"/>
          <w:jc w:val="center"/>
        </w:trPr>
        <w:tc>
          <w:tcPr>
            <w:tcW w:w="2260" w:type="dxa"/>
            <w:shd w:val="clear" w:color="auto" w:fill="auto"/>
            <w:vAlign w:val="center"/>
            <w:hideMark/>
          </w:tcPr>
          <w:p w14:paraId="14A11FA6" w14:textId="77777777" w:rsidR="009638AE" w:rsidRPr="009638AE" w:rsidRDefault="009638AE" w:rsidP="00491287">
            <w:pPr>
              <w:jc w:val="both"/>
              <w:rPr>
                <w:rFonts w:ascii="Cambria" w:hAnsi="Cambria"/>
                <w:b/>
                <w:bCs/>
                <w:color w:val="000000"/>
              </w:rPr>
            </w:pPr>
            <w:r w:rsidRPr="009638AE">
              <w:rPr>
                <w:rFonts w:ascii="Cambria" w:hAnsi="Cambria"/>
                <w:b/>
                <w:bCs/>
                <w:color w:val="000000"/>
              </w:rPr>
              <w:t>Huahine</w:t>
            </w:r>
          </w:p>
        </w:tc>
        <w:tc>
          <w:tcPr>
            <w:tcW w:w="4681" w:type="dxa"/>
            <w:shd w:val="clear" w:color="auto" w:fill="auto"/>
            <w:vAlign w:val="center"/>
            <w:hideMark/>
          </w:tcPr>
          <w:p w14:paraId="0447E911" w14:textId="77777777" w:rsidR="009638AE" w:rsidRPr="009638AE" w:rsidRDefault="009638AE" w:rsidP="00491287">
            <w:pPr>
              <w:jc w:val="both"/>
              <w:rPr>
                <w:rFonts w:ascii="Cambria" w:hAnsi="Cambria"/>
                <w:color w:val="000000"/>
              </w:rPr>
            </w:pPr>
            <w:r w:rsidRPr="009638AE">
              <w:rPr>
                <w:rFonts w:ascii="Cambria" w:hAnsi="Cambria"/>
                <w:color w:val="000000"/>
              </w:rPr>
              <w:t>7</w:t>
            </w:r>
          </w:p>
        </w:tc>
      </w:tr>
      <w:tr w:rsidR="009638AE" w:rsidRPr="009638AE" w14:paraId="54B26603" w14:textId="77777777" w:rsidTr="005E45AD">
        <w:trPr>
          <w:trHeight w:val="315"/>
          <w:jc w:val="center"/>
        </w:trPr>
        <w:tc>
          <w:tcPr>
            <w:tcW w:w="2260" w:type="dxa"/>
            <w:shd w:val="clear" w:color="auto" w:fill="auto"/>
            <w:vAlign w:val="center"/>
            <w:hideMark/>
          </w:tcPr>
          <w:p w14:paraId="7E22C539" w14:textId="77777777" w:rsidR="009638AE" w:rsidRPr="009638AE" w:rsidRDefault="009638AE" w:rsidP="00491287">
            <w:pPr>
              <w:jc w:val="both"/>
              <w:rPr>
                <w:rFonts w:ascii="Cambria" w:hAnsi="Cambria"/>
                <w:b/>
                <w:bCs/>
                <w:color w:val="000000"/>
              </w:rPr>
            </w:pPr>
            <w:r w:rsidRPr="009638AE">
              <w:rPr>
                <w:rFonts w:ascii="Cambria" w:hAnsi="Cambria"/>
                <w:b/>
                <w:bCs/>
                <w:color w:val="000000"/>
              </w:rPr>
              <w:t>Maupiti</w:t>
            </w:r>
          </w:p>
        </w:tc>
        <w:tc>
          <w:tcPr>
            <w:tcW w:w="4681" w:type="dxa"/>
            <w:shd w:val="clear" w:color="auto" w:fill="auto"/>
            <w:vAlign w:val="center"/>
            <w:hideMark/>
          </w:tcPr>
          <w:p w14:paraId="16F51EFC" w14:textId="77777777" w:rsidR="009638AE" w:rsidRPr="009638AE" w:rsidRDefault="009638AE" w:rsidP="00491287">
            <w:pPr>
              <w:jc w:val="both"/>
              <w:rPr>
                <w:rFonts w:ascii="Cambria" w:hAnsi="Cambria"/>
                <w:color w:val="000000"/>
              </w:rPr>
            </w:pPr>
            <w:r w:rsidRPr="009638AE">
              <w:rPr>
                <w:rFonts w:ascii="Cambria" w:hAnsi="Cambria"/>
                <w:color w:val="000000"/>
              </w:rPr>
              <w:t>2</w:t>
            </w:r>
          </w:p>
        </w:tc>
      </w:tr>
      <w:tr w:rsidR="009638AE" w:rsidRPr="009638AE" w14:paraId="560D550C" w14:textId="77777777" w:rsidTr="005E45AD">
        <w:trPr>
          <w:trHeight w:val="315"/>
          <w:jc w:val="center"/>
        </w:trPr>
        <w:tc>
          <w:tcPr>
            <w:tcW w:w="2260" w:type="dxa"/>
            <w:shd w:val="clear" w:color="auto" w:fill="auto"/>
            <w:vAlign w:val="center"/>
            <w:hideMark/>
          </w:tcPr>
          <w:p w14:paraId="5B007155" w14:textId="77777777" w:rsidR="009638AE" w:rsidRPr="009638AE" w:rsidRDefault="009638AE" w:rsidP="00491287">
            <w:pPr>
              <w:jc w:val="both"/>
              <w:rPr>
                <w:rFonts w:ascii="Cambria" w:hAnsi="Cambria"/>
                <w:b/>
                <w:bCs/>
                <w:color w:val="000000"/>
              </w:rPr>
            </w:pPr>
            <w:r w:rsidRPr="009638AE">
              <w:rPr>
                <w:rFonts w:ascii="Cambria" w:hAnsi="Cambria"/>
                <w:b/>
                <w:bCs/>
                <w:color w:val="000000"/>
              </w:rPr>
              <w:t>Raiatea</w:t>
            </w:r>
          </w:p>
        </w:tc>
        <w:tc>
          <w:tcPr>
            <w:tcW w:w="4681" w:type="dxa"/>
            <w:shd w:val="clear" w:color="auto" w:fill="auto"/>
            <w:vAlign w:val="center"/>
            <w:hideMark/>
          </w:tcPr>
          <w:p w14:paraId="3B08A777" w14:textId="77777777" w:rsidR="009638AE" w:rsidRPr="009638AE" w:rsidRDefault="009638AE" w:rsidP="00491287">
            <w:pPr>
              <w:jc w:val="both"/>
              <w:rPr>
                <w:rFonts w:ascii="Cambria" w:hAnsi="Cambria"/>
                <w:color w:val="000000"/>
              </w:rPr>
            </w:pPr>
            <w:r w:rsidRPr="009638AE">
              <w:rPr>
                <w:rFonts w:ascii="Cambria" w:hAnsi="Cambria"/>
                <w:color w:val="000000"/>
              </w:rPr>
              <w:t>10</w:t>
            </w:r>
          </w:p>
        </w:tc>
      </w:tr>
      <w:tr w:rsidR="009638AE" w:rsidRPr="009638AE" w14:paraId="72CFD854" w14:textId="77777777" w:rsidTr="005E45AD">
        <w:trPr>
          <w:trHeight w:val="315"/>
          <w:jc w:val="center"/>
        </w:trPr>
        <w:tc>
          <w:tcPr>
            <w:tcW w:w="6941" w:type="dxa"/>
            <w:gridSpan w:val="2"/>
            <w:shd w:val="clear" w:color="auto" w:fill="auto"/>
            <w:vAlign w:val="center"/>
            <w:hideMark/>
          </w:tcPr>
          <w:p w14:paraId="58849EE0" w14:textId="77777777" w:rsidR="009638AE" w:rsidRPr="009638AE" w:rsidRDefault="009638AE" w:rsidP="00C47A4B">
            <w:pPr>
              <w:jc w:val="center"/>
              <w:rPr>
                <w:rFonts w:ascii="Cambria" w:hAnsi="Cambria"/>
                <w:b/>
                <w:bCs/>
                <w:color w:val="000000"/>
              </w:rPr>
            </w:pPr>
            <w:r w:rsidRPr="009638AE">
              <w:rPr>
                <w:rFonts w:ascii="Cambria" w:hAnsi="Cambria"/>
                <w:b/>
                <w:bCs/>
                <w:color w:val="000000"/>
              </w:rPr>
              <w:t>Tuamotu Nord</w:t>
            </w:r>
          </w:p>
        </w:tc>
      </w:tr>
      <w:tr w:rsidR="009638AE" w:rsidRPr="009638AE" w14:paraId="2D58ECCF" w14:textId="77777777" w:rsidTr="005E45AD">
        <w:trPr>
          <w:trHeight w:val="315"/>
          <w:jc w:val="center"/>
        </w:trPr>
        <w:tc>
          <w:tcPr>
            <w:tcW w:w="2260" w:type="dxa"/>
            <w:shd w:val="clear" w:color="auto" w:fill="auto"/>
            <w:vAlign w:val="center"/>
            <w:hideMark/>
          </w:tcPr>
          <w:p w14:paraId="2AAB105E" w14:textId="77777777" w:rsidR="009638AE" w:rsidRPr="009638AE" w:rsidRDefault="009638AE" w:rsidP="00491287">
            <w:pPr>
              <w:jc w:val="both"/>
              <w:rPr>
                <w:rFonts w:ascii="Cambria" w:hAnsi="Cambria"/>
                <w:b/>
                <w:bCs/>
                <w:color w:val="000000"/>
              </w:rPr>
            </w:pPr>
            <w:r w:rsidRPr="009638AE">
              <w:rPr>
                <w:rFonts w:ascii="Cambria" w:hAnsi="Cambria"/>
                <w:b/>
                <w:bCs/>
                <w:color w:val="000000"/>
              </w:rPr>
              <w:t>Fakarava</w:t>
            </w:r>
          </w:p>
        </w:tc>
        <w:tc>
          <w:tcPr>
            <w:tcW w:w="4681" w:type="dxa"/>
            <w:shd w:val="clear" w:color="auto" w:fill="auto"/>
            <w:vAlign w:val="center"/>
            <w:hideMark/>
          </w:tcPr>
          <w:p w14:paraId="7F9FB7BE" w14:textId="77777777" w:rsidR="009638AE" w:rsidRPr="009638AE" w:rsidRDefault="009638AE" w:rsidP="00491287">
            <w:pPr>
              <w:jc w:val="both"/>
              <w:rPr>
                <w:rFonts w:ascii="Cambria" w:hAnsi="Cambria"/>
                <w:color w:val="000000"/>
              </w:rPr>
            </w:pPr>
            <w:r w:rsidRPr="009638AE">
              <w:rPr>
                <w:rFonts w:ascii="Cambria" w:hAnsi="Cambria"/>
                <w:color w:val="000000"/>
              </w:rPr>
              <w:t>2</w:t>
            </w:r>
          </w:p>
        </w:tc>
      </w:tr>
      <w:tr w:rsidR="009638AE" w:rsidRPr="009638AE" w14:paraId="75024CA8" w14:textId="77777777" w:rsidTr="005E45AD">
        <w:trPr>
          <w:trHeight w:val="315"/>
          <w:jc w:val="center"/>
        </w:trPr>
        <w:tc>
          <w:tcPr>
            <w:tcW w:w="2260" w:type="dxa"/>
            <w:shd w:val="clear" w:color="auto" w:fill="auto"/>
            <w:vAlign w:val="center"/>
            <w:hideMark/>
          </w:tcPr>
          <w:p w14:paraId="4781938C" w14:textId="77777777" w:rsidR="009638AE" w:rsidRPr="009638AE" w:rsidRDefault="009638AE" w:rsidP="00491287">
            <w:pPr>
              <w:jc w:val="both"/>
              <w:rPr>
                <w:rFonts w:ascii="Cambria" w:hAnsi="Cambria"/>
                <w:b/>
                <w:bCs/>
                <w:color w:val="000000"/>
              </w:rPr>
            </w:pPr>
            <w:r w:rsidRPr="009638AE">
              <w:rPr>
                <w:rFonts w:ascii="Cambria" w:hAnsi="Cambria"/>
                <w:b/>
                <w:bCs/>
                <w:color w:val="000000"/>
              </w:rPr>
              <w:t>Rangiroa</w:t>
            </w:r>
          </w:p>
        </w:tc>
        <w:tc>
          <w:tcPr>
            <w:tcW w:w="4681" w:type="dxa"/>
            <w:shd w:val="clear" w:color="auto" w:fill="auto"/>
            <w:vAlign w:val="center"/>
            <w:hideMark/>
          </w:tcPr>
          <w:p w14:paraId="51062D3D" w14:textId="77777777" w:rsidR="009638AE" w:rsidRPr="009638AE" w:rsidRDefault="009638AE" w:rsidP="00491287">
            <w:pPr>
              <w:jc w:val="both"/>
              <w:rPr>
                <w:rFonts w:ascii="Cambria" w:hAnsi="Cambria"/>
                <w:color w:val="000000"/>
              </w:rPr>
            </w:pPr>
            <w:r w:rsidRPr="009638AE">
              <w:rPr>
                <w:rFonts w:ascii="Cambria" w:hAnsi="Cambria"/>
                <w:color w:val="000000"/>
              </w:rPr>
              <w:t>5</w:t>
            </w:r>
          </w:p>
        </w:tc>
      </w:tr>
      <w:tr w:rsidR="009638AE" w:rsidRPr="009638AE" w14:paraId="610DB2B1" w14:textId="77777777" w:rsidTr="005E45AD">
        <w:trPr>
          <w:trHeight w:val="315"/>
          <w:jc w:val="center"/>
        </w:trPr>
        <w:tc>
          <w:tcPr>
            <w:tcW w:w="2260" w:type="dxa"/>
            <w:shd w:val="clear" w:color="auto" w:fill="auto"/>
            <w:vAlign w:val="center"/>
            <w:hideMark/>
          </w:tcPr>
          <w:p w14:paraId="7443BE84" w14:textId="77777777" w:rsidR="009638AE" w:rsidRPr="009638AE" w:rsidRDefault="009638AE" w:rsidP="00491287">
            <w:pPr>
              <w:jc w:val="both"/>
              <w:rPr>
                <w:rFonts w:ascii="Cambria" w:hAnsi="Cambria"/>
                <w:b/>
                <w:bCs/>
                <w:color w:val="000000"/>
              </w:rPr>
            </w:pPr>
            <w:r w:rsidRPr="009638AE">
              <w:rPr>
                <w:rFonts w:ascii="Cambria" w:hAnsi="Cambria"/>
                <w:b/>
                <w:bCs/>
                <w:color w:val="000000"/>
              </w:rPr>
              <w:t>Tikehau</w:t>
            </w:r>
          </w:p>
        </w:tc>
        <w:tc>
          <w:tcPr>
            <w:tcW w:w="4681" w:type="dxa"/>
            <w:shd w:val="clear" w:color="auto" w:fill="auto"/>
            <w:vAlign w:val="center"/>
            <w:hideMark/>
          </w:tcPr>
          <w:p w14:paraId="65F0C6F6" w14:textId="77777777" w:rsidR="009638AE" w:rsidRPr="009638AE" w:rsidRDefault="009638AE" w:rsidP="00491287">
            <w:pPr>
              <w:jc w:val="both"/>
              <w:rPr>
                <w:rFonts w:ascii="Cambria" w:hAnsi="Cambria"/>
                <w:color w:val="000000"/>
              </w:rPr>
            </w:pPr>
            <w:r w:rsidRPr="009638AE">
              <w:rPr>
                <w:rFonts w:ascii="Cambria" w:hAnsi="Cambria"/>
                <w:color w:val="000000"/>
              </w:rPr>
              <w:t>2</w:t>
            </w:r>
          </w:p>
        </w:tc>
      </w:tr>
      <w:tr w:rsidR="009638AE" w:rsidRPr="009638AE" w14:paraId="7190D8CE" w14:textId="77777777" w:rsidTr="005E45AD">
        <w:trPr>
          <w:trHeight w:val="315"/>
          <w:jc w:val="center"/>
        </w:trPr>
        <w:tc>
          <w:tcPr>
            <w:tcW w:w="6941" w:type="dxa"/>
            <w:gridSpan w:val="2"/>
            <w:shd w:val="clear" w:color="auto" w:fill="auto"/>
            <w:vAlign w:val="center"/>
            <w:hideMark/>
          </w:tcPr>
          <w:p w14:paraId="658D1CA5" w14:textId="77777777" w:rsidR="009638AE" w:rsidRPr="009638AE" w:rsidRDefault="009638AE" w:rsidP="00C47A4B">
            <w:pPr>
              <w:jc w:val="center"/>
              <w:rPr>
                <w:rFonts w:ascii="Cambria" w:hAnsi="Cambria"/>
                <w:b/>
                <w:bCs/>
                <w:color w:val="000000"/>
              </w:rPr>
            </w:pPr>
            <w:r w:rsidRPr="009638AE">
              <w:rPr>
                <w:rFonts w:ascii="Cambria" w:hAnsi="Cambria"/>
                <w:b/>
                <w:bCs/>
                <w:color w:val="000000"/>
              </w:rPr>
              <w:t>Marquises</w:t>
            </w:r>
          </w:p>
        </w:tc>
      </w:tr>
      <w:tr w:rsidR="009638AE" w:rsidRPr="009638AE" w14:paraId="633DDE3B" w14:textId="77777777" w:rsidTr="005E45AD">
        <w:trPr>
          <w:trHeight w:val="315"/>
          <w:jc w:val="center"/>
        </w:trPr>
        <w:tc>
          <w:tcPr>
            <w:tcW w:w="2260" w:type="dxa"/>
            <w:shd w:val="clear" w:color="auto" w:fill="auto"/>
            <w:vAlign w:val="center"/>
            <w:hideMark/>
          </w:tcPr>
          <w:p w14:paraId="5CDA4222" w14:textId="77777777" w:rsidR="009638AE" w:rsidRPr="009638AE" w:rsidRDefault="009638AE" w:rsidP="00491287">
            <w:pPr>
              <w:jc w:val="both"/>
              <w:rPr>
                <w:rFonts w:ascii="Cambria" w:hAnsi="Cambria"/>
                <w:b/>
                <w:bCs/>
                <w:color w:val="000000"/>
              </w:rPr>
            </w:pPr>
            <w:r w:rsidRPr="009638AE">
              <w:rPr>
                <w:rFonts w:ascii="Cambria" w:hAnsi="Cambria"/>
                <w:b/>
                <w:bCs/>
                <w:color w:val="000000"/>
              </w:rPr>
              <w:t>Hiva Oa</w:t>
            </w:r>
          </w:p>
        </w:tc>
        <w:tc>
          <w:tcPr>
            <w:tcW w:w="4681" w:type="dxa"/>
            <w:shd w:val="clear" w:color="auto" w:fill="auto"/>
            <w:vAlign w:val="center"/>
            <w:hideMark/>
          </w:tcPr>
          <w:p w14:paraId="3C27F063" w14:textId="77777777" w:rsidR="009638AE" w:rsidRPr="009638AE" w:rsidRDefault="009638AE" w:rsidP="00491287">
            <w:pPr>
              <w:jc w:val="both"/>
              <w:rPr>
                <w:rFonts w:ascii="Cambria" w:hAnsi="Cambria"/>
                <w:color w:val="000000"/>
              </w:rPr>
            </w:pPr>
            <w:r w:rsidRPr="009638AE">
              <w:rPr>
                <w:rFonts w:ascii="Cambria" w:hAnsi="Cambria"/>
                <w:color w:val="000000"/>
              </w:rPr>
              <w:t>2</w:t>
            </w:r>
          </w:p>
        </w:tc>
      </w:tr>
      <w:tr w:rsidR="009638AE" w:rsidRPr="009638AE" w14:paraId="76C2F65D" w14:textId="77777777" w:rsidTr="005E45AD">
        <w:trPr>
          <w:trHeight w:val="315"/>
          <w:jc w:val="center"/>
        </w:trPr>
        <w:tc>
          <w:tcPr>
            <w:tcW w:w="2260" w:type="dxa"/>
            <w:shd w:val="clear" w:color="auto" w:fill="auto"/>
            <w:vAlign w:val="center"/>
            <w:hideMark/>
          </w:tcPr>
          <w:p w14:paraId="57835639" w14:textId="77777777" w:rsidR="009638AE" w:rsidRPr="009638AE" w:rsidRDefault="009638AE" w:rsidP="00491287">
            <w:pPr>
              <w:jc w:val="both"/>
              <w:rPr>
                <w:rFonts w:ascii="Cambria" w:hAnsi="Cambria"/>
                <w:b/>
                <w:bCs/>
                <w:color w:val="000000"/>
              </w:rPr>
            </w:pPr>
            <w:r w:rsidRPr="009638AE">
              <w:rPr>
                <w:rFonts w:ascii="Cambria" w:hAnsi="Cambria"/>
                <w:b/>
                <w:bCs/>
                <w:color w:val="000000"/>
              </w:rPr>
              <w:t>Nuku hiva</w:t>
            </w:r>
          </w:p>
        </w:tc>
        <w:tc>
          <w:tcPr>
            <w:tcW w:w="4681" w:type="dxa"/>
            <w:shd w:val="clear" w:color="auto" w:fill="auto"/>
            <w:vAlign w:val="center"/>
            <w:hideMark/>
          </w:tcPr>
          <w:p w14:paraId="648FABE9" w14:textId="77777777" w:rsidR="009638AE" w:rsidRPr="009638AE" w:rsidRDefault="009638AE" w:rsidP="00491287">
            <w:pPr>
              <w:jc w:val="both"/>
              <w:rPr>
                <w:rFonts w:ascii="Cambria" w:hAnsi="Cambria"/>
                <w:color w:val="000000"/>
              </w:rPr>
            </w:pPr>
            <w:r w:rsidRPr="009638AE">
              <w:rPr>
                <w:rFonts w:ascii="Cambria" w:hAnsi="Cambria"/>
                <w:color w:val="000000"/>
              </w:rPr>
              <w:t>2</w:t>
            </w:r>
          </w:p>
        </w:tc>
      </w:tr>
      <w:tr w:rsidR="009638AE" w:rsidRPr="009638AE" w14:paraId="299FF1D5" w14:textId="77777777" w:rsidTr="005E45AD">
        <w:trPr>
          <w:trHeight w:val="315"/>
          <w:jc w:val="center"/>
        </w:trPr>
        <w:tc>
          <w:tcPr>
            <w:tcW w:w="6941" w:type="dxa"/>
            <w:gridSpan w:val="2"/>
            <w:shd w:val="clear" w:color="auto" w:fill="auto"/>
            <w:vAlign w:val="center"/>
            <w:hideMark/>
          </w:tcPr>
          <w:p w14:paraId="30723D21" w14:textId="77777777" w:rsidR="009638AE" w:rsidRPr="009638AE" w:rsidRDefault="009638AE" w:rsidP="00C47A4B">
            <w:pPr>
              <w:jc w:val="center"/>
              <w:rPr>
                <w:rFonts w:ascii="Cambria" w:hAnsi="Cambria"/>
                <w:b/>
                <w:bCs/>
                <w:color w:val="000000"/>
              </w:rPr>
            </w:pPr>
            <w:r w:rsidRPr="009638AE">
              <w:rPr>
                <w:rFonts w:ascii="Cambria" w:hAnsi="Cambria"/>
                <w:b/>
                <w:bCs/>
                <w:color w:val="000000"/>
              </w:rPr>
              <w:t>Australes</w:t>
            </w:r>
          </w:p>
        </w:tc>
      </w:tr>
      <w:tr w:rsidR="009638AE" w:rsidRPr="009638AE" w14:paraId="54621BB4" w14:textId="77777777" w:rsidTr="005E45AD">
        <w:trPr>
          <w:trHeight w:val="315"/>
          <w:jc w:val="center"/>
        </w:trPr>
        <w:tc>
          <w:tcPr>
            <w:tcW w:w="2260" w:type="dxa"/>
            <w:shd w:val="clear" w:color="auto" w:fill="auto"/>
            <w:vAlign w:val="center"/>
            <w:hideMark/>
          </w:tcPr>
          <w:p w14:paraId="780D3FDB" w14:textId="77777777" w:rsidR="009638AE" w:rsidRPr="009638AE" w:rsidRDefault="009638AE" w:rsidP="00491287">
            <w:pPr>
              <w:jc w:val="both"/>
              <w:rPr>
                <w:rFonts w:ascii="Cambria" w:hAnsi="Cambria"/>
                <w:b/>
                <w:bCs/>
                <w:color w:val="000000"/>
              </w:rPr>
            </w:pPr>
            <w:r w:rsidRPr="009638AE">
              <w:rPr>
                <w:rFonts w:ascii="Cambria" w:hAnsi="Cambria"/>
                <w:b/>
                <w:bCs/>
                <w:color w:val="000000"/>
              </w:rPr>
              <w:t>Rurutu</w:t>
            </w:r>
          </w:p>
        </w:tc>
        <w:tc>
          <w:tcPr>
            <w:tcW w:w="4681" w:type="dxa"/>
            <w:shd w:val="clear" w:color="auto" w:fill="auto"/>
            <w:vAlign w:val="center"/>
            <w:hideMark/>
          </w:tcPr>
          <w:p w14:paraId="2F57BFB4" w14:textId="77777777" w:rsidR="009638AE" w:rsidRPr="009638AE" w:rsidRDefault="009638AE" w:rsidP="00491287">
            <w:pPr>
              <w:jc w:val="both"/>
              <w:rPr>
                <w:rFonts w:ascii="Cambria" w:hAnsi="Cambria"/>
                <w:color w:val="000000"/>
              </w:rPr>
            </w:pPr>
            <w:r w:rsidRPr="009638AE">
              <w:rPr>
                <w:rFonts w:ascii="Cambria" w:hAnsi="Cambria"/>
                <w:color w:val="000000"/>
              </w:rPr>
              <w:t>2</w:t>
            </w:r>
          </w:p>
        </w:tc>
      </w:tr>
      <w:tr w:rsidR="009638AE" w:rsidRPr="009638AE" w14:paraId="1D907AFA" w14:textId="77777777" w:rsidTr="005E45AD">
        <w:trPr>
          <w:trHeight w:val="315"/>
          <w:jc w:val="center"/>
        </w:trPr>
        <w:tc>
          <w:tcPr>
            <w:tcW w:w="2260" w:type="dxa"/>
            <w:shd w:val="clear" w:color="auto" w:fill="auto"/>
            <w:vAlign w:val="center"/>
            <w:hideMark/>
          </w:tcPr>
          <w:p w14:paraId="52CDB4E3" w14:textId="77777777" w:rsidR="009638AE" w:rsidRPr="009638AE" w:rsidRDefault="009638AE" w:rsidP="00491287">
            <w:pPr>
              <w:jc w:val="both"/>
              <w:rPr>
                <w:rFonts w:ascii="Cambria" w:hAnsi="Cambria"/>
                <w:b/>
                <w:bCs/>
                <w:color w:val="000000"/>
              </w:rPr>
            </w:pPr>
            <w:r w:rsidRPr="009638AE">
              <w:rPr>
                <w:rFonts w:ascii="Cambria" w:hAnsi="Cambria"/>
                <w:b/>
                <w:bCs/>
                <w:color w:val="000000"/>
              </w:rPr>
              <w:t>Tubuai</w:t>
            </w:r>
          </w:p>
        </w:tc>
        <w:tc>
          <w:tcPr>
            <w:tcW w:w="4681" w:type="dxa"/>
            <w:shd w:val="clear" w:color="auto" w:fill="auto"/>
            <w:vAlign w:val="center"/>
            <w:hideMark/>
          </w:tcPr>
          <w:p w14:paraId="38A142E7" w14:textId="77777777" w:rsidR="009638AE" w:rsidRPr="009638AE" w:rsidRDefault="009638AE" w:rsidP="00491287">
            <w:pPr>
              <w:jc w:val="both"/>
              <w:rPr>
                <w:rFonts w:ascii="Cambria" w:hAnsi="Cambria"/>
                <w:color w:val="000000"/>
              </w:rPr>
            </w:pPr>
            <w:r w:rsidRPr="009638AE">
              <w:rPr>
                <w:rFonts w:ascii="Cambria" w:hAnsi="Cambria"/>
                <w:color w:val="000000"/>
              </w:rPr>
              <w:t>2</w:t>
            </w:r>
          </w:p>
        </w:tc>
      </w:tr>
    </w:tbl>
    <w:p w14:paraId="602033C4" w14:textId="77777777" w:rsidR="00DA56F1" w:rsidRDefault="00DA56F1" w:rsidP="00DA56F1">
      <w:pPr>
        <w:pStyle w:val="NormalWeb"/>
        <w:jc w:val="both"/>
        <w:rPr>
          <w:rFonts w:ascii="Cambria" w:hAnsi="Cambria"/>
        </w:rPr>
      </w:pPr>
    </w:p>
    <w:p w14:paraId="313B0AF1" w14:textId="4AEBD4DB" w:rsidR="00DA56F1" w:rsidRPr="00DA56F1" w:rsidRDefault="00DA56F1" w:rsidP="00DA56F1">
      <w:pPr>
        <w:pStyle w:val="NormalWeb"/>
        <w:jc w:val="both"/>
        <w:rPr>
          <w:rFonts w:ascii="Cambria" w:hAnsi="Cambria"/>
        </w:rPr>
      </w:pPr>
      <w:r w:rsidRPr="00DA56F1">
        <w:rPr>
          <w:rFonts w:ascii="Cambria" w:hAnsi="Cambria"/>
        </w:rPr>
        <w:t>Air Tahiti opère actuellement avec une flotte de 9 ATR-</w:t>
      </w:r>
      <w:r w:rsidR="005E45AD" w:rsidRPr="00DA56F1">
        <w:rPr>
          <w:rFonts w:ascii="Cambria" w:hAnsi="Cambria"/>
        </w:rPr>
        <w:t>600 :</w:t>
      </w:r>
      <w:r w:rsidRPr="00DA56F1">
        <w:rPr>
          <w:rFonts w:ascii="Cambria" w:hAnsi="Cambria"/>
        </w:rPr>
        <w:t xml:space="preserve"> 7 ATR 72-600 et 2 ATR 42-600. Jusqu’au 30 juin 2021, Air Tahiti affrète les compagnies </w:t>
      </w:r>
      <w:proofErr w:type="spellStart"/>
      <w:r w:rsidRPr="00DA56F1">
        <w:rPr>
          <w:rFonts w:ascii="Cambria" w:hAnsi="Cambria"/>
        </w:rPr>
        <w:t>Zimex</w:t>
      </w:r>
      <w:proofErr w:type="spellEnd"/>
      <w:r w:rsidRPr="00DA56F1">
        <w:rPr>
          <w:rFonts w:ascii="Cambria" w:hAnsi="Cambria"/>
        </w:rPr>
        <w:t xml:space="preserve"> Aviation et Air Archipels pour la desserte des quatre aérodromes non accessibles à l’ATR. </w:t>
      </w:r>
      <w:proofErr w:type="spellStart"/>
      <w:r w:rsidRPr="00DA56F1">
        <w:rPr>
          <w:rFonts w:ascii="Cambria" w:hAnsi="Cambria"/>
        </w:rPr>
        <w:t>Zimex</w:t>
      </w:r>
      <w:proofErr w:type="spellEnd"/>
      <w:r w:rsidRPr="00DA56F1">
        <w:rPr>
          <w:rFonts w:ascii="Cambria" w:hAnsi="Cambria"/>
        </w:rPr>
        <w:t xml:space="preserve"> opère </w:t>
      </w:r>
      <w:r w:rsidRPr="00DA56F1">
        <w:rPr>
          <w:rFonts w:ascii="Cambria" w:hAnsi="Cambria"/>
        </w:rPr>
        <w:lastRenderedPageBreak/>
        <w:t xml:space="preserve">un </w:t>
      </w:r>
      <w:proofErr w:type="spellStart"/>
      <w:r w:rsidRPr="00DA56F1">
        <w:rPr>
          <w:rFonts w:ascii="Cambria" w:hAnsi="Cambria"/>
        </w:rPr>
        <w:t>Twin</w:t>
      </w:r>
      <w:proofErr w:type="spellEnd"/>
      <w:r w:rsidRPr="00DA56F1">
        <w:rPr>
          <w:rFonts w:ascii="Cambria" w:hAnsi="Cambria"/>
        </w:rPr>
        <w:t xml:space="preserve"> </w:t>
      </w:r>
      <w:proofErr w:type="spellStart"/>
      <w:r w:rsidRPr="00DA56F1">
        <w:rPr>
          <w:rFonts w:ascii="Cambria" w:hAnsi="Cambria"/>
        </w:rPr>
        <w:t>Otter</w:t>
      </w:r>
      <w:proofErr w:type="spellEnd"/>
      <w:r w:rsidRPr="00DA56F1">
        <w:rPr>
          <w:rFonts w:ascii="Cambria" w:hAnsi="Cambria"/>
        </w:rPr>
        <w:t xml:space="preserve"> 300 sur </w:t>
      </w:r>
      <w:proofErr w:type="spellStart"/>
      <w:r w:rsidRPr="00DA56F1">
        <w:rPr>
          <w:rFonts w:ascii="Cambria" w:hAnsi="Cambria"/>
        </w:rPr>
        <w:t>Ua</w:t>
      </w:r>
      <w:proofErr w:type="spellEnd"/>
      <w:r w:rsidRPr="00DA56F1">
        <w:rPr>
          <w:rFonts w:ascii="Cambria" w:hAnsi="Cambria"/>
        </w:rPr>
        <w:t xml:space="preserve"> Pou et </w:t>
      </w:r>
      <w:proofErr w:type="spellStart"/>
      <w:r w:rsidRPr="00DA56F1">
        <w:rPr>
          <w:rFonts w:ascii="Cambria" w:hAnsi="Cambria"/>
        </w:rPr>
        <w:t>Ua</w:t>
      </w:r>
      <w:proofErr w:type="spellEnd"/>
      <w:r w:rsidRPr="00DA56F1">
        <w:rPr>
          <w:rFonts w:ascii="Cambria" w:hAnsi="Cambria"/>
        </w:rPr>
        <w:t xml:space="preserve"> </w:t>
      </w:r>
      <w:proofErr w:type="spellStart"/>
      <w:r w:rsidRPr="00DA56F1">
        <w:rPr>
          <w:rFonts w:ascii="Cambria" w:hAnsi="Cambria"/>
        </w:rPr>
        <w:t>Huka</w:t>
      </w:r>
      <w:proofErr w:type="spellEnd"/>
      <w:r w:rsidRPr="00DA56F1">
        <w:rPr>
          <w:rFonts w:ascii="Cambria" w:hAnsi="Cambria"/>
        </w:rPr>
        <w:t xml:space="preserve">. Air Archipels utilise sa flotte de trois </w:t>
      </w:r>
      <w:proofErr w:type="spellStart"/>
      <w:r w:rsidRPr="00DA56F1">
        <w:rPr>
          <w:rFonts w:ascii="Cambria" w:hAnsi="Cambria"/>
        </w:rPr>
        <w:t>Beechcraft</w:t>
      </w:r>
      <w:proofErr w:type="spellEnd"/>
      <w:r w:rsidRPr="00DA56F1">
        <w:rPr>
          <w:rFonts w:ascii="Cambria" w:hAnsi="Cambria"/>
        </w:rPr>
        <w:t xml:space="preserve"> 200 pour la desserte d’Apataki et de Takume.</w:t>
      </w:r>
    </w:p>
    <w:p w14:paraId="411F974B" w14:textId="77777777" w:rsidR="00DA56F1" w:rsidRPr="00DA56F1" w:rsidRDefault="00DA56F1" w:rsidP="00DA56F1">
      <w:pPr>
        <w:pStyle w:val="NormalWeb"/>
        <w:jc w:val="both"/>
        <w:rPr>
          <w:rFonts w:ascii="Cambria" w:hAnsi="Cambria"/>
        </w:rPr>
      </w:pPr>
      <w:r w:rsidRPr="00DA56F1">
        <w:rPr>
          <w:rStyle w:val="lev"/>
          <w:rFonts w:ascii="Cambria" w:hAnsi="Cambria"/>
        </w:rPr>
        <w:t> </w:t>
      </w:r>
    </w:p>
    <w:p w14:paraId="73FBE69E" w14:textId="77777777" w:rsidR="00DA56F1" w:rsidRPr="00DA56F1" w:rsidRDefault="00DA56F1" w:rsidP="00DA56F1">
      <w:pPr>
        <w:pStyle w:val="NormalWeb"/>
        <w:jc w:val="both"/>
        <w:rPr>
          <w:rFonts w:ascii="Cambria" w:hAnsi="Cambria"/>
        </w:rPr>
      </w:pPr>
      <w:r w:rsidRPr="00DA56F1">
        <w:rPr>
          <w:rStyle w:val="lev"/>
          <w:rFonts w:ascii="Cambria" w:hAnsi="Cambria"/>
        </w:rPr>
        <w:t>Promotion et protection de l’emploi local : règles de fonctionnement et de désignation des membres de la commission consultative tripartite de l’emploi local (CTEL)</w:t>
      </w:r>
    </w:p>
    <w:p w14:paraId="21CB3B74" w14:textId="77777777" w:rsidR="00DA56F1" w:rsidRPr="00DA56F1" w:rsidRDefault="00DA56F1" w:rsidP="00DA56F1">
      <w:pPr>
        <w:pStyle w:val="NormalWeb"/>
        <w:jc w:val="both"/>
        <w:rPr>
          <w:rFonts w:ascii="Cambria" w:hAnsi="Cambria"/>
        </w:rPr>
      </w:pPr>
      <w:r w:rsidRPr="00DA56F1">
        <w:rPr>
          <w:rFonts w:ascii="Cambria" w:hAnsi="Cambria"/>
        </w:rPr>
        <w:t>Par communication en Conseil des ministres du 22 avril dernier, la ministre du Tourisme et du travail a présenté les conditions et le calendrier de mise en œuvre de la loi du Pays relative à la promotion et à la protection de l’emploi local.</w:t>
      </w:r>
    </w:p>
    <w:p w14:paraId="0CB494F4" w14:textId="77777777" w:rsidR="00DA56F1" w:rsidRPr="00DA56F1" w:rsidRDefault="00DA56F1" w:rsidP="00DA56F1">
      <w:pPr>
        <w:pStyle w:val="NormalWeb"/>
        <w:jc w:val="both"/>
        <w:rPr>
          <w:rFonts w:ascii="Cambria" w:hAnsi="Cambria"/>
        </w:rPr>
      </w:pPr>
      <w:r w:rsidRPr="00DA56F1">
        <w:rPr>
          <w:rFonts w:ascii="Cambria" w:hAnsi="Cambria"/>
        </w:rPr>
        <w:t>La première étape de ce processus consiste en la détermination des règles de fonctionnement et de désignation des membres de la commission consultative tripartite de l’emploi local (CTEL) désormais instituée dans le code du travail.</w:t>
      </w:r>
    </w:p>
    <w:p w14:paraId="06C316E2" w14:textId="77777777" w:rsidR="00DA56F1" w:rsidRPr="00DA56F1" w:rsidRDefault="00DA56F1" w:rsidP="00DA56F1">
      <w:pPr>
        <w:pStyle w:val="NormalWeb"/>
        <w:jc w:val="both"/>
        <w:rPr>
          <w:rFonts w:ascii="Cambria" w:hAnsi="Cambria"/>
        </w:rPr>
      </w:pPr>
      <w:r w:rsidRPr="00DA56F1">
        <w:rPr>
          <w:rFonts w:ascii="Cambria" w:hAnsi="Cambria"/>
        </w:rPr>
        <w:t>Elle est composée de représentants du gouvernement et de représentants, en nombre égal, des organisations syndicales représentatives des salariés, d’une part, et des organisations syndicales représentatives des employeurs, d’autre part.</w:t>
      </w:r>
    </w:p>
    <w:p w14:paraId="05517F19" w14:textId="77777777" w:rsidR="00DA56F1" w:rsidRPr="00DA56F1" w:rsidRDefault="00DA56F1" w:rsidP="00DA56F1">
      <w:pPr>
        <w:pStyle w:val="NormalWeb"/>
        <w:jc w:val="both"/>
        <w:rPr>
          <w:rFonts w:ascii="Cambria" w:hAnsi="Cambria"/>
        </w:rPr>
      </w:pPr>
      <w:r w:rsidRPr="00DA56F1">
        <w:rPr>
          <w:rFonts w:ascii="Cambria" w:hAnsi="Cambria"/>
        </w:rPr>
        <w:t>La CTEL est consultée sur tout projet d’arrêté mettant en œuvre les dispositions de protection de l’emploi local et est destinataire d’un rapport annuel relatif à la mise en application des dispositions de la loi. Elle peut par ailleurs formuler toute proposition sur les évolutions à apporter au dispositif de promotion et de protection de l’emploi local.</w:t>
      </w:r>
    </w:p>
    <w:p w14:paraId="22858EE4" w14:textId="77777777" w:rsidR="00DA56F1" w:rsidRPr="00DA56F1" w:rsidRDefault="00DA56F1" w:rsidP="00DA56F1">
      <w:pPr>
        <w:pStyle w:val="NormalWeb"/>
        <w:jc w:val="both"/>
        <w:rPr>
          <w:rFonts w:ascii="Cambria" w:hAnsi="Cambria"/>
        </w:rPr>
      </w:pPr>
      <w:r w:rsidRPr="00DA56F1">
        <w:rPr>
          <w:rFonts w:ascii="Cambria" w:hAnsi="Cambria"/>
        </w:rPr>
        <w:t>La commission consultative tripartite est destinataire des statistiques notamment sur les déclarations préalables à l’embauche et de celles concernant les demandes et offres d’emploi et de formation professionnelle. Pour les partenaires sociaux, il a été proposé que cette commission soit composée des organisations syndicales de salariés, et d’employeurs, les plus représentatifs.</w:t>
      </w:r>
    </w:p>
    <w:p w14:paraId="78C78C21" w14:textId="33136AEE" w:rsidR="00DA56F1" w:rsidRPr="00DA56F1" w:rsidRDefault="00DA56F1" w:rsidP="00DA56F1">
      <w:pPr>
        <w:pStyle w:val="NormalWeb"/>
        <w:jc w:val="both"/>
        <w:rPr>
          <w:rFonts w:ascii="Cambria" w:hAnsi="Cambria"/>
        </w:rPr>
      </w:pPr>
      <w:r w:rsidRPr="00DA56F1">
        <w:rPr>
          <w:rFonts w:ascii="Cambria" w:hAnsi="Cambria"/>
        </w:rPr>
        <w:t>La CTEL sera ainsi composée de 15 membres :</w:t>
      </w:r>
    </w:p>
    <w:p w14:paraId="1A57BCE3" w14:textId="77777777" w:rsidR="00DA56F1" w:rsidRPr="00DA56F1" w:rsidRDefault="00DA56F1" w:rsidP="00DA56F1">
      <w:pPr>
        <w:numPr>
          <w:ilvl w:val="0"/>
          <w:numId w:val="28"/>
        </w:numPr>
        <w:spacing w:before="100" w:beforeAutospacing="1" w:after="100" w:afterAutospacing="1"/>
        <w:jc w:val="both"/>
        <w:rPr>
          <w:rFonts w:ascii="Cambria" w:hAnsi="Cambria"/>
        </w:rPr>
      </w:pPr>
      <w:r w:rsidRPr="00DA56F1">
        <w:rPr>
          <w:rFonts w:ascii="Cambria" w:hAnsi="Cambria"/>
        </w:rPr>
        <w:t>Cinq représentants des salariés listés par l’arrêté du Conseil des ministres du 11 mars dernier, sur proposition des organisations syndicales concernées ;</w:t>
      </w:r>
    </w:p>
    <w:p w14:paraId="32F5FD59" w14:textId="77777777" w:rsidR="00DA56F1" w:rsidRPr="00DA56F1" w:rsidRDefault="00DA56F1" w:rsidP="00DA56F1">
      <w:pPr>
        <w:numPr>
          <w:ilvl w:val="0"/>
          <w:numId w:val="28"/>
        </w:numPr>
        <w:spacing w:before="100" w:beforeAutospacing="1" w:after="100" w:afterAutospacing="1"/>
        <w:jc w:val="both"/>
        <w:rPr>
          <w:rFonts w:ascii="Cambria" w:hAnsi="Cambria"/>
        </w:rPr>
      </w:pPr>
      <w:r w:rsidRPr="00DA56F1">
        <w:rPr>
          <w:rFonts w:ascii="Cambria" w:hAnsi="Cambria"/>
        </w:rPr>
        <w:t>Cinq représentants des employeurs par ordre de classement défini par l’arrêté du Conseil des ministres du 20 juillet 2012, sur proposition des organisations professionnelles concernées ;</w:t>
      </w:r>
    </w:p>
    <w:p w14:paraId="2205119B" w14:textId="77777777" w:rsidR="00DA56F1" w:rsidRPr="00DA56F1" w:rsidRDefault="00DA56F1" w:rsidP="00DA56F1">
      <w:pPr>
        <w:numPr>
          <w:ilvl w:val="0"/>
          <w:numId w:val="28"/>
        </w:numPr>
        <w:spacing w:before="100" w:beforeAutospacing="1" w:after="100" w:afterAutospacing="1"/>
        <w:jc w:val="both"/>
        <w:rPr>
          <w:rFonts w:ascii="Cambria" w:hAnsi="Cambria"/>
        </w:rPr>
      </w:pPr>
      <w:r w:rsidRPr="00DA56F1">
        <w:rPr>
          <w:rFonts w:ascii="Cambria" w:hAnsi="Cambria"/>
        </w:rPr>
        <w:t>Cinq membres du gouvernement : le ministre en charge du travail qui assure la présidence, le ministre en charge de la protection sociale généralisée, le ministre en charge de la jeunesse, le ministre en charge de la modernisation de l’administration, et le ministre en charge de la condition féminine.</w:t>
      </w:r>
    </w:p>
    <w:p w14:paraId="37812BB8" w14:textId="77777777" w:rsidR="00DA56F1" w:rsidRPr="00DA56F1" w:rsidRDefault="00DA56F1" w:rsidP="00DA56F1">
      <w:pPr>
        <w:pStyle w:val="NormalWeb"/>
        <w:jc w:val="both"/>
        <w:rPr>
          <w:rFonts w:ascii="Cambria" w:hAnsi="Cambria"/>
        </w:rPr>
      </w:pPr>
      <w:r w:rsidRPr="00DA56F1">
        <w:rPr>
          <w:rFonts w:ascii="Cambria" w:hAnsi="Cambria"/>
        </w:rPr>
        <w:t>Les représentants des employeurs et des salariés sont désignés pour une durée de trois ans, renouvelable. Chaque titulaire a un suppléant. Tout représentant nommé postérieurement à l’ouverture de la mandature exerce son mandat jusqu’à l’expiration de la mandature en cours. La CTEL se réunit au moins une fois par an, sur convocation du ministre en charge du travail. Les séances de la commission ne sont pas publiques et les membres sont tenus à la confidentialité des débats. Toutefois, dans le cadre des travaux de la commission, le président peut inviter toute personne susceptible d’éclairer les débats. Le secrétariat est assuré par le SEFI.</w:t>
      </w:r>
    </w:p>
    <w:p w14:paraId="71770576" w14:textId="77777777" w:rsidR="00DA56F1" w:rsidRPr="00DA56F1" w:rsidRDefault="00DA56F1" w:rsidP="00DA56F1">
      <w:pPr>
        <w:pStyle w:val="NormalWeb"/>
        <w:jc w:val="both"/>
        <w:rPr>
          <w:rFonts w:ascii="Cambria" w:hAnsi="Cambria"/>
        </w:rPr>
      </w:pPr>
      <w:r w:rsidRPr="00DA56F1">
        <w:rPr>
          <w:rFonts w:ascii="Cambria" w:hAnsi="Cambria"/>
        </w:rPr>
        <w:lastRenderedPageBreak/>
        <w:t>Des réunions d’information seront organisées le mois prochain pour rappeler le mécanisme du dispositif de protection de l’emploi local et expliciter le fonctionnement de la CTEL, à l’issue desquelles les partenaires sociaux seront ensuite invités à désigner leurs représentants (1 titulaire, 1 suppléant).</w:t>
      </w:r>
    </w:p>
    <w:p w14:paraId="7E1974FA" w14:textId="77777777" w:rsidR="00DA56F1" w:rsidRPr="00DA56F1" w:rsidRDefault="00DA56F1" w:rsidP="00DA56F1">
      <w:pPr>
        <w:pStyle w:val="NormalWeb"/>
        <w:jc w:val="both"/>
        <w:rPr>
          <w:rFonts w:ascii="Cambria" w:hAnsi="Cambria"/>
        </w:rPr>
      </w:pPr>
      <w:r w:rsidRPr="00DA56F1">
        <w:rPr>
          <w:rStyle w:val="lev"/>
          <w:rFonts w:ascii="Cambria" w:hAnsi="Cambria"/>
        </w:rPr>
        <w:t> </w:t>
      </w:r>
    </w:p>
    <w:p w14:paraId="31A9976D" w14:textId="2DDAC231" w:rsidR="00DA56F1" w:rsidRDefault="00DA56F1" w:rsidP="00DA56F1">
      <w:pPr>
        <w:pStyle w:val="NormalWeb"/>
        <w:jc w:val="both"/>
        <w:rPr>
          <w:rStyle w:val="lev"/>
          <w:rFonts w:ascii="Cambria" w:hAnsi="Cambria"/>
        </w:rPr>
      </w:pPr>
      <w:r w:rsidRPr="00DA56F1">
        <w:rPr>
          <w:rStyle w:val="lev"/>
          <w:rFonts w:ascii="Cambria" w:hAnsi="Cambria"/>
        </w:rPr>
        <w:t>Modification du régime des bourses d’étude</w:t>
      </w:r>
    </w:p>
    <w:p w14:paraId="52230D22" w14:textId="0A57B371" w:rsidR="00DA56F1" w:rsidRPr="00DA56F1" w:rsidRDefault="00DA56F1" w:rsidP="00DA56F1">
      <w:pPr>
        <w:pStyle w:val="NormalWeb"/>
        <w:jc w:val="both"/>
        <w:rPr>
          <w:rFonts w:ascii="Cambria" w:hAnsi="Cambria"/>
        </w:rPr>
      </w:pPr>
      <w:r w:rsidRPr="00DA56F1">
        <w:rPr>
          <w:rFonts w:ascii="Cambria" w:hAnsi="Cambria"/>
        </w:rPr>
        <w:t>L’arrêté du Conseil des ministres du 13 avril 2006 modifié et l’arrêté du Conseil des ministres du 11 mai 2006 modifié mettent en place un dispositif englobant plusieurs types d’allocations d’études pour subvenir et contribuer à l’entretien matériel des élèves ou étudiants poursuivant des études d’enseignement secondaire, supérieur ou professionnel en métropole ou à l’étranger ou en Outre-mer</w:t>
      </w:r>
      <w:r w:rsidR="009B0EA9">
        <w:rPr>
          <w:rFonts w:ascii="Cambria" w:hAnsi="Cambria"/>
        </w:rPr>
        <w:t xml:space="preserve"> </w:t>
      </w:r>
      <w:r w:rsidRPr="00DA56F1">
        <w:rPr>
          <w:rFonts w:ascii="Cambria" w:hAnsi="Cambria"/>
        </w:rPr>
        <w:t>:</w:t>
      </w:r>
    </w:p>
    <w:p w14:paraId="25BBB7B5" w14:textId="77777777" w:rsidR="00DA56F1" w:rsidRPr="00DA56F1" w:rsidRDefault="00DA56F1" w:rsidP="00DA56F1">
      <w:pPr>
        <w:numPr>
          <w:ilvl w:val="0"/>
          <w:numId w:val="29"/>
        </w:numPr>
        <w:spacing w:before="100" w:beforeAutospacing="1" w:after="100" w:afterAutospacing="1"/>
        <w:jc w:val="both"/>
        <w:rPr>
          <w:rFonts w:ascii="Cambria" w:hAnsi="Cambria"/>
        </w:rPr>
      </w:pPr>
      <w:proofErr w:type="gramStart"/>
      <w:r w:rsidRPr="00DA56F1">
        <w:rPr>
          <w:rFonts w:ascii="Cambria" w:hAnsi="Cambria"/>
        </w:rPr>
        <w:t>en</w:t>
      </w:r>
      <w:proofErr w:type="gramEnd"/>
      <w:r w:rsidRPr="00DA56F1">
        <w:rPr>
          <w:rFonts w:ascii="Cambria" w:hAnsi="Cambria"/>
        </w:rPr>
        <w:t xml:space="preserve"> versant une mensualité supplémentaire pour les étudiants bénéficiant d’une bourse non majorée ou d’un prêt d’étude bonifié pour des études en Polynésie française. Les allocations ne sont plus attribuées par période d’une année universitaire de 9 mois mais par période de 10 mois. Ce 10</w:t>
      </w:r>
      <w:r w:rsidRPr="00DA56F1">
        <w:rPr>
          <w:rFonts w:ascii="Cambria" w:hAnsi="Cambria"/>
          <w:vertAlign w:val="superscript"/>
        </w:rPr>
        <w:t>ème</w:t>
      </w:r>
      <w:r w:rsidRPr="00DA56F1">
        <w:rPr>
          <w:rFonts w:ascii="Cambria" w:hAnsi="Cambria"/>
        </w:rPr>
        <w:t xml:space="preserve"> mois sera applicable pour les élèves bénéficiant d’une bourse non majorée dès la publication de l’arrêté au journal officiel de la Polynésie française. Pour les élèves bénéficiant d’un prêt d’étude bonifié, ce 10</w:t>
      </w:r>
      <w:r w:rsidRPr="00DA56F1">
        <w:rPr>
          <w:rFonts w:ascii="Cambria" w:hAnsi="Cambria"/>
          <w:vertAlign w:val="superscript"/>
        </w:rPr>
        <w:t>ème</w:t>
      </w:r>
      <w:r w:rsidRPr="00DA56F1">
        <w:rPr>
          <w:rFonts w:ascii="Cambria" w:hAnsi="Cambria"/>
        </w:rPr>
        <w:t xml:space="preserve"> mois sera applicable à compter de l’année universitaire 2021/2022 en raison de la signature des contrats liés à leur prêt ;</w:t>
      </w:r>
    </w:p>
    <w:p w14:paraId="2D8352E0" w14:textId="77777777" w:rsidR="00DA56F1" w:rsidRPr="00DA56F1" w:rsidRDefault="00DA56F1" w:rsidP="00DA56F1">
      <w:pPr>
        <w:numPr>
          <w:ilvl w:val="0"/>
          <w:numId w:val="29"/>
        </w:numPr>
        <w:spacing w:before="100" w:beforeAutospacing="1" w:after="100" w:afterAutospacing="1"/>
        <w:jc w:val="both"/>
        <w:rPr>
          <w:rFonts w:ascii="Cambria" w:hAnsi="Cambria"/>
        </w:rPr>
      </w:pPr>
      <w:proofErr w:type="gramStart"/>
      <w:r w:rsidRPr="00DA56F1">
        <w:rPr>
          <w:rFonts w:ascii="Cambria" w:hAnsi="Cambria"/>
        </w:rPr>
        <w:t>en</w:t>
      </w:r>
      <w:proofErr w:type="gramEnd"/>
      <w:r w:rsidRPr="00DA56F1">
        <w:rPr>
          <w:rFonts w:ascii="Cambria" w:hAnsi="Cambria"/>
        </w:rPr>
        <w:t xml:space="preserve"> étendant le bénéfice de la bourse majorée aux étudiants poursuivant des études supérieures en Polynésie française, avec le retrait  des dispositions réservant les bourses majorées aux étudiants  poursuivant des études supérieures en Métropole ou en Outre-mer français</w:t>
      </w:r>
    </w:p>
    <w:p w14:paraId="220F3717" w14:textId="77777777" w:rsidR="00DA56F1" w:rsidRPr="00DA56F1" w:rsidRDefault="00DA56F1" w:rsidP="00DA56F1">
      <w:pPr>
        <w:numPr>
          <w:ilvl w:val="0"/>
          <w:numId w:val="29"/>
        </w:numPr>
        <w:spacing w:before="100" w:beforeAutospacing="1" w:after="100" w:afterAutospacing="1"/>
        <w:jc w:val="both"/>
        <w:rPr>
          <w:rFonts w:ascii="Cambria" w:hAnsi="Cambria"/>
        </w:rPr>
      </w:pPr>
      <w:proofErr w:type="gramStart"/>
      <w:r w:rsidRPr="00DA56F1">
        <w:rPr>
          <w:rFonts w:ascii="Cambria" w:hAnsi="Cambria"/>
        </w:rPr>
        <w:t>en</w:t>
      </w:r>
      <w:proofErr w:type="gramEnd"/>
      <w:r w:rsidRPr="00DA56F1">
        <w:rPr>
          <w:rFonts w:ascii="Cambria" w:hAnsi="Cambria"/>
        </w:rPr>
        <w:t xml:space="preserve"> rendant éligibles à la prime de premier équipement de 30 000 </w:t>
      </w:r>
      <w:proofErr w:type="spellStart"/>
      <w:r w:rsidRPr="00DA56F1">
        <w:rPr>
          <w:rFonts w:ascii="Cambria" w:hAnsi="Cambria"/>
        </w:rPr>
        <w:t>Fcfp</w:t>
      </w:r>
      <w:proofErr w:type="spellEnd"/>
      <w:r w:rsidRPr="00DA56F1">
        <w:rPr>
          <w:rFonts w:ascii="Cambria" w:hAnsi="Cambria"/>
        </w:rPr>
        <w:t xml:space="preserve"> les étudiants des îles Sous-le-Vent, des îles Tuamotu, des îles Gambier, des îles Marquises et des îles Australes, nouvellement bénéficiaires d’une bourse non majorée ou d’une aide scolaire forfaitaire et poursuivant pour la première fois des études en Polynésie française, hors de son île de résidence principale, d’une prime de premier équipement.</w:t>
      </w:r>
    </w:p>
    <w:p w14:paraId="3CC12D6B" w14:textId="77777777" w:rsidR="00DA56F1" w:rsidRPr="00DA56F1" w:rsidRDefault="00DA56F1" w:rsidP="00DA56F1">
      <w:pPr>
        <w:numPr>
          <w:ilvl w:val="0"/>
          <w:numId w:val="29"/>
        </w:numPr>
        <w:spacing w:before="100" w:beforeAutospacing="1" w:after="100" w:afterAutospacing="1"/>
        <w:jc w:val="both"/>
        <w:rPr>
          <w:rFonts w:ascii="Cambria" w:hAnsi="Cambria"/>
        </w:rPr>
      </w:pPr>
      <w:proofErr w:type="gramStart"/>
      <w:r w:rsidRPr="00DA56F1">
        <w:rPr>
          <w:rFonts w:ascii="Cambria" w:hAnsi="Cambria"/>
        </w:rPr>
        <w:t>en</w:t>
      </w:r>
      <w:proofErr w:type="gramEnd"/>
      <w:r w:rsidRPr="00DA56F1">
        <w:rPr>
          <w:rFonts w:ascii="Cambria" w:hAnsi="Cambria"/>
        </w:rPr>
        <w:t xml:space="preserve"> remboursant pour les allocataires les frais de contribution de vie étudiante et de campus (CVEC).</w:t>
      </w:r>
    </w:p>
    <w:p w14:paraId="59F84753" w14:textId="77777777" w:rsidR="00DA56F1" w:rsidRPr="00DA56F1" w:rsidRDefault="00DA56F1" w:rsidP="00DA56F1">
      <w:pPr>
        <w:numPr>
          <w:ilvl w:val="0"/>
          <w:numId w:val="29"/>
        </w:numPr>
        <w:spacing w:before="100" w:beforeAutospacing="1" w:after="100" w:afterAutospacing="1"/>
        <w:jc w:val="both"/>
        <w:rPr>
          <w:rFonts w:ascii="Cambria" w:hAnsi="Cambria"/>
        </w:rPr>
      </w:pPr>
      <w:proofErr w:type="gramStart"/>
      <w:r w:rsidRPr="00DA56F1">
        <w:rPr>
          <w:rFonts w:ascii="Cambria" w:hAnsi="Cambria"/>
        </w:rPr>
        <w:t>en</w:t>
      </w:r>
      <w:proofErr w:type="gramEnd"/>
      <w:r w:rsidRPr="00DA56F1">
        <w:rPr>
          <w:rFonts w:ascii="Cambria" w:hAnsi="Cambria"/>
        </w:rPr>
        <w:t xml:space="preserve"> simplifiant les démarches administratives pour accéder à ces allocations d’études ;</w:t>
      </w:r>
    </w:p>
    <w:p w14:paraId="24D512BF" w14:textId="77777777" w:rsidR="00DA56F1" w:rsidRPr="00DA56F1" w:rsidRDefault="00DA56F1" w:rsidP="00DA56F1">
      <w:pPr>
        <w:numPr>
          <w:ilvl w:val="0"/>
          <w:numId w:val="29"/>
        </w:numPr>
        <w:spacing w:before="100" w:beforeAutospacing="1" w:after="100" w:afterAutospacing="1"/>
        <w:jc w:val="both"/>
        <w:rPr>
          <w:rFonts w:ascii="Cambria" w:hAnsi="Cambria"/>
        </w:rPr>
      </w:pPr>
      <w:proofErr w:type="gramStart"/>
      <w:r w:rsidRPr="00DA56F1">
        <w:rPr>
          <w:rFonts w:ascii="Cambria" w:hAnsi="Cambria"/>
        </w:rPr>
        <w:t>en</w:t>
      </w:r>
      <w:proofErr w:type="gramEnd"/>
      <w:r w:rsidRPr="00DA56F1">
        <w:rPr>
          <w:rFonts w:ascii="Cambria" w:hAnsi="Cambria"/>
        </w:rPr>
        <w:t xml:space="preserve"> soutenant les élèves et étudiants souhaitant poursuivre des études artistiques non dispensées en Polynésie française par la création d’une aide sociale spécifique à l’art ;</w:t>
      </w:r>
    </w:p>
    <w:p w14:paraId="1D3CE9D4" w14:textId="77777777" w:rsidR="00DA56F1" w:rsidRPr="00DA56F1" w:rsidRDefault="00DA56F1" w:rsidP="00DA56F1">
      <w:pPr>
        <w:numPr>
          <w:ilvl w:val="0"/>
          <w:numId w:val="29"/>
        </w:numPr>
        <w:spacing w:before="100" w:beforeAutospacing="1" w:after="100" w:afterAutospacing="1"/>
        <w:jc w:val="both"/>
        <w:rPr>
          <w:rFonts w:ascii="Cambria" w:hAnsi="Cambria"/>
        </w:rPr>
      </w:pPr>
      <w:proofErr w:type="gramStart"/>
      <w:r w:rsidRPr="00DA56F1">
        <w:rPr>
          <w:rFonts w:ascii="Cambria" w:hAnsi="Cambria"/>
        </w:rPr>
        <w:t>en</w:t>
      </w:r>
      <w:proofErr w:type="gramEnd"/>
      <w:r w:rsidRPr="00DA56F1">
        <w:rPr>
          <w:rFonts w:ascii="Cambria" w:hAnsi="Cambria"/>
        </w:rPr>
        <w:t xml:space="preserve"> ouvrant l’aide sociale spécifique au sport aux étudiants poursuivant des études supérieures.</w:t>
      </w:r>
    </w:p>
    <w:p w14:paraId="44E32595" w14:textId="77777777" w:rsidR="00DA56F1" w:rsidRPr="00DA56F1" w:rsidRDefault="00DA56F1" w:rsidP="00DA56F1">
      <w:pPr>
        <w:pStyle w:val="NormalWeb"/>
        <w:jc w:val="both"/>
        <w:rPr>
          <w:rFonts w:ascii="Cambria" w:hAnsi="Cambria"/>
        </w:rPr>
      </w:pPr>
      <w:r w:rsidRPr="00DA56F1">
        <w:rPr>
          <w:rFonts w:ascii="Cambria" w:hAnsi="Cambria"/>
        </w:rPr>
        <w:t xml:space="preserve">Dans ces situations particulières, les montants mensuels de la bourse non majorée, de l’aide scolaire forfaitaire, du prêt d’étude bonifié et des aides sociales spécifiques au sport ou à l’art, peuvent être majorés par arrêté du ministre en charge de l’éducation. </w:t>
      </w:r>
      <w:proofErr w:type="gramStart"/>
      <w:r w:rsidRPr="00DA56F1">
        <w:rPr>
          <w:rFonts w:ascii="Cambria" w:hAnsi="Cambria"/>
        </w:rPr>
        <w:t>à</w:t>
      </w:r>
      <w:proofErr w:type="gramEnd"/>
      <w:r w:rsidRPr="00DA56F1">
        <w:rPr>
          <w:rFonts w:ascii="Cambria" w:hAnsi="Cambria"/>
        </w:rPr>
        <w:t xml:space="preserve"> titre exceptionnel et au titre d’une échéance mensuelle de versement pour l’année scolaire ou universitaire en cours de 18 000 </w:t>
      </w:r>
      <w:proofErr w:type="spellStart"/>
      <w:r w:rsidRPr="00DA56F1">
        <w:rPr>
          <w:rFonts w:ascii="Cambria" w:hAnsi="Cambria"/>
        </w:rPr>
        <w:t>Fcfp</w:t>
      </w:r>
      <w:proofErr w:type="spellEnd"/>
      <w:r w:rsidRPr="00DA56F1">
        <w:rPr>
          <w:rFonts w:ascii="Cambria" w:hAnsi="Cambria"/>
        </w:rPr>
        <w:t xml:space="preserve"> pour les étudiants poursuivant des études en Polynésie française et pour les élèves et étudiants poursuivant des études à l’étranger et d’environ 18 000 </w:t>
      </w:r>
      <w:proofErr w:type="spellStart"/>
      <w:r w:rsidRPr="00DA56F1">
        <w:rPr>
          <w:rFonts w:ascii="Cambria" w:hAnsi="Cambria"/>
        </w:rPr>
        <w:t>Fcfp</w:t>
      </w:r>
      <w:proofErr w:type="spellEnd"/>
      <w:r w:rsidRPr="00DA56F1">
        <w:rPr>
          <w:rFonts w:ascii="Cambria" w:hAnsi="Cambria"/>
        </w:rPr>
        <w:t xml:space="preserve"> pour les élèves et étudiants poursuivant des études en Europe et en Outre-mer français, non dispensées en Polynésie française.</w:t>
      </w:r>
    </w:p>
    <w:p w14:paraId="5925AE7A" w14:textId="77777777" w:rsidR="00DA56F1" w:rsidRPr="00DA56F1" w:rsidRDefault="00DA56F1" w:rsidP="00DA56F1">
      <w:pPr>
        <w:pStyle w:val="NormalWeb"/>
        <w:jc w:val="both"/>
        <w:rPr>
          <w:rFonts w:ascii="Cambria" w:hAnsi="Cambria"/>
        </w:rPr>
      </w:pPr>
      <w:r w:rsidRPr="00DA56F1">
        <w:rPr>
          <w:rFonts w:ascii="Cambria" w:hAnsi="Cambria"/>
        </w:rPr>
        <w:t xml:space="preserve">Les nouvelles mesures insérées à l’arrêté du Conseil des ministres du 13 avril 2006 modifié portant réglementation des allocations de la Polynésie française pour études </w:t>
      </w:r>
      <w:r w:rsidRPr="00DA56F1">
        <w:rPr>
          <w:rFonts w:ascii="Cambria" w:hAnsi="Cambria"/>
        </w:rPr>
        <w:lastRenderedPageBreak/>
        <w:t>supérieures et instituant le dispositif « </w:t>
      </w:r>
      <w:proofErr w:type="spellStart"/>
      <w:r w:rsidRPr="00DA56F1">
        <w:rPr>
          <w:rFonts w:ascii="Cambria" w:hAnsi="Cambria"/>
        </w:rPr>
        <w:t>Titeti</w:t>
      </w:r>
      <w:proofErr w:type="spellEnd"/>
      <w:r w:rsidRPr="00DA56F1">
        <w:rPr>
          <w:rFonts w:ascii="Cambria" w:hAnsi="Cambria"/>
        </w:rPr>
        <w:t xml:space="preserve"> </w:t>
      </w:r>
      <w:proofErr w:type="spellStart"/>
      <w:r w:rsidRPr="00DA56F1">
        <w:rPr>
          <w:rFonts w:ascii="Cambria" w:hAnsi="Cambria"/>
        </w:rPr>
        <w:t>turu</w:t>
      </w:r>
      <w:proofErr w:type="spellEnd"/>
      <w:r w:rsidRPr="00DA56F1">
        <w:rPr>
          <w:rFonts w:ascii="Cambria" w:hAnsi="Cambria"/>
        </w:rPr>
        <w:t xml:space="preserve"> </w:t>
      </w:r>
      <w:proofErr w:type="spellStart"/>
      <w:r w:rsidRPr="00DA56F1">
        <w:rPr>
          <w:rFonts w:ascii="Cambria" w:hAnsi="Cambria"/>
        </w:rPr>
        <w:t>ha’api’ira’a</w:t>
      </w:r>
      <w:proofErr w:type="spellEnd"/>
      <w:r w:rsidRPr="00DA56F1">
        <w:rPr>
          <w:rFonts w:ascii="Cambria" w:hAnsi="Cambria"/>
        </w:rPr>
        <w:t xml:space="preserve"> » sont évaluées à 54 millions </w:t>
      </w:r>
      <w:proofErr w:type="spellStart"/>
      <w:r w:rsidRPr="00DA56F1">
        <w:rPr>
          <w:rFonts w:ascii="Cambria" w:hAnsi="Cambria"/>
        </w:rPr>
        <w:t>Fcfp</w:t>
      </w:r>
      <w:proofErr w:type="spellEnd"/>
      <w:r w:rsidRPr="00DA56F1">
        <w:rPr>
          <w:rFonts w:ascii="Cambria" w:hAnsi="Cambria"/>
        </w:rPr>
        <w:t>.</w:t>
      </w:r>
    </w:p>
    <w:p w14:paraId="1E52B357" w14:textId="04B94123" w:rsidR="00DA56F1" w:rsidRPr="00DA56F1" w:rsidRDefault="00DA56F1" w:rsidP="00DA56F1">
      <w:pPr>
        <w:pStyle w:val="NormalWeb"/>
        <w:jc w:val="both"/>
        <w:rPr>
          <w:rFonts w:ascii="Cambria" w:hAnsi="Cambria"/>
        </w:rPr>
      </w:pPr>
      <w:r w:rsidRPr="00DA56F1">
        <w:rPr>
          <w:rFonts w:ascii="Cambria" w:hAnsi="Cambria"/>
        </w:rPr>
        <w:t> </w:t>
      </w:r>
    </w:p>
    <w:p w14:paraId="65B6C92D" w14:textId="1C6C81BA" w:rsidR="00DA56F1" w:rsidRDefault="00DA56F1" w:rsidP="00DA56F1">
      <w:pPr>
        <w:pStyle w:val="NormalWeb"/>
        <w:jc w:val="both"/>
        <w:rPr>
          <w:rStyle w:val="lev"/>
          <w:rFonts w:ascii="Cambria" w:hAnsi="Cambria"/>
        </w:rPr>
      </w:pPr>
      <w:r w:rsidRPr="00DA56F1">
        <w:rPr>
          <w:rStyle w:val="lev"/>
          <w:rFonts w:ascii="Cambria" w:hAnsi="Cambria"/>
        </w:rPr>
        <w:t>Modifications de la délibération portant réglementation générale de la police de circulation routière</w:t>
      </w:r>
    </w:p>
    <w:p w14:paraId="3050A282" w14:textId="77777777" w:rsidR="00DA56F1" w:rsidRPr="00DA56F1" w:rsidRDefault="00DA56F1" w:rsidP="00DA56F1">
      <w:pPr>
        <w:pStyle w:val="NormalWeb"/>
        <w:jc w:val="both"/>
        <w:rPr>
          <w:rFonts w:ascii="Cambria" w:hAnsi="Cambria"/>
        </w:rPr>
      </w:pPr>
      <w:r w:rsidRPr="00DA56F1">
        <w:rPr>
          <w:rFonts w:ascii="Cambria" w:hAnsi="Cambria"/>
        </w:rPr>
        <w:t>Le Conseil des ministres a adopté quelques modifications relatives à certains articles du code de la route de la Polynésie française. Des incohérences se trouvant dans le code de la route de la Polynésie française ont été rectifiées et certaines dispositions ont été mises à jour.</w:t>
      </w:r>
    </w:p>
    <w:p w14:paraId="207722EE" w14:textId="77777777" w:rsidR="00DA56F1" w:rsidRPr="00DA56F1" w:rsidRDefault="00DA56F1" w:rsidP="00DA56F1">
      <w:pPr>
        <w:pStyle w:val="NormalWeb"/>
        <w:jc w:val="both"/>
        <w:rPr>
          <w:rFonts w:ascii="Cambria" w:hAnsi="Cambria"/>
        </w:rPr>
      </w:pPr>
      <w:r w:rsidRPr="00DA56F1">
        <w:rPr>
          <w:rFonts w:ascii="Cambria" w:hAnsi="Cambria"/>
        </w:rPr>
        <w:t>Les modifications et améliorations concernent tout particulièrement :</w:t>
      </w:r>
    </w:p>
    <w:p w14:paraId="1583C5CD" w14:textId="77777777" w:rsidR="00DA56F1" w:rsidRPr="00DA56F1" w:rsidRDefault="00DA56F1" w:rsidP="00DA56F1">
      <w:pPr>
        <w:numPr>
          <w:ilvl w:val="0"/>
          <w:numId w:val="31"/>
        </w:numPr>
        <w:spacing w:before="100" w:beforeAutospacing="1" w:after="100" w:afterAutospacing="1"/>
        <w:jc w:val="both"/>
        <w:rPr>
          <w:rFonts w:ascii="Cambria" w:hAnsi="Cambria"/>
        </w:rPr>
      </w:pPr>
      <w:r w:rsidRPr="00DA56F1">
        <w:rPr>
          <w:rFonts w:ascii="Cambria" w:hAnsi="Cambria"/>
        </w:rPr>
        <w:t>L’interdiction de circuler à deux de front sur la chaussée pour les conducteurs d’engin à 2, 3 ou 4 roues motorisées, pour des raisons de sécurité. Seuls les conducteurs de cycles à deux roues sans remorque ni side-car peuvent le faire. De ce fait, les motocyclistes lorsqu’ils circulent en groupe devront désormais se positionner en quinconce plutôt que de front permettant de réagir rapidement et de garantir une meilleure sécurité pour tous les usagers de la route ;</w:t>
      </w:r>
    </w:p>
    <w:p w14:paraId="7B480BEE" w14:textId="77777777" w:rsidR="00DA56F1" w:rsidRPr="00DA56F1" w:rsidRDefault="00DA56F1" w:rsidP="00DA56F1">
      <w:pPr>
        <w:numPr>
          <w:ilvl w:val="0"/>
          <w:numId w:val="31"/>
        </w:numPr>
        <w:spacing w:before="100" w:beforeAutospacing="1" w:after="100" w:afterAutospacing="1"/>
        <w:jc w:val="both"/>
        <w:rPr>
          <w:rFonts w:ascii="Cambria" w:hAnsi="Cambria"/>
        </w:rPr>
      </w:pPr>
      <w:r w:rsidRPr="00DA56F1">
        <w:rPr>
          <w:rFonts w:ascii="Cambria" w:hAnsi="Cambria"/>
        </w:rPr>
        <w:t>La mention sur l’abaissement de la vitesse par temps de pluie est réintroduite dans le code de la route permettant d’adapter la conduite automobile aux conditions météorologiques si importante pour assurer la sécurité routière des usagers de la route ;</w:t>
      </w:r>
    </w:p>
    <w:p w14:paraId="15FEAE16" w14:textId="77777777" w:rsidR="00DA56F1" w:rsidRPr="00DA56F1" w:rsidRDefault="00DA56F1" w:rsidP="00DA56F1">
      <w:pPr>
        <w:numPr>
          <w:ilvl w:val="0"/>
          <w:numId w:val="31"/>
        </w:numPr>
        <w:spacing w:before="100" w:beforeAutospacing="1" w:after="100" w:afterAutospacing="1"/>
        <w:jc w:val="both"/>
        <w:rPr>
          <w:rFonts w:ascii="Cambria" w:hAnsi="Cambria"/>
        </w:rPr>
      </w:pPr>
      <w:r w:rsidRPr="00DA56F1">
        <w:rPr>
          <w:rFonts w:ascii="Cambria" w:hAnsi="Cambria"/>
        </w:rPr>
        <w:t>Le code de la route de la Polynésie française impose désormais clairement aux conducteurs de cyclomoteurs, motocyclettes et quadricycles légers à moteur d’allumer leurs feux, lorsqu’ils circulent de jour. Le non-respect de cette disposition par le conducteur est passible d’une contravention de la quatrième classe ;</w:t>
      </w:r>
    </w:p>
    <w:p w14:paraId="666948F2" w14:textId="77777777" w:rsidR="00DA56F1" w:rsidRPr="00DA56F1" w:rsidRDefault="00DA56F1" w:rsidP="00DA56F1">
      <w:pPr>
        <w:numPr>
          <w:ilvl w:val="0"/>
          <w:numId w:val="31"/>
        </w:numPr>
        <w:spacing w:before="100" w:beforeAutospacing="1" w:after="100" w:afterAutospacing="1"/>
        <w:jc w:val="both"/>
        <w:rPr>
          <w:rFonts w:ascii="Cambria" w:hAnsi="Cambria"/>
        </w:rPr>
      </w:pPr>
      <w:r w:rsidRPr="00DA56F1">
        <w:rPr>
          <w:rFonts w:ascii="Cambria" w:hAnsi="Cambria"/>
        </w:rPr>
        <w:t>Enfin, une dérogation réglementaire est introduite pour les petits trains routiers, entendu comme un engin circulant à très faible allure (en moyenne 5km/h) sur des voies fermées à la circulation des véhicules automobiles et qui transporte des enfants et leurs parents sur de courtes distances, telle une attraction. Dès lors, les règles contraignantes des petits trains routiers touristiques du code de la route de la Polynésie française ne s’appliquent pas aux petits trains routiers circulant au pas, dans les places aménagées spécialement pour l’accueil du public.</w:t>
      </w:r>
    </w:p>
    <w:p w14:paraId="70206CA3" w14:textId="77777777" w:rsidR="00DA56F1" w:rsidRPr="00DA56F1" w:rsidRDefault="00DA56F1" w:rsidP="00DA56F1">
      <w:pPr>
        <w:pStyle w:val="NormalWeb"/>
        <w:jc w:val="both"/>
        <w:rPr>
          <w:rFonts w:ascii="Cambria" w:hAnsi="Cambria"/>
        </w:rPr>
      </w:pPr>
      <w:r w:rsidRPr="00DA56F1">
        <w:rPr>
          <w:rFonts w:ascii="Cambria" w:hAnsi="Cambria"/>
        </w:rPr>
        <w:t xml:space="preserve">La Direction des transports terrestres communiquera auprès du public, notamment sur les dispositions concernant les usagers de deux-roues motorisés, et veillera avec ses partenaires de la sécurité routière, au respect de ces dispositions afin de garantir une meilleure visibilité des usagers en deux-roues. Ces derniers ont malheureusement une fréquence d’accidents très élevée, puisqu’en 2020, 55 % des décès sur les routes polynésiennes impliquaient un deux-roues motorisé et 81 % de ces décès sont intervenus la nuit. </w:t>
      </w:r>
      <w:r w:rsidRPr="00DA56F1">
        <w:rPr>
          <w:rStyle w:val="lev"/>
          <w:rFonts w:ascii="Cambria" w:hAnsi="Cambria"/>
        </w:rPr>
        <w:t> </w:t>
      </w:r>
    </w:p>
    <w:p w14:paraId="26F4ABAB" w14:textId="77777777" w:rsidR="00DA56F1" w:rsidRPr="00DA56F1" w:rsidRDefault="00DA56F1" w:rsidP="00DA56F1">
      <w:pPr>
        <w:pStyle w:val="NormalWeb"/>
        <w:jc w:val="both"/>
        <w:rPr>
          <w:rFonts w:ascii="Cambria" w:hAnsi="Cambria"/>
        </w:rPr>
      </w:pPr>
      <w:r w:rsidRPr="00DA56F1">
        <w:rPr>
          <w:rFonts w:ascii="Cambria" w:hAnsi="Cambria"/>
        </w:rPr>
        <w:t> </w:t>
      </w:r>
    </w:p>
    <w:p w14:paraId="136A7BBE" w14:textId="52048646" w:rsidR="00DA56F1" w:rsidRDefault="00DA56F1" w:rsidP="00DA56F1">
      <w:pPr>
        <w:pStyle w:val="NormalWeb"/>
        <w:jc w:val="both"/>
        <w:rPr>
          <w:rStyle w:val="lev"/>
          <w:rFonts w:ascii="Cambria" w:hAnsi="Cambria"/>
        </w:rPr>
      </w:pPr>
      <w:r w:rsidRPr="00DA56F1">
        <w:rPr>
          <w:rStyle w:val="lev"/>
          <w:rFonts w:ascii="Cambria" w:hAnsi="Cambria"/>
        </w:rPr>
        <w:t>Bilan de la 14ème conférence des triennales des femmes du Pacifique</w:t>
      </w:r>
    </w:p>
    <w:p w14:paraId="7719D979" w14:textId="77777777" w:rsidR="00DA56F1" w:rsidRPr="00DA56F1" w:rsidRDefault="00DA56F1" w:rsidP="00DA56F1">
      <w:pPr>
        <w:pStyle w:val="NormalWeb"/>
        <w:jc w:val="both"/>
        <w:rPr>
          <w:rFonts w:ascii="Cambria" w:hAnsi="Cambria"/>
        </w:rPr>
      </w:pPr>
      <w:r w:rsidRPr="00DA56F1">
        <w:rPr>
          <w:rFonts w:ascii="Cambria" w:hAnsi="Cambria"/>
        </w:rPr>
        <w:t>La 14</w:t>
      </w:r>
      <w:r w:rsidRPr="00DA56F1">
        <w:rPr>
          <w:rFonts w:ascii="Cambria" w:hAnsi="Cambria"/>
          <w:vertAlign w:val="superscript"/>
        </w:rPr>
        <w:t>e</w:t>
      </w:r>
      <w:r w:rsidRPr="00DA56F1">
        <w:rPr>
          <w:rFonts w:ascii="Cambria" w:hAnsi="Cambria"/>
        </w:rPr>
        <w:t xml:space="preserve"> conférence des triennales, le plus grand rassemblement de l’Océanie sur les droits des femmes, a été la toute première conférence de ce genre à se dérouler de façon hybride. Cette conférence a été un véritable succès, salué à l’unanimité dans la région, avec plus de 1000 participants connectés depuis différents endroits du Pacifique et 20 délégations </w:t>
      </w:r>
      <w:r w:rsidRPr="00DA56F1">
        <w:rPr>
          <w:rFonts w:ascii="Cambria" w:hAnsi="Cambria"/>
        </w:rPr>
        <w:lastRenderedPageBreak/>
        <w:t>gouvernementales. Cette réussite reflète l'immense intérêt que suscite le parcours des femmes du Pacifique, dans toute leur diversité, vers l'égalité.</w:t>
      </w:r>
    </w:p>
    <w:p w14:paraId="35B8F2AA" w14:textId="77777777" w:rsidR="00DA56F1" w:rsidRPr="00DA56F1" w:rsidRDefault="00DA56F1" w:rsidP="00DA56F1">
      <w:pPr>
        <w:pStyle w:val="NormalWeb"/>
        <w:jc w:val="both"/>
        <w:rPr>
          <w:rFonts w:ascii="Cambria" w:hAnsi="Cambria"/>
        </w:rPr>
      </w:pPr>
      <w:r w:rsidRPr="00DA56F1">
        <w:rPr>
          <w:rFonts w:ascii="Cambria" w:hAnsi="Cambria"/>
        </w:rPr>
        <w:t>Le thème général mis à l’ordre du jour cette année, « Notre océan, notre patrimoine, notre avenir : autonomiser toutes les femmes du continent du pacifique bleu », visait à souligner l’importance de l’océan en tant que partie intégrante du patrimoine du peuple océanien, reconnaissant qu’un avenir durable dépendait de celui-ci, source de sécurité alimentaire et de moyens de subsistance pour les femmes et la population en général.</w:t>
      </w:r>
    </w:p>
    <w:p w14:paraId="13423967" w14:textId="77777777" w:rsidR="00DA56F1" w:rsidRPr="00DA56F1" w:rsidRDefault="00DA56F1" w:rsidP="00DA56F1">
      <w:pPr>
        <w:pStyle w:val="NormalWeb"/>
        <w:jc w:val="both"/>
        <w:rPr>
          <w:rFonts w:ascii="Cambria" w:hAnsi="Cambria"/>
        </w:rPr>
      </w:pPr>
      <w:r w:rsidRPr="00DA56F1">
        <w:rPr>
          <w:rFonts w:ascii="Cambria" w:hAnsi="Cambria"/>
        </w:rPr>
        <w:t>Lors de la dernière session de la journée, les différentes délégations et les ministres ont fait part de leurs commentaires sur le document final qui avait été établi, lequel comporte 45 recommandations inhérentes aux trois domaines prioritaires et 9 recommandations relatives à des thématiques transversales. Fait historique dans cette instance régionale, il y a eu une approbation rapide du texte à l’unanimité des 20 délégations gouvernementales participantes.</w:t>
      </w:r>
    </w:p>
    <w:p w14:paraId="6EA0EF7E" w14:textId="77777777" w:rsidR="00DA56F1" w:rsidRPr="00DA56F1" w:rsidRDefault="00DA56F1" w:rsidP="00DA56F1">
      <w:pPr>
        <w:pStyle w:val="NormalWeb"/>
        <w:jc w:val="both"/>
        <w:rPr>
          <w:rFonts w:ascii="Cambria" w:hAnsi="Cambria"/>
        </w:rPr>
      </w:pPr>
      <w:r w:rsidRPr="00DA56F1">
        <w:rPr>
          <w:rFonts w:ascii="Cambria" w:hAnsi="Cambria"/>
        </w:rPr>
        <w:t>Pour ce qui concerne l’autonomisation économique des femmes, véritable levier de développement, les gouvernements ont été appelés à mettre en œuvre des politiques, une législation et des budgets tenant compte de la dimension de genre, conformément aux normes et conventions régionales et internationales, afin de remédier aux disparités en matière d'accès et d'opportunités pour les femmes dans tous les domaines de l'activité économique.</w:t>
      </w:r>
    </w:p>
    <w:p w14:paraId="2F10B521" w14:textId="77777777" w:rsidR="00DA56F1" w:rsidRPr="00DA56F1" w:rsidRDefault="00DA56F1" w:rsidP="00DA56F1">
      <w:pPr>
        <w:pStyle w:val="NormalWeb"/>
        <w:jc w:val="both"/>
        <w:rPr>
          <w:rFonts w:ascii="Cambria" w:hAnsi="Cambria"/>
        </w:rPr>
      </w:pPr>
      <w:r w:rsidRPr="00DA56F1">
        <w:rPr>
          <w:rFonts w:ascii="Cambria" w:hAnsi="Cambria"/>
        </w:rPr>
        <w:t>Afin de lutter contre les violences fondées sur le genre, les délégations ont mis en exergue la nécessité d’investir dans des programmes de prévention contextualisés et fondés sur des données probantes, en veillant à ce que les efforts soient équilibrés en termes d'importance et de ressources entre la prévention, les services de réponse aux victimes, les réponses du système de justice pénale, et les efforts de réhabilitation des auteurs.</w:t>
      </w:r>
    </w:p>
    <w:p w14:paraId="2F016C4F" w14:textId="77777777" w:rsidR="00DA56F1" w:rsidRPr="00DA56F1" w:rsidRDefault="00DA56F1" w:rsidP="00DA56F1">
      <w:pPr>
        <w:pStyle w:val="NormalWeb"/>
        <w:jc w:val="both"/>
        <w:rPr>
          <w:rFonts w:ascii="Cambria" w:hAnsi="Cambria"/>
        </w:rPr>
      </w:pPr>
      <w:r w:rsidRPr="00DA56F1">
        <w:rPr>
          <w:rFonts w:ascii="Cambria" w:hAnsi="Cambria"/>
        </w:rPr>
        <w:t>Quant à la justice climatique et l’égalité de genre, les conclusions concertées ont mis l’accent sur la nécessité pour les femmes de participer de manière significative à toutes les étapes de la conception et de la mise en œuvre des politiques, stratégies et plans nationaux et sectoriels relatifs au changement climatique et à la gestion des risques de catastrophe, et à ce que la dimension de genre soit prise en considération en travaillant sur des indicateurs clairs et précis.</w:t>
      </w:r>
    </w:p>
    <w:p w14:paraId="64A4EAD0" w14:textId="20F3EE5C" w:rsidR="00DA56F1" w:rsidRDefault="00DA56F1" w:rsidP="00DA56F1">
      <w:pPr>
        <w:pStyle w:val="NormalWeb"/>
        <w:jc w:val="both"/>
        <w:rPr>
          <w:rFonts w:ascii="Cambria" w:hAnsi="Cambria"/>
        </w:rPr>
      </w:pPr>
      <w:r w:rsidRPr="00DA56F1">
        <w:rPr>
          <w:rFonts w:ascii="Cambria" w:hAnsi="Cambria"/>
        </w:rPr>
        <w:t>Les présentations qui ont été proposées et les expériences couronnées de succès qui ont été partagées ont dessiné, de manière très convergente, la direction vers laquelle la Polynésie française et les pays et territoires insulaires devront se diriger au cours des trois prochaines années afin de réduire les inégalités envers les femmes qui persistent encore à l’échelle régionale. Les îles Marshall seront le prochain hôte de la 15ème Conférence triennale des femmes du Pacifique et de la 8ème Réunion des ministres des femmes du Pacifique.                                                       </w:t>
      </w:r>
    </w:p>
    <w:p w14:paraId="490C076E" w14:textId="6D85CFCA" w:rsidR="001434EF" w:rsidRDefault="001434EF" w:rsidP="00DA56F1">
      <w:pPr>
        <w:pStyle w:val="NormalWeb"/>
        <w:jc w:val="both"/>
        <w:rPr>
          <w:rFonts w:ascii="Cambria" w:hAnsi="Cambria"/>
        </w:rPr>
      </w:pPr>
    </w:p>
    <w:p w14:paraId="41816780" w14:textId="77777777" w:rsidR="001434EF" w:rsidRPr="00DA56F1" w:rsidRDefault="001434EF" w:rsidP="00DA56F1">
      <w:pPr>
        <w:pStyle w:val="NormalWeb"/>
        <w:jc w:val="both"/>
        <w:rPr>
          <w:rFonts w:ascii="Cambria" w:hAnsi="Cambria"/>
        </w:rPr>
      </w:pPr>
    </w:p>
    <w:p w14:paraId="78E0A985" w14:textId="6A794997" w:rsidR="00B97C80" w:rsidRPr="001A47C9" w:rsidRDefault="001A47C9" w:rsidP="001A47C9">
      <w:pPr>
        <w:pStyle w:val="default"/>
        <w:jc w:val="both"/>
        <w:rPr>
          <w:rFonts w:ascii="Cambria" w:hAnsi="Cambria"/>
          <w:sz w:val="24"/>
          <w:szCs w:val="24"/>
        </w:rPr>
      </w:pPr>
      <w:r>
        <w:rPr>
          <w:rFonts w:ascii="Cambria" w:hAnsi="Cambria"/>
          <w:sz w:val="24"/>
          <w:szCs w:val="24"/>
        </w:rPr>
        <w:t xml:space="preserve">                                                                        </w:t>
      </w:r>
      <w:r w:rsidR="00625270" w:rsidRPr="00964474">
        <w:rPr>
          <w:rFonts w:ascii="Cambria" w:hAnsi="Cambria" w:cs="Century Schoolbook"/>
        </w:rPr>
        <w:t>-o-o-o-o-o-</w:t>
      </w:r>
    </w:p>
    <w:sectPr w:rsidR="00B97C80" w:rsidRPr="001A4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20A3"/>
    <w:multiLevelType w:val="multilevel"/>
    <w:tmpl w:val="7156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22CBD"/>
    <w:multiLevelType w:val="multilevel"/>
    <w:tmpl w:val="2CC043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4885C88"/>
    <w:multiLevelType w:val="multilevel"/>
    <w:tmpl w:val="4D96FFE2"/>
    <w:lvl w:ilvl="0">
      <w:start w:val="1"/>
      <w:numFmt w:val="bullet"/>
      <w:lvlText w:val="-"/>
      <w:lvlJc w:val="left"/>
      <w:pPr>
        <w:tabs>
          <w:tab w:val="num" w:pos="360"/>
        </w:tabs>
        <w:ind w:left="360" w:hanging="360"/>
      </w:pPr>
      <w:rPr>
        <w:rFonts w:ascii="Cambria" w:hAnsi="Cambria"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CC62093"/>
    <w:multiLevelType w:val="multilevel"/>
    <w:tmpl w:val="A3EC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854FE"/>
    <w:multiLevelType w:val="multilevel"/>
    <w:tmpl w:val="DC28AC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26B2860"/>
    <w:multiLevelType w:val="multilevel"/>
    <w:tmpl w:val="39EECBF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2EC5D5A"/>
    <w:multiLevelType w:val="hybridMultilevel"/>
    <w:tmpl w:val="8E560B8E"/>
    <w:lvl w:ilvl="0" w:tplc="C83A03A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91B399D"/>
    <w:multiLevelType w:val="multilevel"/>
    <w:tmpl w:val="08DE88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F377AFA"/>
    <w:multiLevelType w:val="hybridMultilevel"/>
    <w:tmpl w:val="F67A6EEE"/>
    <w:lvl w:ilvl="0" w:tplc="BE7041F6">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0AE3105"/>
    <w:multiLevelType w:val="multilevel"/>
    <w:tmpl w:val="8F3090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1" w15:restartNumberingAfterBreak="0">
    <w:nsid w:val="3D1C174B"/>
    <w:multiLevelType w:val="multilevel"/>
    <w:tmpl w:val="821A83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11A503F"/>
    <w:multiLevelType w:val="multilevel"/>
    <w:tmpl w:val="73E0B5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6A91361"/>
    <w:multiLevelType w:val="multilevel"/>
    <w:tmpl w:val="38C67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00C1D4A"/>
    <w:multiLevelType w:val="hybridMultilevel"/>
    <w:tmpl w:val="BEDEE39E"/>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592173B"/>
    <w:multiLevelType w:val="hybridMultilevel"/>
    <w:tmpl w:val="C8029EB0"/>
    <w:lvl w:ilvl="0" w:tplc="D8B67FA0">
      <w:numFmt w:val="bullet"/>
      <w:lvlText w:val="-"/>
      <w:lvlJc w:val="left"/>
      <w:pPr>
        <w:ind w:left="360" w:hanging="360"/>
      </w:pPr>
      <w:rPr>
        <w:rFonts w:ascii="Times New Roman" w:eastAsia="Times New Roman" w:hAnsi="Times New Roman" w:cs="Times New Roman" w:hint="default"/>
      </w:rPr>
    </w:lvl>
    <w:lvl w:ilvl="1" w:tplc="D8B67FA0">
      <w:numFmt w:val="bullet"/>
      <w:lvlText w:val="-"/>
      <w:lvlJc w:val="left"/>
      <w:pPr>
        <w:ind w:left="1080" w:hanging="360"/>
      </w:pPr>
      <w:rPr>
        <w:rFonts w:ascii="Times New Roman" w:eastAsia="Times New Roman" w:hAnsi="Times New Roman"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6" w15:restartNumberingAfterBreak="0">
    <w:nsid w:val="592C2A33"/>
    <w:multiLevelType w:val="multilevel"/>
    <w:tmpl w:val="5CC6A7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06B2C1C"/>
    <w:multiLevelType w:val="multilevel"/>
    <w:tmpl w:val="F842BA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DB663B"/>
    <w:multiLevelType w:val="multilevel"/>
    <w:tmpl w:val="3EC80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1E4381F"/>
    <w:multiLevelType w:val="hybridMultilevel"/>
    <w:tmpl w:val="9C20E0D0"/>
    <w:lvl w:ilvl="0" w:tplc="89342556">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abstractNum w:abstractNumId="21" w15:restartNumberingAfterBreak="0">
    <w:nsid w:val="6A593493"/>
    <w:multiLevelType w:val="hybridMultilevel"/>
    <w:tmpl w:val="F9049140"/>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2" w15:restartNumberingAfterBreak="0">
    <w:nsid w:val="6C176B28"/>
    <w:multiLevelType w:val="multilevel"/>
    <w:tmpl w:val="492812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C32136E"/>
    <w:multiLevelType w:val="hybridMultilevel"/>
    <w:tmpl w:val="A83C9488"/>
    <w:lvl w:ilvl="0" w:tplc="06EE2B24">
      <w:start w:val="1"/>
      <w:numFmt w:val="bullet"/>
      <w:lvlText w:val="-"/>
      <w:lvlJc w:val="left"/>
      <w:pPr>
        <w:ind w:left="360" w:hanging="360"/>
      </w:pPr>
      <w:rPr>
        <w:rFonts w:ascii="Cambria" w:hAnsi="Cambria" w:hint="default"/>
      </w:rPr>
    </w:lvl>
    <w:lvl w:ilvl="1" w:tplc="040C0003">
      <w:start w:val="1"/>
      <w:numFmt w:val="bullet"/>
      <w:lvlText w:val="o"/>
      <w:lvlJc w:val="left"/>
      <w:pPr>
        <w:ind w:left="1080" w:hanging="360"/>
      </w:pPr>
      <w:rPr>
        <w:rFonts w:ascii="Courier New" w:hAnsi="Courier New" w:cs="Courier New" w:hint="default"/>
      </w:rPr>
    </w:lvl>
    <w:lvl w:ilvl="2" w:tplc="D8B67FA0">
      <w:numFmt w:val="bullet"/>
      <w:lvlText w:val="-"/>
      <w:lvlJc w:val="left"/>
      <w:pPr>
        <w:ind w:left="1800" w:hanging="360"/>
      </w:pPr>
      <w:rPr>
        <w:rFonts w:ascii="Times New Roman" w:eastAsia="Times New Roman" w:hAnsi="Times New Roman" w:cs="Times New Roman"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4" w15:restartNumberingAfterBreak="0">
    <w:nsid w:val="6DAA5ECE"/>
    <w:multiLevelType w:val="hybridMultilevel"/>
    <w:tmpl w:val="D6BC70E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25" w15:restartNumberingAfterBreak="0">
    <w:nsid w:val="6FA31A53"/>
    <w:multiLevelType w:val="multilevel"/>
    <w:tmpl w:val="27CAFA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7F7FDE"/>
    <w:multiLevelType w:val="hybridMultilevel"/>
    <w:tmpl w:val="6D4C7CDE"/>
    <w:lvl w:ilvl="0" w:tplc="D8B67FA0">
      <w:numFmt w:val="bullet"/>
      <w:lvlText w:val="-"/>
      <w:lvlJc w:val="left"/>
      <w:pPr>
        <w:ind w:left="-3624" w:hanging="360"/>
      </w:pPr>
      <w:rPr>
        <w:rFonts w:ascii="Times New Roman" w:eastAsia="Times New Roman" w:hAnsi="Times New Roman" w:cs="Times New Roman" w:hint="default"/>
      </w:rPr>
    </w:lvl>
    <w:lvl w:ilvl="1" w:tplc="040C0003">
      <w:start w:val="1"/>
      <w:numFmt w:val="bullet"/>
      <w:lvlText w:val="o"/>
      <w:lvlJc w:val="left"/>
      <w:pPr>
        <w:ind w:left="-2904" w:hanging="360"/>
      </w:pPr>
      <w:rPr>
        <w:rFonts w:ascii="Courier New" w:hAnsi="Courier New" w:cs="Courier New" w:hint="default"/>
      </w:rPr>
    </w:lvl>
    <w:lvl w:ilvl="2" w:tplc="040C0005">
      <w:start w:val="1"/>
      <w:numFmt w:val="bullet"/>
      <w:lvlText w:val=""/>
      <w:lvlJc w:val="left"/>
      <w:pPr>
        <w:ind w:left="-2184" w:hanging="360"/>
      </w:pPr>
      <w:rPr>
        <w:rFonts w:ascii="Wingdings" w:hAnsi="Wingdings" w:hint="default"/>
      </w:rPr>
    </w:lvl>
    <w:lvl w:ilvl="3" w:tplc="040C0001">
      <w:start w:val="1"/>
      <w:numFmt w:val="bullet"/>
      <w:lvlText w:val=""/>
      <w:lvlJc w:val="left"/>
      <w:pPr>
        <w:ind w:left="-1464" w:hanging="360"/>
      </w:pPr>
      <w:rPr>
        <w:rFonts w:ascii="Symbol" w:hAnsi="Symbol" w:hint="default"/>
      </w:rPr>
    </w:lvl>
    <w:lvl w:ilvl="4" w:tplc="040C0003">
      <w:start w:val="1"/>
      <w:numFmt w:val="bullet"/>
      <w:lvlText w:val="o"/>
      <w:lvlJc w:val="left"/>
      <w:pPr>
        <w:ind w:left="-744" w:hanging="360"/>
      </w:pPr>
      <w:rPr>
        <w:rFonts w:ascii="Courier New" w:hAnsi="Courier New" w:cs="Courier New" w:hint="default"/>
      </w:rPr>
    </w:lvl>
    <w:lvl w:ilvl="5" w:tplc="040C0005">
      <w:start w:val="1"/>
      <w:numFmt w:val="bullet"/>
      <w:lvlText w:val=""/>
      <w:lvlJc w:val="left"/>
      <w:pPr>
        <w:ind w:left="-24" w:hanging="360"/>
      </w:pPr>
      <w:rPr>
        <w:rFonts w:ascii="Wingdings" w:hAnsi="Wingdings" w:hint="default"/>
      </w:rPr>
    </w:lvl>
    <w:lvl w:ilvl="6" w:tplc="040C0001">
      <w:start w:val="1"/>
      <w:numFmt w:val="bullet"/>
      <w:lvlText w:val=""/>
      <w:lvlJc w:val="left"/>
      <w:pPr>
        <w:ind w:left="696" w:hanging="360"/>
      </w:pPr>
      <w:rPr>
        <w:rFonts w:ascii="Symbol" w:hAnsi="Symbol" w:hint="default"/>
      </w:rPr>
    </w:lvl>
    <w:lvl w:ilvl="7" w:tplc="040C0003">
      <w:start w:val="1"/>
      <w:numFmt w:val="bullet"/>
      <w:lvlText w:val="o"/>
      <w:lvlJc w:val="left"/>
      <w:pPr>
        <w:ind w:left="1416" w:hanging="360"/>
      </w:pPr>
      <w:rPr>
        <w:rFonts w:ascii="Courier New" w:hAnsi="Courier New" w:cs="Courier New" w:hint="default"/>
      </w:rPr>
    </w:lvl>
    <w:lvl w:ilvl="8" w:tplc="040C0005">
      <w:start w:val="1"/>
      <w:numFmt w:val="bullet"/>
      <w:lvlText w:val=""/>
      <w:lvlJc w:val="left"/>
      <w:pPr>
        <w:ind w:left="2136" w:hanging="360"/>
      </w:pPr>
      <w:rPr>
        <w:rFonts w:ascii="Wingdings" w:hAnsi="Wingdings" w:hint="default"/>
      </w:rPr>
    </w:lvl>
  </w:abstractNum>
  <w:abstractNum w:abstractNumId="27" w15:restartNumberingAfterBreak="0">
    <w:nsid w:val="7C8716D6"/>
    <w:multiLevelType w:val="multilevel"/>
    <w:tmpl w:val="751417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FBB7C53"/>
    <w:multiLevelType w:val="multilevel"/>
    <w:tmpl w:val="877053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0"/>
    <w:lvlOverride w:ilvl="0">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num>
  <w:num w:numId="5">
    <w:abstractNumId w:val="18"/>
  </w:num>
  <w:num w:numId="6">
    <w:abstractNumId w:val="19"/>
  </w:num>
  <w:num w:numId="7">
    <w:abstractNumId w:val="7"/>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6"/>
  </w:num>
  <w:num w:numId="11">
    <w:abstractNumId w:val="23"/>
  </w:num>
  <w:num w:numId="12">
    <w:abstractNumId w:val="21"/>
  </w:num>
  <w:num w:numId="13">
    <w:abstractNumId w:val="14"/>
  </w:num>
  <w:num w:numId="14">
    <w:abstractNumId w:val="24"/>
  </w:num>
  <w:num w:numId="15">
    <w:abstractNumId w:val="22"/>
  </w:num>
  <w:num w:numId="16">
    <w:abstractNumId w:val="1"/>
  </w:num>
  <w:num w:numId="17">
    <w:abstractNumId w:val="9"/>
  </w:num>
  <w:num w:numId="18">
    <w:abstractNumId w:val="5"/>
  </w:num>
  <w:num w:numId="19">
    <w:abstractNumId w:val="3"/>
  </w:num>
  <w:num w:numId="20">
    <w:abstractNumId w:val="25"/>
  </w:num>
  <w:num w:numId="21">
    <w:abstractNumId w:val="0"/>
  </w:num>
  <w:num w:numId="22">
    <w:abstractNumId w:val="17"/>
  </w:num>
  <w:num w:numId="23">
    <w:abstractNumId w:val="28"/>
  </w:num>
  <w:num w:numId="24">
    <w:abstractNumId w:val="2"/>
  </w:num>
  <w:num w:numId="25">
    <w:abstractNumId w:val="2"/>
  </w:num>
  <w:num w:numId="26">
    <w:abstractNumId w:val="6"/>
  </w:num>
  <w:num w:numId="27">
    <w:abstractNumId w:val="27"/>
  </w:num>
  <w:num w:numId="28">
    <w:abstractNumId w:val="11"/>
  </w:num>
  <w:num w:numId="29">
    <w:abstractNumId w:val="12"/>
  </w:num>
  <w:num w:numId="30">
    <w:abstractNumId w:val="4"/>
  </w:num>
  <w:num w:numId="3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70"/>
    <w:rsid w:val="0000058C"/>
    <w:rsid w:val="00004213"/>
    <w:rsid w:val="00035A14"/>
    <w:rsid w:val="00044765"/>
    <w:rsid w:val="00055001"/>
    <w:rsid w:val="00062C36"/>
    <w:rsid w:val="00067B39"/>
    <w:rsid w:val="000A19DF"/>
    <w:rsid w:val="000B02D4"/>
    <w:rsid w:val="000C153E"/>
    <w:rsid w:val="000E490F"/>
    <w:rsid w:val="000F4C48"/>
    <w:rsid w:val="001019EF"/>
    <w:rsid w:val="0010365C"/>
    <w:rsid w:val="0011437E"/>
    <w:rsid w:val="001434EF"/>
    <w:rsid w:val="001657A7"/>
    <w:rsid w:val="00197F24"/>
    <w:rsid w:val="001A441F"/>
    <w:rsid w:val="001A47C9"/>
    <w:rsid w:val="001A6384"/>
    <w:rsid w:val="001B5671"/>
    <w:rsid w:val="001B6B39"/>
    <w:rsid w:val="00203E06"/>
    <w:rsid w:val="002073E8"/>
    <w:rsid w:val="002234A0"/>
    <w:rsid w:val="00245444"/>
    <w:rsid w:val="00261798"/>
    <w:rsid w:val="00263FAF"/>
    <w:rsid w:val="002659FD"/>
    <w:rsid w:val="002B4D19"/>
    <w:rsid w:val="002D2F1A"/>
    <w:rsid w:val="00303F47"/>
    <w:rsid w:val="00315CE8"/>
    <w:rsid w:val="00324C73"/>
    <w:rsid w:val="00336845"/>
    <w:rsid w:val="00351CB9"/>
    <w:rsid w:val="003A785E"/>
    <w:rsid w:val="003E32DC"/>
    <w:rsid w:val="003E7569"/>
    <w:rsid w:val="003F24CA"/>
    <w:rsid w:val="00410ECC"/>
    <w:rsid w:val="004128F4"/>
    <w:rsid w:val="004166C0"/>
    <w:rsid w:val="004178CE"/>
    <w:rsid w:val="004268C8"/>
    <w:rsid w:val="00453068"/>
    <w:rsid w:val="00464602"/>
    <w:rsid w:val="0047255C"/>
    <w:rsid w:val="0048276D"/>
    <w:rsid w:val="00491287"/>
    <w:rsid w:val="004A0B38"/>
    <w:rsid w:val="004A28D6"/>
    <w:rsid w:val="004A2D7B"/>
    <w:rsid w:val="004B00A1"/>
    <w:rsid w:val="004C71F3"/>
    <w:rsid w:val="004E46D5"/>
    <w:rsid w:val="004F1350"/>
    <w:rsid w:val="004F4E5C"/>
    <w:rsid w:val="00522EA0"/>
    <w:rsid w:val="00524E73"/>
    <w:rsid w:val="005314A8"/>
    <w:rsid w:val="005550CE"/>
    <w:rsid w:val="00570711"/>
    <w:rsid w:val="00590A68"/>
    <w:rsid w:val="0059364C"/>
    <w:rsid w:val="005D758F"/>
    <w:rsid w:val="005E45AD"/>
    <w:rsid w:val="005F3BE8"/>
    <w:rsid w:val="005F535E"/>
    <w:rsid w:val="0060389A"/>
    <w:rsid w:val="00617820"/>
    <w:rsid w:val="00625270"/>
    <w:rsid w:val="006271DA"/>
    <w:rsid w:val="006676A1"/>
    <w:rsid w:val="0068337E"/>
    <w:rsid w:val="0068570C"/>
    <w:rsid w:val="00685D29"/>
    <w:rsid w:val="0068678A"/>
    <w:rsid w:val="00690ED4"/>
    <w:rsid w:val="006C3C9F"/>
    <w:rsid w:val="006C3CC1"/>
    <w:rsid w:val="006E6DA1"/>
    <w:rsid w:val="006F7FD4"/>
    <w:rsid w:val="00720225"/>
    <w:rsid w:val="00731EBA"/>
    <w:rsid w:val="00744496"/>
    <w:rsid w:val="00745D88"/>
    <w:rsid w:val="00750891"/>
    <w:rsid w:val="00754E86"/>
    <w:rsid w:val="007A5E09"/>
    <w:rsid w:val="007A6A5E"/>
    <w:rsid w:val="007B5BC5"/>
    <w:rsid w:val="007E133D"/>
    <w:rsid w:val="007E1C32"/>
    <w:rsid w:val="007E62B3"/>
    <w:rsid w:val="008056CD"/>
    <w:rsid w:val="00807CE3"/>
    <w:rsid w:val="00814C48"/>
    <w:rsid w:val="00820BBC"/>
    <w:rsid w:val="00822589"/>
    <w:rsid w:val="008809BE"/>
    <w:rsid w:val="008823C5"/>
    <w:rsid w:val="00887E90"/>
    <w:rsid w:val="008900C4"/>
    <w:rsid w:val="00890177"/>
    <w:rsid w:val="008946C5"/>
    <w:rsid w:val="008C03E9"/>
    <w:rsid w:val="008D4C19"/>
    <w:rsid w:val="008E0300"/>
    <w:rsid w:val="008E2E81"/>
    <w:rsid w:val="00902AD0"/>
    <w:rsid w:val="00916876"/>
    <w:rsid w:val="00920D6D"/>
    <w:rsid w:val="009263A2"/>
    <w:rsid w:val="0094375D"/>
    <w:rsid w:val="009638AE"/>
    <w:rsid w:val="00964474"/>
    <w:rsid w:val="009646E6"/>
    <w:rsid w:val="00966231"/>
    <w:rsid w:val="009744ED"/>
    <w:rsid w:val="00986E2E"/>
    <w:rsid w:val="009A0D8B"/>
    <w:rsid w:val="009B0EA9"/>
    <w:rsid w:val="009B7993"/>
    <w:rsid w:val="009E34ED"/>
    <w:rsid w:val="009E3D7C"/>
    <w:rsid w:val="009E7DA0"/>
    <w:rsid w:val="00A00B63"/>
    <w:rsid w:val="00A12C80"/>
    <w:rsid w:val="00A1301D"/>
    <w:rsid w:val="00A534C1"/>
    <w:rsid w:val="00A66B6A"/>
    <w:rsid w:val="00A751A0"/>
    <w:rsid w:val="00A83348"/>
    <w:rsid w:val="00A90C15"/>
    <w:rsid w:val="00AA1585"/>
    <w:rsid w:val="00AB0416"/>
    <w:rsid w:val="00AB34F7"/>
    <w:rsid w:val="00AB5AD0"/>
    <w:rsid w:val="00AD364D"/>
    <w:rsid w:val="00AD4D7B"/>
    <w:rsid w:val="00AE0A7B"/>
    <w:rsid w:val="00B05F97"/>
    <w:rsid w:val="00B22E99"/>
    <w:rsid w:val="00B2325C"/>
    <w:rsid w:val="00B31D2D"/>
    <w:rsid w:val="00B33E76"/>
    <w:rsid w:val="00B34C72"/>
    <w:rsid w:val="00B35075"/>
    <w:rsid w:val="00B7240B"/>
    <w:rsid w:val="00B81E7B"/>
    <w:rsid w:val="00B9245A"/>
    <w:rsid w:val="00B97C80"/>
    <w:rsid w:val="00BB77F0"/>
    <w:rsid w:val="00BD2018"/>
    <w:rsid w:val="00BE1F42"/>
    <w:rsid w:val="00BF6854"/>
    <w:rsid w:val="00C069A5"/>
    <w:rsid w:val="00C257B4"/>
    <w:rsid w:val="00C2611A"/>
    <w:rsid w:val="00C41BF8"/>
    <w:rsid w:val="00C47A4B"/>
    <w:rsid w:val="00C527BF"/>
    <w:rsid w:val="00C6114E"/>
    <w:rsid w:val="00C71569"/>
    <w:rsid w:val="00C76AD5"/>
    <w:rsid w:val="00C80BBF"/>
    <w:rsid w:val="00C851A6"/>
    <w:rsid w:val="00C945C0"/>
    <w:rsid w:val="00CB73CF"/>
    <w:rsid w:val="00CC01A4"/>
    <w:rsid w:val="00CD3117"/>
    <w:rsid w:val="00D13D49"/>
    <w:rsid w:val="00D1539E"/>
    <w:rsid w:val="00D22A2D"/>
    <w:rsid w:val="00D410EC"/>
    <w:rsid w:val="00D5697C"/>
    <w:rsid w:val="00D64937"/>
    <w:rsid w:val="00D77BE4"/>
    <w:rsid w:val="00D91BC5"/>
    <w:rsid w:val="00D92064"/>
    <w:rsid w:val="00DA56F1"/>
    <w:rsid w:val="00DA7916"/>
    <w:rsid w:val="00DC0835"/>
    <w:rsid w:val="00E03ED5"/>
    <w:rsid w:val="00E16250"/>
    <w:rsid w:val="00E226B8"/>
    <w:rsid w:val="00E270D5"/>
    <w:rsid w:val="00E40188"/>
    <w:rsid w:val="00E51A6D"/>
    <w:rsid w:val="00F07947"/>
    <w:rsid w:val="00F100D9"/>
    <w:rsid w:val="00F14D09"/>
    <w:rsid w:val="00F35395"/>
    <w:rsid w:val="00F530C1"/>
    <w:rsid w:val="00F767F2"/>
    <w:rsid w:val="00F81704"/>
    <w:rsid w:val="00F84689"/>
    <w:rsid w:val="00F90A62"/>
    <w:rsid w:val="00FB3F7A"/>
    <w:rsid w:val="00FC0BA3"/>
    <w:rsid w:val="00FD7003"/>
    <w:rsid w:val="00FE3897"/>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tabs>
        <w:tab w:val="num" w:pos="360"/>
      </w:tabs>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basedOn w:val="Normal"/>
    <w:next w:val="Normal"/>
    <w:link w:val="Titre9Car"/>
    <w:uiPriority w:val="9"/>
    <w:semiHidden/>
    <w:unhideWhenUsed/>
    <w:qFormat/>
    <w:rsid w:val="00C851A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LettrePJGEDA">
    <w:name w:val="- Lettre:P.J.                  GEDA"/>
    <w:basedOn w:val="Normal"/>
    <w:rsid w:val="009A0D8B"/>
    <w:pPr>
      <w:overflowPunct w:val="0"/>
      <w:autoSpaceDE w:val="0"/>
      <w:autoSpaceDN w:val="0"/>
      <w:spacing w:before="80"/>
      <w:ind w:left="851" w:hanging="851"/>
      <w:jc w:val="both"/>
    </w:pPr>
    <w:rPr>
      <w:rFonts w:eastAsiaTheme="minorHAnsi"/>
      <w:lang w:eastAsia="fr-FR"/>
    </w:rPr>
  </w:style>
  <w:style w:type="character" w:customStyle="1" w:styleId="Titre9Car">
    <w:name w:val="Titre 9 Car"/>
    <w:basedOn w:val="Policepardfaut"/>
    <w:link w:val="Titre9"/>
    <w:uiPriority w:val="9"/>
    <w:semiHidden/>
    <w:rsid w:val="00C851A6"/>
    <w:rPr>
      <w:rFonts w:asciiTheme="majorHAnsi" w:eastAsiaTheme="majorEastAsia" w:hAnsiTheme="majorHAnsi" w:cstheme="majorBidi"/>
      <w:i/>
      <w:iCs/>
      <w:color w:val="272727" w:themeColor="text1" w:themeTint="D8"/>
      <w:sz w:val="21"/>
      <w:szCs w:val="21"/>
      <w:lang w:eastAsia="es-ES"/>
    </w:rPr>
  </w:style>
  <w:style w:type="paragraph" w:customStyle="1" w:styleId="default">
    <w:name w:val="default"/>
    <w:basedOn w:val="Normal"/>
    <w:rsid w:val="00351CB9"/>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32742166">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06201898">
      <w:bodyDiv w:val="1"/>
      <w:marLeft w:val="0"/>
      <w:marRight w:val="0"/>
      <w:marTop w:val="0"/>
      <w:marBottom w:val="0"/>
      <w:divBdr>
        <w:top w:val="none" w:sz="0" w:space="0" w:color="auto"/>
        <w:left w:val="none" w:sz="0" w:space="0" w:color="auto"/>
        <w:bottom w:val="none" w:sz="0" w:space="0" w:color="auto"/>
        <w:right w:val="none" w:sz="0" w:space="0" w:color="auto"/>
      </w:divBdr>
    </w:div>
    <w:div w:id="376391571">
      <w:bodyDiv w:val="1"/>
      <w:marLeft w:val="0"/>
      <w:marRight w:val="0"/>
      <w:marTop w:val="0"/>
      <w:marBottom w:val="0"/>
      <w:divBdr>
        <w:top w:val="none" w:sz="0" w:space="0" w:color="auto"/>
        <w:left w:val="none" w:sz="0" w:space="0" w:color="auto"/>
        <w:bottom w:val="none" w:sz="0" w:space="0" w:color="auto"/>
        <w:right w:val="none" w:sz="0" w:space="0" w:color="auto"/>
      </w:divBdr>
    </w:div>
    <w:div w:id="412287706">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440272318">
      <w:bodyDiv w:val="1"/>
      <w:marLeft w:val="0"/>
      <w:marRight w:val="0"/>
      <w:marTop w:val="0"/>
      <w:marBottom w:val="0"/>
      <w:divBdr>
        <w:top w:val="none" w:sz="0" w:space="0" w:color="auto"/>
        <w:left w:val="none" w:sz="0" w:space="0" w:color="auto"/>
        <w:bottom w:val="none" w:sz="0" w:space="0" w:color="auto"/>
        <w:right w:val="none" w:sz="0" w:space="0" w:color="auto"/>
      </w:divBdr>
    </w:div>
    <w:div w:id="442959969">
      <w:bodyDiv w:val="1"/>
      <w:marLeft w:val="0"/>
      <w:marRight w:val="0"/>
      <w:marTop w:val="0"/>
      <w:marBottom w:val="0"/>
      <w:divBdr>
        <w:top w:val="none" w:sz="0" w:space="0" w:color="auto"/>
        <w:left w:val="none" w:sz="0" w:space="0" w:color="auto"/>
        <w:bottom w:val="none" w:sz="0" w:space="0" w:color="auto"/>
        <w:right w:val="none" w:sz="0" w:space="0" w:color="auto"/>
      </w:divBdr>
    </w:div>
    <w:div w:id="462578111">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7922039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590898163">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690568170">
      <w:bodyDiv w:val="1"/>
      <w:marLeft w:val="0"/>
      <w:marRight w:val="0"/>
      <w:marTop w:val="0"/>
      <w:marBottom w:val="0"/>
      <w:divBdr>
        <w:top w:val="none" w:sz="0" w:space="0" w:color="auto"/>
        <w:left w:val="none" w:sz="0" w:space="0" w:color="auto"/>
        <w:bottom w:val="none" w:sz="0" w:space="0" w:color="auto"/>
        <w:right w:val="none" w:sz="0" w:space="0" w:color="auto"/>
      </w:divBdr>
    </w:div>
    <w:div w:id="832069282">
      <w:bodyDiv w:val="1"/>
      <w:marLeft w:val="0"/>
      <w:marRight w:val="0"/>
      <w:marTop w:val="0"/>
      <w:marBottom w:val="0"/>
      <w:divBdr>
        <w:top w:val="none" w:sz="0" w:space="0" w:color="auto"/>
        <w:left w:val="none" w:sz="0" w:space="0" w:color="auto"/>
        <w:bottom w:val="none" w:sz="0" w:space="0" w:color="auto"/>
        <w:right w:val="none" w:sz="0" w:space="0" w:color="auto"/>
      </w:divBdr>
    </w:div>
    <w:div w:id="910114293">
      <w:bodyDiv w:val="1"/>
      <w:marLeft w:val="0"/>
      <w:marRight w:val="0"/>
      <w:marTop w:val="0"/>
      <w:marBottom w:val="0"/>
      <w:divBdr>
        <w:top w:val="none" w:sz="0" w:space="0" w:color="auto"/>
        <w:left w:val="none" w:sz="0" w:space="0" w:color="auto"/>
        <w:bottom w:val="none" w:sz="0" w:space="0" w:color="auto"/>
        <w:right w:val="none" w:sz="0" w:space="0" w:color="auto"/>
      </w:divBdr>
    </w:div>
    <w:div w:id="927230166">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4784970">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27239226">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35375336">
      <w:bodyDiv w:val="1"/>
      <w:marLeft w:val="0"/>
      <w:marRight w:val="0"/>
      <w:marTop w:val="0"/>
      <w:marBottom w:val="0"/>
      <w:divBdr>
        <w:top w:val="none" w:sz="0" w:space="0" w:color="auto"/>
        <w:left w:val="none" w:sz="0" w:space="0" w:color="auto"/>
        <w:bottom w:val="none" w:sz="0" w:space="0" w:color="auto"/>
        <w:right w:val="none" w:sz="0" w:space="0" w:color="auto"/>
      </w:divBdr>
    </w:div>
    <w:div w:id="1342270720">
      <w:bodyDiv w:val="1"/>
      <w:marLeft w:val="0"/>
      <w:marRight w:val="0"/>
      <w:marTop w:val="0"/>
      <w:marBottom w:val="0"/>
      <w:divBdr>
        <w:top w:val="none" w:sz="0" w:space="0" w:color="auto"/>
        <w:left w:val="none" w:sz="0" w:space="0" w:color="auto"/>
        <w:bottom w:val="none" w:sz="0" w:space="0" w:color="auto"/>
        <w:right w:val="none" w:sz="0" w:space="0" w:color="auto"/>
      </w:divBdr>
    </w:div>
    <w:div w:id="1353527676">
      <w:bodyDiv w:val="1"/>
      <w:marLeft w:val="0"/>
      <w:marRight w:val="0"/>
      <w:marTop w:val="0"/>
      <w:marBottom w:val="0"/>
      <w:divBdr>
        <w:top w:val="none" w:sz="0" w:space="0" w:color="auto"/>
        <w:left w:val="none" w:sz="0" w:space="0" w:color="auto"/>
        <w:bottom w:val="none" w:sz="0" w:space="0" w:color="auto"/>
        <w:right w:val="none" w:sz="0" w:space="0" w:color="auto"/>
      </w:divBdr>
    </w:div>
    <w:div w:id="1393581868">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22682463">
      <w:bodyDiv w:val="1"/>
      <w:marLeft w:val="0"/>
      <w:marRight w:val="0"/>
      <w:marTop w:val="0"/>
      <w:marBottom w:val="0"/>
      <w:divBdr>
        <w:top w:val="none" w:sz="0" w:space="0" w:color="auto"/>
        <w:left w:val="none" w:sz="0" w:space="0" w:color="auto"/>
        <w:bottom w:val="none" w:sz="0" w:space="0" w:color="auto"/>
        <w:right w:val="none" w:sz="0" w:space="0" w:color="auto"/>
      </w:divBdr>
    </w:div>
    <w:div w:id="1426731468">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15146373">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27928423">
      <w:bodyDiv w:val="1"/>
      <w:marLeft w:val="0"/>
      <w:marRight w:val="0"/>
      <w:marTop w:val="0"/>
      <w:marBottom w:val="0"/>
      <w:divBdr>
        <w:top w:val="none" w:sz="0" w:space="0" w:color="auto"/>
        <w:left w:val="none" w:sz="0" w:space="0" w:color="auto"/>
        <w:bottom w:val="none" w:sz="0" w:space="0" w:color="auto"/>
        <w:right w:val="none" w:sz="0" w:space="0" w:color="auto"/>
      </w:divBdr>
    </w:div>
    <w:div w:id="1692804829">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816684034">
      <w:bodyDiv w:val="1"/>
      <w:marLeft w:val="0"/>
      <w:marRight w:val="0"/>
      <w:marTop w:val="0"/>
      <w:marBottom w:val="0"/>
      <w:divBdr>
        <w:top w:val="none" w:sz="0" w:space="0" w:color="auto"/>
        <w:left w:val="none" w:sz="0" w:space="0" w:color="auto"/>
        <w:bottom w:val="none" w:sz="0" w:space="0" w:color="auto"/>
        <w:right w:val="none" w:sz="0" w:space="0" w:color="auto"/>
      </w:divBdr>
    </w:div>
    <w:div w:id="1817407924">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23192611">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109503078">
      <w:bodyDiv w:val="1"/>
      <w:marLeft w:val="0"/>
      <w:marRight w:val="0"/>
      <w:marTop w:val="0"/>
      <w:marBottom w:val="0"/>
      <w:divBdr>
        <w:top w:val="none" w:sz="0" w:space="0" w:color="auto"/>
        <w:left w:val="none" w:sz="0" w:space="0" w:color="auto"/>
        <w:bottom w:val="none" w:sz="0" w:space="0" w:color="auto"/>
        <w:right w:val="none" w:sz="0" w:space="0" w:color="auto"/>
      </w:divBdr>
    </w:div>
    <w:div w:id="2116173771">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EB45-EB0C-45B3-8C33-56D9CD6B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3316</Words>
  <Characters>18240</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dcterms:created xsi:type="dcterms:W3CDTF">2021-05-13T00:44:00Z</dcterms:created>
  <dcterms:modified xsi:type="dcterms:W3CDTF">2021-05-13T00:44:00Z</dcterms:modified>
</cp:coreProperties>
</file>