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80" w:type="dxa"/>
          <w:right w:w="80" w:type="dxa"/>
        </w:tblCellMar>
        <w:tblLook w:val="0000" w:firstRow="0" w:lastRow="0" w:firstColumn="0" w:lastColumn="0" w:noHBand="0" w:noVBand="0"/>
      </w:tblPr>
      <w:tblGrid>
        <w:gridCol w:w="4253"/>
        <w:gridCol w:w="5466"/>
      </w:tblGrid>
      <w:tr w:rsidR="00B32AB0">
        <w:trPr>
          <w:cantSplit/>
        </w:trPr>
        <w:tc>
          <w:tcPr>
            <w:tcW w:w="4253" w:type="dxa"/>
            <w:tcBorders>
              <w:top w:val="nil"/>
              <w:left w:val="nil"/>
              <w:bottom w:val="nil"/>
              <w:right w:val="nil"/>
            </w:tcBorders>
          </w:tcPr>
          <w:p w:rsidR="00B32AB0" w:rsidRDefault="00D33461">
            <w:pPr>
              <w:pStyle w:val="-EnteteLogoGEDA"/>
            </w:pPr>
            <w:r>
              <w:rPr>
                <w:noProof/>
              </w:rPr>
              <w:drawing>
                <wp:inline distT="0" distB="0" distL="0" distR="0">
                  <wp:extent cx="542925" cy="542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5466" w:type="dxa"/>
            <w:tcBorders>
              <w:top w:val="nil"/>
              <w:left w:val="nil"/>
              <w:bottom w:val="nil"/>
              <w:right w:val="nil"/>
            </w:tcBorders>
          </w:tcPr>
          <w:p w:rsidR="00B32AB0" w:rsidRDefault="00B32AB0">
            <w:pPr>
              <w:pStyle w:val="-EnteteTitreGEDA"/>
            </w:pPr>
            <w:r>
              <w:br/>
              <w:t>POLYNéSIE FRANçAISE</w:t>
            </w:r>
          </w:p>
        </w:tc>
      </w:tr>
      <w:tr w:rsidR="00B32AB0">
        <w:trPr>
          <w:cantSplit/>
        </w:trPr>
        <w:tc>
          <w:tcPr>
            <w:tcW w:w="4253" w:type="dxa"/>
            <w:tcBorders>
              <w:top w:val="nil"/>
              <w:left w:val="nil"/>
              <w:bottom w:val="nil"/>
              <w:right w:val="nil"/>
            </w:tcBorders>
          </w:tcPr>
          <w:p w:rsidR="00B32AB0" w:rsidRDefault="00B32AB0">
            <w:pPr>
              <w:pStyle w:val="-EnteteRapporteurGEDA"/>
            </w:pPr>
            <w:r>
              <w:fldChar w:fldCharType="begin"/>
            </w:r>
            <w:r>
              <w:instrText xml:space="preserve"> AUTOTEXTLIST  \* MERGEFORMAT </w:instrText>
            </w:r>
            <w:r>
              <w:fldChar w:fldCharType="separate"/>
            </w:r>
            <w:r>
              <w:t xml:space="preserve"> </w:t>
            </w:r>
            <w:bookmarkStart w:id="0" w:name="entete_rapporteur"/>
            <w:r w:rsidR="004A0AC2">
              <w:t>Ministère</w:t>
            </w:r>
            <w:r w:rsidR="004A0AC2">
              <w:br/>
              <w:t>de la sante,</w:t>
            </w:r>
            <w:r w:rsidR="004A0AC2">
              <w:br/>
            </w:r>
            <w:r w:rsidR="004A0AC2">
              <w:rPr>
                <w:i/>
                <w:iCs/>
                <w:caps w:val="0"/>
              </w:rPr>
              <w:t>en charge de la prévention</w:t>
            </w:r>
            <w:bookmarkEnd w:id="0"/>
            <w:r>
              <w:t xml:space="preserve"> </w:t>
            </w:r>
            <w:r>
              <w:fldChar w:fldCharType="end"/>
            </w:r>
          </w:p>
          <w:p w:rsidR="00B32AB0" w:rsidRDefault="00B32AB0">
            <w:pPr>
              <w:pStyle w:val="-EnteteExpditeurGEDA"/>
            </w:pPr>
            <w:bookmarkStart w:id="1" w:name="lettre_expediteur"/>
            <w:r>
              <w:t>Le Ministre</w:t>
            </w:r>
            <w:bookmarkEnd w:id="1"/>
          </w:p>
        </w:tc>
        <w:tc>
          <w:tcPr>
            <w:tcW w:w="5466" w:type="dxa"/>
            <w:tcBorders>
              <w:top w:val="nil"/>
              <w:left w:val="nil"/>
              <w:bottom w:val="nil"/>
              <w:right w:val="nil"/>
            </w:tcBorders>
          </w:tcPr>
          <w:p w:rsidR="00B32AB0" w:rsidRDefault="00B32AB0">
            <w:pPr>
              <w:pStyle w:val="-EnteteNumRegGEDA"/>
            </w:pPr>
            <w:r>
              <w:tab/>
              <w:t>N°</w:t>
            </w:r>
            <w:r>
              <w:tab/>
            </w:r>
            <w:r w:rsidR="00791577">
              <w:t>2 227</w:t>
            </w:r>
            <w:r>
              <w:tab/>
              <w:t xml:space="preserve"> / </w:t>
            </w:r>
            <w:bookmarkStart w:id="2" w:name="entete_num_reg"/>
            <w:r w:rsidR="004A0AC2">
              <w:t>MSP</w:t>
            </w:r>
            <w:bookmarkEnd w:id="2"/>
          </w:p>
          <w:p w:rsidR="00B32AB0" w:rsidRDefault="00B32AB0">
            <w:pPr>
              <w:pStyle w:val="-EnteteNORGEDA"/>
              <w:rPr>
                <w:lang w:val="en-GB"/>
              </w:rPr>
            </w:pPr>
          </w:p>
          <w:p w:rsidR="00B32AB0" w:rsidRDefault="00B32AB0">
            <w:pPr>
              <w:pStyle w:val="-EnteteLieuetdateGEDA"/>
            </w:pPr>
            <w:r>
              <w:rPr>
                <w:caps/>
              </w:rPr>
              <w:t>P</w:t>
            </w:r>
            <w:r>
              <w:t xml:space="preserve">apeete, le </w:t>
            </w:r>
            <w:r w:rsidR="00D33461">
              <w:t>09 décembre 2020</w:t>
            </w:r>
          </w:p>
          <w:p w:rsidR="00D33461" w:rsidRDefault="00D33461">
            <w:pPr>
              <w:pStyle w:val="-EnteteLieuetdateGEDA"/>
            </w:pPr>
          </w:p>
        </w:tc>
      </w:tr>
    </w:tbl>
    <w:p w:rsidR="00D33461" w:rsidRDefault="00791577" w:rsidP="00D33461">
      <w:pPr>
        <w:pStyle w:val="-LettreTexteGEDA"/>
        <w:spacing w:before="0"/>
        <w:ind w:firstLine="0"/>
        <w:jc w:val="center"/>
        <w:rPr>
          <w:rFonts w:eastAsia="Arial Unicode MS"/>
          <w:b/>
          <w:bCs/>
          <w:sz w:val="26"/>
          <w:szCs w:val="26"/>
        </w:rPr>
      </w:pPr>
      <w:r>
        <w:rPr>
          <w:rFonts w:eastAsia="Arial Unicode MS"/>
          <w:b/>
          <w:bCs/>
          <w:sz w:val="26"/>
          <w:szCs w:val="26"/>
        </w:rPr>
        <w:t>Session budgétaire</w:t>
      </w:r>
      <w:r w:rsidR="00D33461">
        <w:rPr>
          <w:rFonts w:eastAsia="Arial Unicode MS"/>
          <w:b/>
          <w:bCs/>
          <w:sz w:val="26"/>
          <w:szCs w:val="26"/>
        </w:rPr>
        <w:t xml:space="preserve"> à l’Assemblée de la Polynésie française</w:t>
      </w:r>
    </w:p>
    <w:p w:rsidR="00D33461" w:rsidRDefault="00791577" w:rsidP="00D33461">
      <w:pPr>
        <w:pStyle w:val="-LettreTexteGEDA"/>
        <w:spacing w:before="0"/>
        <w:ind w:firstLine="0"/>
        <w:jc w:val="center"/>
        <w:rPr>
          <w:rFonts w:eastAsia="Arial Unicode MS"/>
          <w:b/>
          <w:bCs/>
          <w:sz w:val="26"/>
          <w:szCs w:val="26"/>
        </w:rPr>
      </w:pPr>
      <w:r>
        <w:rPr>
          <w:rFonts w:eastAsia="Arial Unicode MS"/>
          <w:b/>
          <w:bCs/>
          <w:sz w:val="26"/>
          <w:szCs w:val="26"/>
        </w:rPr>
        <w:t>(7</w:t>
      </w:r>
      <w:r w:rsidRPr="00791577">
        <w:rPr>
          <w:rFonts w:eastAsia="Arial Unicode MS"/>
          <w:b/>
          <w:bCs/>
          <w:sz w:val="26"/>
          <w:szCs w:val="26"/>
          <w:vertAlign w:val="superscript"/>
        </w:rPr>
        <w:t>ème</w:t>
      </w:r>
      <w:r>
        <w:rPr>
          <w:rFonts w:eastAsia="Arial Unicode MS"/>
          <w:b/>
          <w:bCs/>
          <w:sz w:val="26"/>
          <w:szCs w:val="26"/>
        </w:rPr>
        <w:t xml:space="preserve"> séance - </w:t>
      </w:r>
      <w:r w:rsidR="00D33461">
        <w:rPr>
          <w:rFonts w:eastAsia="Arial Unicode MS"/>
          <w:b/>
          <w:bCs/>
          <w:sz w:val="26"/>
          <w:szCs w:val="26"/>
        </w:rPr>
        <w:t>Jeudi 10 décembre 2020</w:t>
      </w:r>
      <w:r>
        <w:rPr>
          <w:rFonts w:eastAsia="Arial Unicode MS"/>
          <w:b/>
          <w:bCs/>
          <w:sz w:val="26"/>
          <w:szCs w:val="26"/>
        </w:rPr>
        <w:t>)</w:t>
      </w:r>
    </w:p>
    <w:p w:rsidR="00D33461" w:rsidRDefault="00D33461" w:rsidP="00D33461">
      <w:pPr>
        <w:pStyle w:val="-LettreTexteGEDA"/>
        <w:spacing w:before="0"/>
        <w:ind w:firstLine="0"/>
        <w:jc w:val="center"/>
        <w:rPr>
          <w:rFonts w:eastAsia="Arial Unicode MS"/>
          <w:sz w:val="26"/>
          <w:szCs w:val="26"/>
        </w:rPr>
      </w:pPr>
      <w:r>
        <w:rPr>
          <w:rFonts w:eastAsia="Arial Unicode MS"/>
          <w:sz w:val="26"/>
          <w:szCs w:val="26"/>
        </w:rPr>
        <w:t>-----------------</w:t>
      </w:r>
    </w:p>
    <w:p w:rsidR="00D33461" w:rsidRDefault="00D33461" w:rsidP="00D33461">
      <w:pPr>
        <w:pStyle w:val="-LettreTexteGEDA"/>
        <w:spacing w:before="0"/>
        <w:ind w:firstLine="0"/>
        <w:jc w:val="center"/>
        <w:rPr>
          <w:b/>
          <w:sz w:val="26"/>
          <w:szCs w:val="26"/>
        </w:rPr>
      </w:pPr>
      <w:r>
        <w:rPr>
          <w:b/>
          <w:sz w:val="26"/>
          <w:szCs w:val="26"/>
        </w:rPr>
        <w:t xml:space="preserve">REPONSE </w:t>
      </w:r>
    </w:p>
    <w:p w:rsidR="00D33461" w:rsidRDefault="00D33461" w:rsidP="00D33461">
      <w:pPr>
        <w:pStyle w:val="-LettreTexteGEDA"/>
        <w:spacing w:before="0"/>
        <w:ind w:firstLine="0"/>
        <w:jc w:val="center"/>
        <w:rPr>
          <w:b/>
          <w:sz w:val="26"/>
          <w:szCs w:val="26"/>
        </w:rPr>
      </w:pPr>
      <w:r>
        <w:rPr>
          <w:b/>
          <w:sz w:val="26"/>
          <w:szCs w:val="26"/>
        </w:rPr>
        <w:t>à la question orale présentée par Monsieur Charles FONG LOI</w:t>
      </w:r>
    </w:p>
    <w:p w:rsidR="00D33461" w:rsidRDefault="00D33461" w:rsidP="00D33461">
      <w:pPr>
        <w:pStyle w:val="-LettreTexteGEDA"/>
        <w:spacing w:before="0"/>
        <w:ind w:firstLine="0"/>
        <w:jc w:val="center"/>
        <w:rPr>
          <w:b/>
          <w:sz w:val="26"/>
          <w:szCs w:val="26"/>
        </w:rPr>
      </w:pPr>
      <w:r>
        <w:rPr>
          <w:b/>
          <w:sz w:val="26"/>
          <w:szCs w:val="26"/>
        </w:rPr>
        <w:t xml:space="preserve">Représentant du groupe « TAPURA HUIRAATIRA » </w:t>
      </w:r>
    </w:p>
    <w:p w:rsidR="00D33461" w:rsidRDefault="00D33461" w:rsidP="00D33461">
      <w:pPr>
        <w:pStyle w:val="-LettreTexteGEDA"/>
        <w:spacing w:before="0"/>
        <w:ind w:firstLine="0"/>
        <w:jc w:val="center"/>
        <w:rPr>
          <w:b/>
          <w:sz w:val="26"/>
          <w:szCs w:val="26"/>
        </w:rPr>
      </w:pPr>
      <w:r>
        <w:rPr>
          <w:b/>
          <w:sz w:val="26"/>
          <w:szCs w:val="26"/>
        </w:rPr>
        <w:t>à l’Assemblée de la Polynésie française</w:t>
      </w:r>
    </w:p>
    <w:p w:rsidR="00D33461" w:rsidRDefault="00D33461" w:rsidP="00D33461">
      <w:pPr>
        <w:pStyle w:val="-LettreObjetGEDA"/>
        <w:tabs>
          <w:tab w:val="left" w:pos="709"/>
          <w:tab w:val="left" w:pos="993"/>
        </w:tabs>
        <w:spacing w:before="360"/>
        <w:rPr>
          <w:noProof w:val="0"/>
          <w:sz w:val="26"/>
          <w:szCs w:val="26"/>
        </w:rPr>
      </w:pPr>
      <w:r>
        <w:rPr>
          <w:b/>
          <w:bCs/>
          <w:noProof w:val="0"/>
          <w:sz w:val="26"/>
          <w:szCs w:val="26"/>
          <w:u w:val="single"/>
        </w:rPr>
        <w:t>Objet</w:t>
      </w:r>
      <w:r>
        <w:rPr>
          <w:b/>
          <w:bCs/>
          <w:noProof w:val="0"/>
          <w:sz w:val="26"/>
          <w:szCs w:val="26"/>
        </w:rPr>
        <w:t> </w:t>
      </w:r>
      <w:r>
        <w:rPr>
          <w:b/>
          <w:bCs/>
          <w:noProof w:val="0"/>
          <w:sz w:val="26"/>
          <w:szCs w:val="26"/>
        </w:rPr>
        <w:tab/>
        <w:t xml:space="preserve">: </w:t>
      </w:r>
      <w:r>
        <w:rPr>
          <w:b/>
          <w:bCs/>
          <w:noProof w:val="0"/>
          <w:sz w:val="26"/>
          <w:szCs w:val="26"/>
        </w:rPr>
        <w:tab/>
      </w:r>
      <w:r>
        <w:rPr>
          <w:noProof w:val="0"/>
          <w:sz w:val="26"/>
          <w:szCs w:val="26"/>
        </w:rPr>
        <w:t>Vaccins pour la lutte contre la covid-19</w:t>
      </w:r>
    </w:p>
    <w:p w:rsidR="00D33461" w:rsidRDefault="00D33461" w:rsidP="00D33461">
      <w:pPr>
        <w:pStyle w:val="-LettreSuiteORefPJGEDA"/>
      </w:pPr>
    </w:p>
    <w:p w:rsidR="00D33461" w:rsidRPr="00D33461" w:rsidRDefault="00D33461" w:rsidP="00D33461">
      <w:pPr>
        <w:overflowPunct w:val="0"/>
        <w:autoSpaceDE w:val="0"/>
        <w:autoSpaceDN w:val="0"/>
        <w:adjustRightInd w:val="0"/>
        <w:ind w:firstLine="851"/>
        <w:jc w:val="both"/>
        <w:textAlignment w:val="baseline"/>
        <w:rPr>
          <w:sz w:val="26"/>
          <w:szCs w:val="26"/>
        </w:rPr>
      </w:pPr>
      <w:r w:rsidRPr="00D33461">
        <w:rPr>
          <w:sz w:val="26"/>
          <w:szCs w:val="26"/>
        </w:rPr>
        <w:t>Monsieur le Représentant,</w:t>
      </w:r>
    </w:p>
    <w:p w:rsidR="00D33461" w:rsidRPr="00D33461" w:rsidRDefault="00D33461" w:rsidP="00D33461">
      <w:pPr>
        <w:overflowPunct w:val="0"/>
        <w:autoSpaceDE w:val="0"/>
        <w:autoSpaceDN w:val="0"/>
        <w:adjustRightInd w:val="0"/>
        <w:spacing w:before="120"/>
        <w:ind w:firstLine="851"/>
        <w:jc w:val="both"/>
        <w:textAlignment w:val="baseline"/>
        <w:rPr>
          <w:sz w:val="26"/>
          <w:szCs w:val="26"/>
        </w:rPr>
      </w:pPr>
      <w:r w:rsidRPr="00D33461">
        <w:rPr>
          <w:sz w:val="26"/>
          <w:szCs w:val="26"/>
        </w:rPr>
        <w:t>Votre question orale porte sur la campagne vaccinale qui va être mise en place par le Pays dans le cadre de la gestion de l’épidémie à covid-19.</w:t>
      </w:r>
    </w:p>
    <w:p w:rsidR="00D33461" w:rsidRPr="00D33461" w:rsidRDefault="00D33461" w:rsidP="00D33461">
      <w:pPr>
        <w:overflowPunct w:val="0"/>
        <w:autoSpaceDE w:val="0"/>
        <w:autoSpaceDN w:val="0"/>
        <w:adjustRightInd w:val="0"/>
        <w:spacing w:before="120"/>
        <w:ind w:firstLine="851"/>
        <w:jc w:val="both"/>
        <w:textAlignment w:val="baseline"/>
        <w:rPr>
          <w:sz w:val="26"/>
          <w:szCs w:val="26"/>
        </w:rPr>
      </w:pPr>
      <w:r w:rsidRPr="00D33461">
        <w:rPr>
          <w:sz w:val="26"/>
          <w:szCs w:val="26"/>
        </w:rPr>
        <w:t xml:space="preserve">Plusieurs vaccins sont en cours de développement. A ce jour, trois de ces vaccins vont pouvoir disposer d’une autorisation de mise sur le marché compte tenu des critères d’innocuité et d’efficacité de ces médicaments selon les essais cliniques réalisés. Il s’agit des vaccins des laboratoires Pfizer, </w:t>
      </w:r>
      <w:proofErr w:type="spellStart"/>
      <w:r w:rsidRPr="00D33461">
        <w:rPr>
          <w:sz w:val="26"/>
          <w:szCs w:val="26"/>
        </w:rPr>
        <w:t>Moderna</w:t>
      </w:r>
      <w:proofErr w:type="spellEnd"/>
      <w:r w:rsidRPr="00D33461">
        <w:rPr>
          <w:sz w:val="26"/>
          <w:szCs w:val="26"/>
        </w:rPr>
        <w:t xml:space="preserve"> et Astra-</w:t>
      </w:r>
      <w:proofErr w:type="spellStart"/>
      <w:r w:rsidRPr="00D33461">
        <w:rPr>
          <w:sz w:val="26"/>
          <w:szCs w:val="26"/>
        </w:rPr>
        <w:t>zeneca</w:t>
      </w:r>
      <w:proofErr w:type="spellEnd"/>
      <w:r w:rsidRPr="00D33461">
        <w:rPr>
          <w:sz w:val="26"/>
          <w:szCs w:val="26"/>
        </w:rPr>
        <w:t>.</w:t>
      </w:r>
    </w:p>
    <w:p w:rsidR="00D33461" w:rsidRPr="00D33461" w:rsidRDefault="00D33461" w:rsidP="00D33461">
      <w:pPr>
        <w:overflowPunct w:val="0"/>
        <w:autoSpaceDE w:val="0"/>
        <w:autoSpaceDN w:val="0"/>
        <w:adjustRightInd w:val="0"/>
        <w:spacing w:before="120"/>
        <w:ind w:firstLine="851"/>
        <w:jc w:val="both"/>
        <w:textAlignment w:val="baseline"/>
        <w:rPr>
          <w:sz w:val="26"/>
          <w:szCs w:val="26"/>
        </w:rPr>
      </w:pPr>
      <w:r w:rsidRPr="00D33461">
        <w:rPr>
          <w:sz w:val="26"/>
          <w:szCs w:val="26"/>
        </w:rPr>
        <w:t>L’Etat a proposé de pouvoir faire bénéficier la Polynésie française d’une partie des doses achetées par la France dans le cadre de la communauté européenne afin de mettre en œuvre sa stratégie vaccinale.</w:t>
      </w:r>
    </w:p>
    <w:p w:rsidR="00D33461" w:rsidRPr="00D33461" w:rsidRDefault="00D33461" w:rsidP="00D33461">
      <w:pPr>
        <w:overflowPunct w:val="0"/>
        <w:autoSpaceDE w:val="0"/>
        <w:autoSpaceDN w:val="0"/>
        <w:adjustRightInd w:val="0"/>
        <w:spacing w:before="120"/>
        <w:ind w:firstLine="851"/>
        <w:jc w:val="both"/>
        <w:textAlignment w:val="baseline"/>
        <w:rPr>
          <w:sz w:val="26"/>
          <w:szCs w:val="26"/>
        </w:rPr>
      </w:pPr>
      <w:r w:rsidRPr="00D33461">
        <w:rPr>
          <w:sz w:val="26"/>
          <w:szCs w:val="26"/>
        </w:rPr>
        <w:t>Ainsi, la population polynésienne devrait pouvoir très prochainement pouvoir bénéficier d’une vaccination gratuite. La vaccination sera possible notamment dans les centres de santé et dispensaires, ainsi que dans les centres de dépistages que la direction de la santé a récemment mis en place dans les îles de Tahiti et Moorea.</w:t>
      </w:r>
    </w:p>
    <w:p w:rsidR="00D33461" w:rsidRPr="00D33461" w:rsidRDefault="00D33461" w:rsidP="00D33461">
      <w:pPr>
        <w:overflowPunct w:val="0"/>
        <w:autoSpaceDE w:val="0"/>
        <w:autoSpaceDN w:val="0"/>
        <w:adjustRightInd w:val="0"/>
        <w:spacing w:before="120"/>
        <w:ind w:firstLine="851"/>
        <w:jc w:val="both"/>
        <w:textAlignment w:val="baseline"/>
        <w:rPr>
          <w:sz w:val="26"/>
          <w:szCs w:val="26"/>
        </w:rPr>
      </w:pPr>
      <w:r w:rsidRPr="00D33461">
        <w:rPr>
          <w:sz w:val="26"/>
          <w:szCs w:val="26"/>
        </w:rPr>
        <w:t>Pour l’organisation pratique de la vaccination, il sera nécessaire de prioriser de la manière suivante : priorité aux personnels de santé nécessaires à la prise en charge des patients, aux populations vulnérables puis aux personnels des services et activités essentiels au fonctionnement du Pays.</w:t>
      </w:r>
    </w:p>
    <w:p w:rsidR="00D33461" w:rsidRPr="00D33461" w:rsidRDefault="00D33461" w:rsidP="00D33461">
      <w:pPr>
        <w:overflowPunct w:val="0"/>
        <w:autoSpaceDE w:val="0"/>
        <w:autoSpaceDN w:val="0"/>
        <w:adjustRightInd w:val="0"/>
        <w:spacing w:before="120"/>
        <w:ind w:firstLine="851"/>
        <w:jc w:val="both"/>
        <w:textAlignment w:val="baseline"/>
        <w:rPr>
          <w:sz w:val="26"/>
          <w:szCs w:val="26"/>
        </w:rPr>
      </w:pPr>
      <w:r w:rsidRPr="00D33461">
        <w:rPr>
          <w:sz w:val="26"/>
          <w:szCs w:val="26"/>
        </w:rPr>
        <w:t>Concernant le coût de ce dispositif, les vaccins sont annoncés avec un coût à priori de :</w:t>
      </w:r>
    </w:p>
    <w:p w:rsidR="00D33461" w:rsidRPr="00D33461" w:rsidRDefault="00D33461" w:rsidP="00D33461">
      <w:pPr>
        <w:numPr>
          <w:ilvl w:val="0"/>
          <w:numId w:val="11"/>
        </w:numPr>
        <w:overflowPunct w:val="0"/>
        <w:autoSpaceDE w:val="0"/>
        <w:autoSpaceDN w:val="0"/>
        <w:adjustRightInd w:val="0"/>
        <w:spacing w:before="120"/>
        <w:jc w:val="both"/>
        <w:textAlignment w:val="baseline"/>
        <w:rPr>
          <w:sz w:val="26"/>
          <w:szCs w:val="26"/>
        </w:rPr>
      </w:pPr>
      <w:r w:rsidRPr="00D33461">
        <w:rPr>
          <w:sz w:val="26"/>
          <w:szCs w:val="26"/>
        </w:rPr>
        <w:t xml:space="preserve">2,50 euros la dose pour le vaccin Astra-Zeneca, </w:t>
      </w:r>
    </w:p>
    <w:p w:rsidR="00D33461" w:rsidRPr="00D33461" w:rsidRDefault="00D33461" w:rsidP="00D33461">
      <w:pPr>
        <w:numPr>
          <w:ilvl w:val="0"/>
          <w:numId w:val="11"/>
        </w:numPr>
        <w:overflowPunct w:val="0"/>
        <w:autoSpaceDE w:val="0"/>
        <w:autoSpaceDN w:val="0"/>
        <w:adjustRightInd w:val="0"/>
        <w:ind w:left="1208" w:hanging="357"/>
        <w:jc w:val="both"/>
        <w:textAlignment w:val="baseline"/>
        <w:rPr>
          <w:sz w:val="26"/>
          <w:szCs w:val="26"/>
        </w:rPr>
      </w:pPr>
      <w:r w:rsidRPr="00D33461">
        <w:rPr>
          <w:sz w:val="26"/>
          <w:szCs w:val="26"/>
        </w:rPr>
        <w:t>20 dollars pour celui de Pfizer,</w:t>
      </w:r>
    </w:p>
    <w:p w:rsidR="00D33461" w:rsidRPr="00D33461" w:rsidRDefault="00D33461" w:rsidP="00D33461">
      <w:pPr>
        <w:numPr>
          <w:ilvl w:val="0"/>
          <w:numId w:val="11"/>
        </w:numPr>
        <w:overflowPunct w:val="0"/>
        <w:autoSpaceDE w:val="0"/>
        <w:autoSpaceDN w:val="0"/>
        <w:adjustRightInd w:val="0"/>
        <w:ind w:left="1208" w:hanging="357"/>
        <w:jc w:val="both"/>
        <w:textAlignment w:val="baseline"/>
        <w:rPr>
          <w:sz w:val="26"/>
          <w:szCs w:val="26"/>
        </w:rPr>
      </w:pPr>
      <w:proofErr w:type="gramStart"/>
      <w:r w:rsidRPr="00D33461">
        <w:rPr>
          <w:sz w:val="26"/>
          <w:szCs w:val="26"/>
        </w:rPr>
        <w:t>et</w:t>
      </w:r>
      <w:proofErr w:type="gramEnd"/>
      <w:r w:rsidRPr="00D33461">
        <w:rPr>
          <w:sz w:val="26"/>
          <w:szCs w:val="26"/>
        </w:rPr>
        <w:t xml:space="preserve"> 32 à 37 dollars pour celui de </w:t>
      </w:r>
      <w:proofErr w:type="spellStart"/>
      <w:r w:rsidRPr="00D33461">
        <w:rPr>
          <w:sz w:val="26"/>
          <w:szCs w:val="26"/>
        </w:rPr>
        <w:t>Moderna</w:t>
      </w:r>
      <w:proofErr w:type="spellEnd"/>
      <w:r w:rsidRPr="00D33461">
        <w:rPr>
          <w:sz w:val="26"/>
          <w:szCs w:val="26"/>
        </w:rPr>
        <w:t xml:space="preserve">. </w:t>
      </w:r>
    </w:p>
    <w:p w:rsidR="00D33461" w:rsidRPr="00D33461" w:rsidRDefault="00D33461" w:rsidP="00D33461">
      <w:pPr>
        <w:overflowPunct w:val="0"/>
        <w:autoSpaceDE w:val="0"/>
        <w:autoSpaceDN w:val="0"/>
        <w:adjustRightInd w:val="0"/>
        <w:spacing w:before="120"/>
        <w:ind w:firstLine="851"/>
        <w:jc w:val="both"/>
        <w:textAlignment w:val="baseline"/>
        <w:rPr>
          <w:sz w:val="26"/>
          <w:szCs w:val="26"/>
        </w:rPr>
      </w:pPr>
      <w:r w:rsidRPr="00D33461">
        <w:rPr>
          <w:sz w:val="26"/>
          <w:szCs w:val="26"/>
        </w:rPr>
        <w:lastRenderedPageBreak/>
        <w:t>Chaque personne devra recevoir 2 injections à 4 semaines d’intervalles pour avoir une vaccination complète. Ainsi, le coût est estimé à ce jour est de 600 millions de francs pacifique hors coût d’organisation.</w:t>
      </w:r>
    </w:p>
    <w:p w:rsidR="00D33461" w:rsidRPr="00D33461" w:rsidRDefault="00D33461" w:rsidP="00D33461">
      <w:pPr>
        <w:overflowPunct w:val="0"/>
        <w:autoSpaceDE w:val="0"/>
        <w:autoSpaceDN w:val="0"/>
        <w:adjustRightInd w:val="0"/>
        <w:spacing w:before="120"/>
        <w:ind w:firstLine="851"/>
        <w:jc w:val="both"/>
        <w:textAlignment w:val="baseline"/>
        <w:rPr>
          <w:sz w:val="26"/>
          <w:szCs w:val="26"/>
        </w:rPr>
      </w:pPr>
      <w:bookmarkStart w:id="3" w:name="_GoBack"/>
      <w:bookmarkEnd w:id="3"/>
      <w:r w:rsidRPr="00D33461">
        <w:rPr>
          <w:sz w:val="26"/>
          <w:szCs w:val="26"/>
        </w:rPr>
        <w:t xml:space="preserve">Tels sont les premiers éléments dont je peux vous faire part sur la stratégie vaccinale mise en place par le Pays. </w:t>
      </w:r>
    </w:p>
    <w:p w:rsidR="00D33461" w:rsidRPr="00D33461" w:rsidRDefault="00D33461" w:rsidP="00D33461">
      <w:pPr>
        <w:pStyle w:val="-LettreSuiteORefPJGEDA"/>
      </w:pPr>
    </w:p>
    <w:p w:rsidR="00D33461" w:rsidRDefault="00D33461">
      <w:pPr>
        <w:pStyle w:val="-LettreTexteGEDA"/>
        <w:rPr>
          <w:noProof w:val="0"/>
        </w:rPr>
      </w:pPr>
    </w:p>
    <w:tbl>
      <w:tblPr>
        <w:tblW w:w="9753" w:type="dxa"/>
        <w:tblInd w:w="-1" w:type="dxa"/>
        <w:tblLayout w:type="fixed"/>
        <w:tblCellMar>
          <w:left w:w="79" w:type="dxa"/>
          <w:right w:w="79" w:type="dxa"/>
        </w:tblCellMar>
        <w:tblLook w:val="0000" w:firstRow="0" w:lastRow="0" w:firstColumn="0" w:lastColumn="0" w:noHBand="0" w:noVBand="0"/>
      </w:tblPr>
      <w:tblGrid>
        <w:gridCol w:w="907"/>
        <w:gridCol w:w="4423"/>
        <w:gridCol w:w="4423"/>
      </w:tblGrid>
      <w:tr w:rsidR="00B32AB0">
        <w:trPr>
          <w:cantSplit/>
        </w:trPr>
        <w:tc>
          <w:tcPr>
            <w:tcW w:w="907" w:type="dxa"/>
            <w:tcBorders>
              <w:top w:val="nil"/>
              <w:left w:val="nil"/>
              <w:bottom w:val="nil"/>
              <w:right w:val="nil"/>
            </w:tcBorders>
          </w:tcPr>
          <w:p w:rsidR="00B32AB0" w:rsidRDefault="00B32AB0">
            <w:pPr>
              <w:pStyle w:val="-LettreCopiesGEDA"/>
            </w:pPr>
          </w:p>
        </w:tc>
        <w:tc>
          <w:tcPr>
            <w:tcW w:w="4423" w:type="dxa"/>
            <w:tcBorders>
              <w:top w:val="nil"/>
              <w:left w:val="nil"/>
              <w:bottom w:val="nil"/>
              <w:right w:val="nil"/>
            </w:tcBorders>
          </w:tcPr>
          <w:p w:rsidR="00B32AB0" w:rsidRDefault="00B32AB0">
            <w:pPr>
              <w:pStyle w:val="-DiversLigneinvisibleGEDA"/>
              <w:rPr>
                <w:noProof w:val="0"/>
              </w:rPr>
            </w:pPr>
          </w:p>
        </w:tc>
        <w:tc>
          <w:tcPr>
            <w:tcW w:w="4423" w:type="dxa"/>
            <w:tcBorders>
              <w:top w:val="nil"/>
              <w:left w:val="nil"/>
              <w:bottom w:val="nil"/>
              <w:right w:val="nil"/>
            </w:tcBorders>
          </w:tcPr>
          <w:p w:rsidR="00B32AB0" w:rsidRDefault="00B32AB0">
            <w:pPr>
              <w:pStyle w:val="-SignataireNomGEDA"/>
              <w:rPr>
                <w:b/>
                <w:sz w:val="18"/>
              </w:rPr>
            </w:pPr>
            <w:r>
              <w:fldChar w:fldCharType="begin"/>
            </w:r>
            <w:r>
              <w:instrText xml:space="preserve"> AUTOTEXTLIST  \* MERGEFORMAT </w:instrText>
            </w:r>
            <w:r>
              <w:fldChar w:fldCharType="separate"/>
            </w:r>
            <w:r>
              <w:t xml:space="preserve"> </w:t>
            </w:r>
            <w:bookmarkStart w:id="4" w:name="signataire_nom"/>
            <w:r w:rsidR="004A0AC2">
              <w:t>Jacques RAYNAL</w:t>
            </w:r>
            <w:bookmarkEnd w:id="4"/>
            <w:r>
              <w:t xml:space="preserve"> </w:t>
            </w:r>
            <w:r>
              <w:fldChar w:fldCharType="end"/>
            </w:r>
          </w:p>
        </w:tc>
      </w:tr>
    </w:tbl>
    <w:p w:rsidR="00B32AB0" w:rsidRDefault="00B32AB0">
      <w:pPr>
        <w:pStyle w:val="Titre"/>
        <w:rPr>
          <w:rFonts w:eastAsia="Arial Unicode MS"/>
          <w:sz w:val="2"/>
        </w:rPr>
      </w:pPr>
    </w:p>
    <w:p w:rsidR="00B32AB0" w:rsidRDefault="00B32AB0">
      <w:pPr>
        <w:pStyle w:val="Titre"/>
        <w:rPr>
          <w:rFonts w:eastAsia="Arial Unicode MS"/>
          <w:sz w:val="2"/>
        </w:rPr>
      </w:pPr>
    </w:p>
    <w:sectPr w:rsidR="00B32AB0">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461" w:rsidRDefault="00D33461">
      <w:r>
        <w:separator/>
      </w:r>
    </w:p>
  </w:endnote>
  <w:endnote w:type="continuationSeparator" w:id="0">
    <w:p w:rsidR="00D33461" w:rsidRDefault="00D3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B32AB0">
      <w:trPr>
        <w:hidden/>
      </w:trPr>
      <w:tc>
        <w:tcPr>
          <w:tcW w:w="4875" w:type="dxa"/>
          <w:tcBorders>
            <w:top w:val="nil"/>
            <w:left w:val="nil"/>
            <w:bottom w:val="nil"/>
            <w:right w:val="nil"/>
          </w:tcBorders>
        </w:tcPr>
        <w:p w:rsidR="00B32AB0" w:rsidRDefault="00B32AB0">
          <w:pPr>
            <w:pStyle w:val="-DiversLigneinvisibleGEDA"/>
          </w:pPr>
        </w:p>
      </w:tc>
      <w:tc>
        <w:tcPr>
          <w:tcW w:w="4875" w:type="dxa"/>
          <w:tcBorders>
            <w:top w:val="nil"/>
            <w:left w:val="nil"/>
            <w:bottom w:val="nil"/>
            <w:right w:val="nil"/>
          </w:tcBorders>
        </w:tcPr>
        <w:p w:rsidR="00B32AB0" w:rsidRDefault="00B32AB0">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2</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noProof/>
              <w:sz w:val="20"/>
            </w:rPr>
            <w:t>1</w:t>
          </w:r>
          <w:r>
            <w:rPr>
              <w:rStyle w:val="Numrodepage"/>
              <w:sz w:val="20"/>
            </w:rPr>
            <w:fldChar w:fldCharType="end"/>
          </w:r>
        </w:p>
      </w:tc>
    </w:tr>
  </w:tbl>
  <w:p w:rsidR="00B32AB0" w:rsidRDefault="00B32AB0">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AB0" w:rsidRDefault="004A0AC2">
    <w:pPr>
      <w:pStyle w:val="-PPAdresseGEDA"/>
    </w:pPr>
    <w:bookmarkStart w:id="5" w:name="pp_adresse"/>
    <w:r>
      <w:t>B.P. 2551, 98713 Papeete - TAHITI, Polynésie française - Rue des Poilus Tahitiens, à l’étage de la Direction de la santé</w:t>
    </w:r>
    <w:r>
      <w:br/>
      <w:t>Tél. : 40 46 00 92 - Fax. : 40 46 00 14 - secretariat@sante.min.gov.pf</w:t>
    </w:r>
    <w:bookmarkEnd w:id="5"/>
  </w:p>
  <w:p w:rsidR="00B32AB0" w:rsidRDefault="00B32AB0">
    <w:pPr>
      <w:pStyle w:val="-DiversLigneinvisibleGEDA"/>
    </w:pPr>
  </w:p>
  <w:p w:rsidR="00B32AB0" w:rsidRDefault="00B32AB0">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461" w:rsidRDefault="00D33461">
      <w:r>
        <w:separator/>
      </w:r>
    </w:p>
  </w:footnote>
  <w:footnote w:type="continuationSeparator" w:id="0">
    <w:p w:rsidR="00D33461" w:rsidRDefault="00D33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1" w15:restartNumberingAfterBreak="0">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2" w15:restartNumberingAfterBreak="0">
    <w:nsid w:val="275059D0"/>
    <w:multiLevelType w:val="hybridMultilevel"/>
    <w:tmpl w:val="78AA847E"/>
    <w:lvl w:ilvl="0" w:tplc="F6E07E0E">
      <w:start w:val="2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15:restartNumberingAfterBreak="0">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5"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AE273DF"/>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7" w15:restartNumberingAfterBreak="0">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8" w15:restartNumberingAfterBreak="0">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9" w15:restartNumberingAfterBreak="0">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0"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5"/>
  </w:num>
  <w:num w:numId="2">
    <w:abstractNumId w:val="8"/>
  </w:num>
  <w:num w:numId="3">
    <w:abstractNumId w:val="1"/>
  </w:num>
  <w:num w:numId="4">
    <w:abstractNumId w:val="7"/>
  </w:num>
  <w:num w:numId="5">
    <w:abstractNumId w:val="4"/>
  </w:num>
  <w:num w:numId="6">
    <w:abstractNumId w:val="9"/>
  </w:num>
  <w:num w:numId="7">
    <w:abstractNumId w:val="0"/>
  </w:num>
  <w:num w:numId="8">
    <w:abstractNumId w:val="3"/>
  </w:num>
  <w:num w:numId="9">
    <w:abstractNumId w:val="10"/>
  </w:num>
  <w:num w:numId="10">
    <w:abstractNumId w:val="6"/>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24"/>
    <w:rsid w:val="00370534"/>
    <w:rsid w:val="003B7023"/>
    <w:rsid w:val="004A0AC2"/>
    <w:rsid w:val="00714FED"/>
    <w:rsid w:val="00791577"/>
    <w:rsid w:val="00955724"/>
    <w:rsid w:val="00B32AB0"/>
    <w:rsid w:val="00D33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251A-6CFE-48E9-8A64-237DB79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2"/>
      </w:numPr>
      <w:ind w:left="283" w:hanging="283"/>
      <w:jc w:val="left"/>
      <w:outlineLvl w:val="1"/>
    </w:pPr>
    <w:rPr>
      <w:szCs w:val="20"/>
      <w:u w:val="single"/>
    </w:rPr>
  </w:style>
  <w:style w:type="paragraph" w:styleId="Titre3">
    <w:name w:val="heading 3"/>
    <w:basedOn w:val="Titre2"/>
    <w:next w:val="-LettreTexteGEDA"/>
    <w:qFormat/>
    <w:pPr>
      <w:numPr>
        <w:ilvl w:val="2"/>
        <w:numId w:val="3"/>
      </w:numPr>
      <w:ind w:left="283" w:hanging="283"/>
      <w:outlineLvl w:val="2"/>
    </w:pPr>
    <w:rPr>
      <w:i/>
      <w:iCs/>
    </w:rPr>
  </w:style>
  <w:style w:type="paragraph" w:styleId="Titre4">
    <w:name w:val="heading 4"/>
    <w:basedOn w:val="Titre3"/>
    <w:next w:val="-LettreTexteGEDA"/>
    <w:qFormat/>
    <w:pPr>
      <w:numPr>
        <w:ilvl w:val="3"/>
        <w:numId w:val="4"/>
      </w:numPr>
      <w:ind w:left="283" w:hanging="283"/>
      <w:outlineLvl w:val="3"/>
    </w:pPr>
    <w:rPr>
      <w:bCs w:val="0"/>
      <w:i w:val="0"/>
      <w:u w:val="none"/>
    </w:rPr>
  </w:style>
  <w:style w:type="paragraph" w:styleId="Titre5">
    <w:name w:val="heading 5"/>
    <w:basedOn w:val="Titre4"/>
    <w:next w:val="-LettreTexteGEDA"/>
    <w:qFormat/>
    <w:pPr>
      <w:keepLines/>
      <w:numPr>
        <w:ilvl w:val="4"/>
        <w:numId w:val="5"/>
      </w:numPr>
      <w:ind w:left="283" w:hanging="283"/>
      <w:outlineLvl w:val="4"/>
    </w:pPr>
    <w:rPr>
      <w:i/>
    </w:rPr>
  </w:style>
  <w:style w:type="paragraph" w:styleId="Titre6">
    <w:name w:val="heading 6"/>
    <w:basedOn w:val="Titre5"/>
    <w:next w:val="-LettreTexteGEDA"/>
    <w:qFormat/>
    <w:pPr>
      <w:numPr>
        <w:ilvl w:val="5"/>
        <w:numId w:val="6"/>
      </w:numPr>
      <w:ind w:left="283" w:hanging="283"/>
      <w:outlineLvl w:val="5"/>
    </w:pPr>
    <w:rPr>
      <w:i w:val="0"/>
      <w:caps w:val="0"/>
      <w:lang w:eastAsia="fr-FR"/>
    </w:rPr>
  </w:style>
  <w:style w:type="paragraph" w:styleId="Titre7">
    <w:name w:val="heading 7"/>
    <w:basedOn w:val="Titre6"/>
    <w:next w:val="-LettreTexteGEDA"/>
    <w:qFormat/>
    <w:pPr>
      <w:numPr>
        <w:ilvl w:val="6"/>
        <w:numId w:val="7"/>
      </w:numPr>
      <w:ind w:left="283" w:hanging="283"/>
      <w:outlineLvl w:val="6"/>
    </w:pPr>
    <w:rPr>
      <w:b w:val="0"/>
    </w:rPr>
  </w:style>
  <w:style w:type="paragraph" w:styleId="Titre8">
    <w:name w:val="heading 8"/>
    <w:basedOn w:val="Titre7"/>
    <w:next w:val="-LettreTexteGEDA"/>
    <w:qFormat/>
    <w:pPr>
      <w:numPr>
        <w:ilvl w:val="7"/>
        <w:numId w:val="8"/>
      </w:numPr>
      <w:ind w:left="283" w:hanging="283"/>
      <w:outlineLvl w:val="7"/>
    </w:pPr>
    <w:rPr>
      <w:iCs w:val="0"/>
      <w:lang w:eastAsia="en-US"/>
    </w:rPr>
  </w:style>
  <w:style w:type="paragraph" w:styleId="Titre9">
    <w:name w:val="heading 9"/>
    <w:next w:val="-LettreTexteGEDA"/>
    <w:qFormat/>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da\0-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Lettre.dot</Template>
  <TotalTime>10</TotalTime>
  <Pages>2</Pages>
  <Words>377</Words>
  <Characters>2040</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ministre</vt:lpstr>
      <vt:lpstr>Lettre du ministre</vt:lpstr>
      <vt:lpstr/>
      <vt:lpstr/>
    </vt:vector>
  </TitlesOfParts>
  <Company>présidence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v.GEDA V17-2</dc:subject>
  <dc:creator>Micheline (mteriira)</dc:creator>
  <cp:keywords/>
  <dc:description/>
  <cp:lastModifiedBy>Micheline (mteriira)</cp:lastModifiedBy>
  <cp:revision>3</cp:revision>
  <cp:lastPrinted>2020-12-09T20:40:00Z</cp:lastPrinted>
  <dcterms:created xsi:type="dcterms:W3CDTF">2020-12-09T20:30:00Z</dcterms:created>
  <dcterms:modified xsi:type="dcterms:W3CDTF">2020-12-10T02:29:00Z</dcterms:modified>
</cp:coreProperties>
</file>