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06265" w14:textId="77777777" w:rsidR="00CE47CE" w:rsidRPr="00697DBB" w:rsidRDefault="00CE47CE" w:rsidP="00CE47CE">
      <w:pPr>
        <w:pStyle w:val="Sansinterligne"/>
        <w:rPr>
          <w:rFonts w:asciiTheme="majorHAnsi" w:hAnsiTheme="majorHAnsi"/>
          <w:lang w:eastAsia="fr-FR"/>
        </w:rPr>
      </w:pPr>
      <w:r w:rsidRPr="00697DBB">
        <w:rPr>
          <w:rFonts w:asciiTheme="majorHAnsi" w:hAnsiTheme="majorHAnsi"/>
          <w:noProof/>
          <w:lang w:eastAsia="fr-FR"/>
        </w:rPr>
        <w:drawing>
          <wp:anchor distT="0" distB="0" distL="114300" distR="114300" simplePos="0" relativeHeight="251659264" behindDoc="1" locked="0" layoutInCell="1" allowOverlap="1" wp14:anchorId="79385D0B" wp14:editId="025659D9">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8">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697DBB">
        <w:rPr>
          <w:rFonts w:asciiTheme="majorHAnsi" w:hAnsiTheme="majorHAnsi"/>
          <w:noProof/>
          <w:lang w:eastAsia="fr-FR"/>
        </w:rPr>
        <mc:AlternateContent>
          <mc:Choice Requires="wps">
            <w:drawing>
              <wp:anchor distT="45720" distB="45720" distL="114300" distR="114300" simplePos="0" relativeHeight="251660288" behindDoc="0" locked="0" layoutInCell="1" allowOverlap="1" wp14:anchorId="45C18E35" wp14:editId="2D795FD3">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1A74E25C" w14:textId="77777777"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14:paraId="111C9687" w14:textId="77777777"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18E35"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14:paraId="1A74E25C" w14:textId="77777777"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14:paraId="111C9687" w14:textId="77777777"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697DBB">
        <w:rPr>
          <w:rFonts w:asciiTheme="majorHAnsi" w:hAnsiTheme="majorHAnsi"/>
          <w:lang w:eastAsia="fr-FR"/>
        </w:rPr>
        <w:tab/>
        <w:t xml:space="preserve">      </w:t>
      </w:r>
    </w:p>
    <w:p w14:paraId="019B7D82" w14:textId="77777777" w:rsidR="00CE47CE" w:rsidRPr="00697DBB" w:rsidRDefault="00CE47CE" w:rsidP="00CE47CE">
      <w:pPr>
        <w:jc w:val="center"/>
        <w:rPr>
          <w:rFonts w:asciiTheme="majorHAnsi" w:hAnsiTheme="majorHAnsi"/>
          <w:color w:val="993366"/>
        </w:rPr>
      </w:pPr>
    </w:p>
    <w:p w14:paraId="452A9C46" w14:textId="77777777" w:rsidR="00CE47CE" w:rsidRPr="00697DBB" w:rsidRDefault="00CE47CE" w:rsidP="00CE47CE">
      <w:pPr>
        <w:rPr>
          <w:rFonts w:asciiTheme="majorHAnsi" w:hAnsiTheme="majorHAnsi"/>
          <w:color w:val="993366"/>
        </w:rPr>
      </w:pPr>
    </w:p>
    <w:p w14:paraId="0EB9FE2E" w14:textId="77777777" w:rsidR="00CE47CE" w:rsidRPr="00697DBB" w:rsidRDefault="00CE47CE" w:rsidP="00CE47CE">
      <w:pPr>
        <w:rPr>
          <w:rFonts w:asciiTheme="majorHAnsi" w:hAnsiTheme="majorHAnsi"/>
          <w:color w:val="993366"/>
        </w:rPr>
      </w:pPr>
    </w:p>
    <w:p w14:paraId="1058D400" w14:textId="77777777" w:rsidR="00CE47CE" w:rsidRPr="00697DBB" w:rsidRDefault="00CE47CE" w:rsidP="00CE47CE">
      <w:pPr>
        <w:rPr>
          <w:rFonts w:asciiTheme="majorHAnsi" w:hAnsiTheme="majorHAnsi"/>
          <w:color w:val="993366"/>
        </w:rPr>
      </w:pPr>
    </w:p>
    <w:p w14:paraId="3AC9BAB3" w14:textId="77777777" w:rsidR="00CE47CE" w:rsidRPr="00697DBB" w:rsidRDefault="00CE47CE" w:rsidP="00CE47CE">
      <w:pPr>
        <w:tabs>
          <w:tab w:val="center" w:pos="4533"/>
          <w:tab w:val="left" w:pos="6544"/>
        </w:tabs>
        <w:rPr>
          <w:rFonts w:asciiTheme="majorHAnsi" w:hAnsiTheme="majorHAnsi"/>
          <w:u w:val="single"/>
        </w:rPr>
      </w:pPr>
      <w:r w:rsidRPr="00697DBB">
        <w:rPr>
          <w:rFonts w:asciiTheme="majorHAnsi" w:hAnsiTheme="majorHAnsi" w:cs="Arial"/>
          <w:i/>
          <w:noProof/>
          <w:lang w:eastAsia="fr-FR"/>
        </w:rPr>
        <mc:AlternateContent>
          <mc:Choice Requires="wps">
            <w:drawing>
              <wp:anchor distT="4294967295" distB="4294967295" distL="114300" distR="114300" simplePos="0" relativeHeight="251662336" behindDoc="0" locked="0" layoutInCell="1" allowOverlap="1" wp14:anchorId="245DE098" wp14:editId="407DF0E0">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C80C08F"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14:paraId="680C2F6E" w14:textId="77777777" w:rsidR="00CE47CE" w:rsidRPr="00697DBB" w:rsidRDefault="00CE47CE" w:rsidP="00CE47CE">
      <w:pPr>
        <w:tabs>
          <w:tab w:val="left" w:pos="3240"/>
        </w:tabs>
        <w:jc w:val="center"/>
        <w:rPr>
          <w:rFonts w:asciiTheme="majorHAnsi" w:hAnsiTheme="majorHAnsi" w:cs="Arial"/>
          <w:b/>
        </w:rPr>
      </w:pPr>
      <w:r w:rsidRPr="00697DBB">
        <w:rPr>
          <w:rFonts w:asciiTheme="majorHAnsi" w:hAnsiTheme="majorHAnsi" w:cs="Arial"/>
          <w:b/>
        </w:rPr>
        <w:t>BUREAU DE LA COMMUNICATION</w:t>
      </w:r>
    </w:p>
    <w:p w14:paraId="368476F6" w14:textId="2C602939" w:rsidR="00CE47CE" w:rsidRPr="00697DBB" w:rsidRDefault="007A7556" w:rsidP="00CE47CE">
      <w:pPr>
        <w:tabs>
          <w:tab w:val="left" w:pos="3240"/>
        </w:tabs>
        <w:jc w:val="center"/>
        <w:rPr>
          <w:rFonts w:asciiTheme="majorHAnsi" w:hAnsiTheme="majorHAnsi" w:cs="Arial"/>
          <w:b/>
          <w:i/>
        </w:rPr>
      </w:pPr>
      <w:r w:rsidRPr="00697DBB">
        <w:rPr>
          <w:rFonts w:asciiTheme="majorHAnsi" w:hAnsiTheme="majorHAnsi" w:cs="Arial"/>
          <w:b/>
          <w:i/>
        </w:rPr>
        <w:t xml:space="preserve">Mercredi </w:t>
      </w:r>
      <w:r w:rsidR="00632BB6">
        <w:rPr>
          <w:rFonts w:asciiTheme="majorHAnsi" w:hAnsiTheme="majorHAnsi" w:cs="Arial"/>
          <w:b/>
          <w:i/>
        </w:rPr>
        <w:t>18</w:t>
      </w:r>
      <w:r w:rsidR="00762278" w:rsidRPr="00697DBB">
        <w:rPr>
          <w:rFonts w:asciiTheme="majorHAnsi" w:hAnsiTheme="majorHAnsi" w:cs="Arial"/>
          <w:b/>
          <w:i/>
        </w:rPr>
        <w:t xml:space="preserve"> </w:t>
      </w:r>
      <w:r w:rsidR="00632BB6">
        <w:rPr>
          <w:rFonts w:asciiTheme="majorHAnsi" w:hAnsiTheme="majorHAnsi" w:cs="Arial"/>
          <w:b/>
          <w:i/>
        </w:rPr>
        <w:t>novembre</w:t>
      </w:r>
      <w:r w:rsidRPr="00697DBB">
        <w:rPr>
          <w:rFonts w:asciiTheme="majorHAnsi" w:hAnsiTheme="majorHAnsi" w:cs="Arial"/>
          <w:b/>
          <w:i/>
        </w:rPr>
        <w:t xml:space="preserve"> </w:t>
      </w:r>
      <w:r w:rsidR="00087CFE" w:rsidRPr="00697DBB">
        <w:rPr>
          <w:rFonts w:asciiTheme="majorHAnsi" w:hAnsiTheme="majorHAnsi" w:cs="Arial"/>
          <w:b/>
          <w:i/>
        </w:rPr>
        <w:t>2020</w:t>
      </w:r>
    </w:p>
    <w:p w14:paraId="12D499B4" w14:textId="77777777" w:rsidR="00CE47CE" w:rsidRPr="00697DBB" w:rsidRDefault="00CE47CE" w:rsidP="00CE47CE">
      <w:pPr>
        <w:tabs>
          <w:tab w:val="left" w:pos="3240"/>
        </w:tabs>
        <w:jc w:val="center"/>
        <w:rPr>
          <w:rFonts w:asciiTheme="majorHAnsi" w:hAnsiTheme="majorHAnsi"/>
        </w:rPr>
      </w:pPr>
      <w:r w:rsidRPr="00697DBB">
        <w:rPr>
          <w:rFonts w:asciiTheme="majorHAnsi" w:hAnsiTheme="majorHAnsi" w:cs="Arial"/>
          <w:i/>
          <w:noProof/>
          <w:lang w:eastAsia="fr-FR"/>
        </w:rPr>
        <mc:AlternateContent>
          <mc:Choice Requires="wps">
            <w:drawing>
              <wp:anchor distT="4294967295" distB="4294967295" distL="114300" distR="114300" simplePos="0" relativeHeight="251661312" behindDoc="0" locked="0" layoutInCell="1" allowOverlap="1" wp14:anchorId="3A8E8A0E" wp14:editId="09531C46">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AB70D7B"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14:paraId="01195C2C" w14:textId="77777777" w:rsidR="00CE47CE" w:rsidRPr="00697DBB" w:rsidRDefault="00CE47CE" w:rsidP="00CE47CE">
      <w:pPr>
        <w:tabs>
          <w:tab w:val="left" w:pos="3240"/>
        </w:tabs>
        <w:rPr>
          <w:rFonts w:asciiTheme="majorHAnsi" w:hAnsiTheme="majorHAnsi" w:cs="Arial"/>
          <w:b/>
          <w:i/>
        </w:rPr>
      </w:pPr>
    </w:p>
    <w:p w14:paraId="057759CE" w14:textId="5F349662" w:rsidR="00762278" w:rsidRPr="00697DBB" w:rsidRDefault="00CE47CE" w:rsidP="00697DBB">
      <w:pPr>
        <w:pBdr>
          <w:top w:val="single" w:sz="4" w:space="0" w:color="auto"/>
          <w:left w:val="single" w:sz="4" w:space="4" w:color="auto"/>
          <w:bottom w:val="single" w:sz="4" w:space="1" w:color="auto"/>
          <w:right w:val="single" w:sz="4" w:space="4" w:color="auto"/>
        </w:pBdr>
        <w:tabs>
          <w:tab w:val="center" w:pos="4536"/>
          <w:tab w:val="left" w:pos="7440"/>
        </w:tabs>
        <w:jc w:val="both"/>
        <w:rPr>
          <w:rFonts w:asciiTheme="majorHAnsi" w:hAnsiTheme="majorHAnsi"/>
          <w:b/>
        </w:rPr>
      </w:pPr>
      <w:r w:rsidRPr="00697DBB">
        <w:rPr>
          <w:rFonts w:asciiTheme="majorHAnsi" w:hAnsiTheme="majorHAnsi"/>
          <w:b/>
        </w:rPr>
        <w:tab/>
        <w:t xml:space="preserve">Compte rendu du Conseil des ministres </w:t>
      </w:r>
    </w:p>
    <w:p w14:paraId="5584F6DA" w14:textId="77777777" w:rsidR="00E05D91" w:rsidRPr="006C48BF" w:rsidRDefault="00E05D91" w:rsidP="00632BB6">
      <w:pPr>
        <w:pStyle w:val="-LettreTexteGEDA"/>
        <w:ind w:firstLine="0"/>
      </w:pPr>
    </w:p>
    <w:p w14:paraId="1C56CE82" w14:textId="77777777" w:rsidR="00BB1641" w:rsidRPr="005124EF" w:rsidRDefault="00BB1641" w:rsidP="00BB1641">
      <w:pPr>
        <w:pStyle w:val="-LettreTexteGEDA"/>
        <w:ind w:firstLine="0"/>
        <w:rPr>
          <w:rFonts w:ascii="Cambria" w:hAnsi="Cambria"/>
          <w:b/>
          <w:bCs/>
          <w:color w:val="000000" w:themeColor="text1"/>
        </w:rPr>
      </w:pPr>
      <w:r w:rsidRPr="005124EF">
        <w:rPr>
          <w:rFonts w:ascii="Cambria" w:hAnsi="Cambria"/>
          <w:b/>
          <w:bCs/>
          <w:color w:val="000000" w:themeColor="text1"/>
        </w:rPr>
        <w:t>Engagement des actions du CRSD: financement au profit de la commune de Mahina</w:t>
      </w:r>
    </w:p>
    <w:p w14:paraId="493D2140" w14:textId="77777777" w:rsidR="00BB1641" w:rsidRDefault="00BB1641" w:rsidP="00BB1641">
      <w:pPr>
        <w:pStyle w:val="-LettreTexteGEDA"/>
        <w:ind w:firstLine="0"/>
        <w:rPr>
          <w:rFonts w:ascii="Cambria" w:hAnsi="Cambria"/>
          <w:b/>
          <w:bCs/>
          <w:color w:val="FF0000"/>
        </w:rPr>
      </w:pPr>
    </w:p>
    <w:p w14:paraId="49316DCA" w14:textId="77777777" w:rsidR="00BB1641" w:rsidRDefault="00BB1641" w:rsidP="00BB1641">
      <w:pPr>
        <w:pStyle w:val="-LettreTexteGEDA"/>
        <w:ind w:firstLine="0"/>
        <w:rPr>
          <w:rFonts w:ascii="Cambria" w:hAnsi="Cambria"/>
        </w:rPr>
      </w:pPr>
      <w:r>
        <w:rPr>
          <w:rFonts w:ascii="Cambria" w:hAnsi="Cambria"/>
        </w:rPr>
        <w:t xml:space="preserve">Dans le cadre du Contrat de Redynamisation des Sites de Défense de Polynésie française (CRSD), le Conseil des ministres a validé un nouvel octroi de financement au profit de la Commune de Mahina. </w:t>
      </w:r>
    </w:p>
    <w:p w14:paraId="084DBA8C" w14:textId="77777777" w:rsidR="00BB1641" w:rsidRDefault="00BB1641" w:rsidP="00BB1641">
      <w:pPr>
        <w:pStyle w:val="-LettreTexteGEDA"/>
        <w:ind w:firstLine="0"/>
        <w:rPr>
          <w:rFonts w:ascii="Cambria" w:hAnsi="Cambria"/>
        </w:rPr>
      </w:pPr>
      <w:r>
        <w:rPr>
          <w:rFonts w:ascii="Cambria" w:hAnsi="Cambria"/>
        </w:rPr>
        <w:t>En effet, la commune de Mahina, signataire du contrat, a récupéré les terrains militaires de l’ex-RSMA d’une superficie d’environ 5 hectares, qu’elle souhaite aménager en une zone d’activité à vocation mixte. L’opération à financer correspond aux études de maîtrise d’œuvre, ainsi qu’aux études de diagnostic amiante et plomb.</w:t>
      </w:r>
    </w:p>
    <w:p w14:paraId="28FA505F" w14:textId="77777777" w:rsidR="00BB1641" w:rsidRDefault="00BB1641" w:rsidP="00BB1641">
      <w:pPr>
        <w:pStyle w:val="-LettreTexteGEDA"/>
        <w:ind w:firstLine="0"/>
        <w:rPr>
          <w:rFonts w:ascii="Cambria" w:hAnsi="Cambria"/>
        </w:rPr>
      </w:pPr>
      <w:r>
        <w:rPr>
          <w:rFonts w:ascii="Cambria" w:hAnsi="Cambria"/>
        </w:rPr>
        <w:t>Le coût estimatif de cette opération s’élève à 7 326 500 Fcfp HT. Son financement est assuré conjointement par le Pays à hauteur de 47%, soit 3 443 455 Fcfp, par l’Etat, à travers du FRED, pour 33%, soit 2 417 745 Fcfp, le reste étant à la charge de la commune.</w:t>
      </w:r>
    </w:p>
    <w:p w14:paraId="25EA193D" w14:textId="77777777" w:rsidR="00BB1641" w:rsidRDefault="00BB1641" w:rsidP="00BB1641">
      <w:pPr>
        <w:pStyle w:val="-LettreTexteGEDA"/>
        <w:ind w:firstLine="0"/>
        <w:rPr>
          <w:rFonts w:ascii="Cambria" w:hAnsi="Cambria"/>
        </w:rPr>
      </w:pPr>
      <w:r>
        <w:rPr>
          <w:rFonts w:ascii="Cambria" w:hAnsi="Cambria"/>
        </w:rPr>
        <w:t>Cet octroi de financement s’inscrit dans la poursuite des engagements des actions du CRSD, qui a été rendue possible grâce à la prolongation du contrat pour une durée supplémentaire de 2 ans soit, jusque fin février 2022.</w:t>
      </w:r>
    </w:p>
    <w:p w14:paraId="7600B8AB" w14:textId="77777777" w:rsidR="00BB1641" w:rsidRDefault="00BB1641" w:rsidP="00BB1641">
      <w:pPr>
        <w:pStyle w:val="-LettreTexteGEDA"/>
        <w:ind w:firstLine="0"/>
        <w:rPr>
          <w:rFonts w:ascii="Cambria" w:hAnsi="Cambria"/>
          <w:b/>
          <w:bCs/>
        </w:rPr>
      </w:pPr>
    </w:p>
    <w:p w14:paraId="14B977E0" w14:textId="77777777" w:rsidR="00BB1641" w:rsidRDefault="00BB1641" w:rsidP="00BB1641">
      <w:pPr>
        <w:pStyle w:val="-LettreTexteGEDA"/>
        <w:ind w:firstLine="0"/>
        <w:rPr>
          <w:rFonts w:ascii="Cambria" w:hAnsi="Cambria"/>
          <w:b/>
          <w:bCs/>
        </w:rPr>
      </w:pPr>
      <w:r>
        <w:rPr>
          <w:rFonts w:ascii="Cambria" w:hAnsi="Cambria"/>
          <w:b/>
          <w:bCs/>
        </w:rPr>
        <w:t>Subvention de fonctionnement en faveur de la société par actions simplifié (SAS) Fare Rata pour l’exercice 2020</w:t>
      </w:r>
    </w:p>
    <w:p w14:paraId="5B836D1A" w14:textId="77777777" w:rsidR="00BB1641" w:rsidRDefault="00BB1641" w:rsidP="00BB1641">
      <w:pPr>
        <w:pStyle w:val="-LettreTexteGEDA"/>
        <w:ind w:firstLine="0"/>
        <w:rPr>
          <w:rFonts w:ascii="Cambria" w:hAnsi="Cambria"/>
          <w:b/>
          <w:bCs/>
        </w:rPr>
      </w:pPr>
    </w:p>
    <w:p w14:paraId="2A389AAD" w14:textId="63E7A1BB" w:rsidR="00BB1641" w:rsidRDefault="00BB1641" w:rsidP="00BB1641">
      <w:pPr>
        <w:pStyle w:val="-LettreTexteGEDA"/>
        <w:ind w:firstLine="0"/>
        <w:rPr>
          <w:rFonts w:ascii="Cambria" w:hAnsi="Cambria"/>
        </w:rPr>
      </w:pPr>
      <w:r>
        <w:rPr>
          <w:rFonts w:ascii="Cambria" w:hAnsi="Cambria"/>
        </w:rPr>
        <w:t>Le Conseil des ministres a octroyé une subvention d</w:t>
      </w:r>
      <w:r w:rsidR="00B5035D">
        <w:rPr>
          <w:rFonts w:ascii="Cambria" w:hAnsi="Cambria"/>
        </w:rPr>
        <w:t>e fonctionnement d’1,7 milliard</w:t>
      </w:r>
      <w:bookmarkStart w:id="0" w:name="_GoBack"/>
      <w:bookmarkEnd w:id="0"/>
      <w:r>
        <w:rPr>
          <w:rFonts w:ascii="Cambria" w:hAnsi="Cambria"/>
        </w:rPr>
        <w:t xml:space="preserve"> Fcfp à la société par actions simplifié (SAS) Fare Rata pour l’exercice 2020.</w:t>
      </w:r>
    </w:p>
    <w:p w14:paraId="5892B191" w14:textId="77777777" w:rsidR="00BB1641" w:rsidRDefault="00BB1641" w:rsidP="00BB1641">
      <w:pPr>
        <w:pStyle w:val="-LettreTexteGEDA"/>
        <w:ind w:firstLine="0"/>
        <w:rPr>
          <w:rFonts w:ascii="Cambria" w:hAnsi="Cambria"/>
        </w:rPr>
      </w:pPr>
      <w:r>
        <w:rPr>
          <w:rFonts w:ascii="Cambria" w:hAnsi="Cambria"/>
        </w:rPr>
        <w:t>La SAS Fare Rata, par délégation de l’OPT (Office des Postes et Télécommunications), est exploitant public pour le service postal et d’intérêt général pour les services financiers. La société a bénéficié en 2019, d’une subvention de 700 millions Fcfp pour permettre l’équilibre financier de l’exploitation des bureaux de poste localisés en zone de désert bancaire. Cette subvention a permis de compenser en partie le résultat des bureaux de poste pour l’exercice 2019 totalisant un déficit de plus de 2 milliards Fcfp, dont 813 millions Fcfp pour les seuls bureaux situés en zone de désert bancaire, et 1 224 000 000 Fcfp pour les autres bureaux.</w:t>
      </w:r>
    </w:p>
    <w:p w14:paraId="0EB2F5E6" w14:textId="77777777" w:rsidR="00BB1641" w:rsidRDefault="00BB1641" w:rsidP="00BB1641">
      <w:pPr>
        <w:pStyle w:val="-LettreTexteGEDA"/>
        <w:ind w:firstLine="0"/>
        <w:rPr>
          <w:rFonts w:ascii="Cambria" w:hAnsi="Cambria"/>
        </w:rPr>
      </w:pPr>
      <w:r>
        <w:rPr>
          <w:rFonts w:ascii="Cambria" w:hAnsi="Cambria"/>
        </w:rPr>
        <w:t xml:space="preserve">Pour soutenir le maillage territorial de la SAS Fare Rata porteuse d’une mission d’inclusion bancaire, notamment dans les archipels éloignés de la Polynésie française et </w:t>
      </w:r>
      <w:r>
        <w:rPr>
          <w:rFonts w:ascii="Cambria" w:hAnsi="Cambria"/>
        </w:rPr>
        <w:lastRenderedPageBreak/>
        <w:t>les zones rurales désertées par les banques, la Polynésie Française lui alloue une aide financière sous forme d’une subvention d’exploitation sur la période 2020/2022.</w:t>
      </w:r>
    </w:p>
    <w:p w14:paraId="02903374" w14:textId="77777777" w:rsidR="00BB1641" w:rsidRDefault="00BB1641" w:rsidP="00BB1641">
      <w:pPr>
        <w:pStyle w:val="-LettreTexteGEDA"/>
        <w:ind w:firstLine="0"/>
        <w:rPr>
          <w:rFonts w:ascii="Cambria" w:hAnsi="Cambria"/>
        </w:rPr>
      </w:pPr>
      <w:r>
        <w:rPr>
          <w:rFonts w:ascii="Cambria" w:hAnsi="Cambria"/>
        </w:rPr>
        <w:t>En contrepartie du versement annuel d’une subvention d’exploitation, la SAS Fare Rata s’engage à mettre en œuvre un plan pluriannuel d’actions visant progressivement à optimiser ses charges et à augmenter ses revenus à l’effet de tendre vers l’équilibre de ses comptes.</w:t>
      </w:r>
    </w:p>
    <w:p w14:paraId="70BBFA55" w14:textId="77777777" w:rsidR="00BB1641" w:rsidRPr="005124EF" w:rsidRDefault="00BB1641" w:rsidP="00BB1641">
      <w:pPr>
        <w:pStyle w:val="-LettreTexteGEDA"/>
        <w:ind w:firstLine="0"/>
        <w:rPr>
          <w:rFonts w:asciiTheme="majorHAnsi" w:hAnsiTheme="majorHAnsi"/>
        </w:rPr>
      </w:pPr>
    </w:p>
    <w:p w14:paraId="12681B01" w14:textId="5BFD61E0" w:rsidR="00BB1641" w:rsidRPr="00BB1641" w:rsidRDefault="00BB1641" w:rsidP="00BB1641">
      <w:pPr>
        <w:pStyle w:val="-LettreTexteGEDA"/>
        <w:ind w:firstLine="0"/>
        <w:rPr>
          <w:rFonts w:asciiTheme="majorHAnsi" w:hAnsiTheme="majorHAnsi"/>
          <w:b/>
        </w:rPr>
      </w:pPr>
      <w:r w:rsidRPr="005124EF">
        <w:rPr>
          <w:rFonts w:asciiTheme="majorHAnsi" w:hAnsiTheme="majorHAnsi"/>
          <w:b/>
        </w:rPr>
        <w:t xml:space="preserve">Projets de loi du Pays et délibérations pour le dispositif de solidarité </w:t>
      </w:r>
      <w:r>
        <w:rPr>
          <w:rFonts w:asciiTheme="majorHAnsi" w:hAnsiTheme="majorHAnsi"/>
          <w:b/>
        </w:rPr>
        <w:t>dans le domaine de l’</w:t>
      </w:r>
      <w:r w:rsidRPr="005124EF">
        <w:rPr>
          <w:rFonts w:asciiTheme="majorHAnsi" w:hAnsiTheme="majorHAnsi"/>
          <w:b/>
        </w:rPr>
        <w:t>électricité</w:t>
      </w:r>
    </w:p>
    <w:p w14:paraId="3EE0BE6B" w14:textId="77777777" w:rsidR="00BB1641" w:rsidRDefault="00BB1641" w:rsidP="00BB1641">
      <w:pPr>
        <w:pStyle w:val="NormalWeb"/>
        <w:jc w:val="both"/>
        <w:rPr>
          <w:rFonts w:asciiTheme="majorHAnsi" w:hAnsiTheme="majorHAnsi"/>
          <w:color w:val="000000" w:themeColor="text1"/>
        </w:rPr>
      </w:pPr>
      <w:r w:rsidRPr="005124EF">
        <w:rPr>
          <w:rFonts w:asciiTheme="majorHAnsi" w:hAnsiTheme="majorHAnsi"/>
          <w:color w:val="000000" w:themeColor="text1"/>
        </w:rPr>
        <w:t xml:space="preserve">Le Pays entame la dernière étape du chemin législatif pour l’adoption d’une loi de Pays instaurant un dispositif de solidarité dans le domaine de l’électricité, généralement dénommé "péréquation électrique". Le  principe  de  solidarité dans le domaine de l’électricité signifie que le secteur de la distribution de l’électricité se verra appliqué un prix de référence. </w:t>
      </w:r>
    </w:p>
    <w:p w14:paraId="4EF5EC88" w14:textId="77777777" w:rsidR="00BB1641" w:rsidRDefault="00BB1641" w:rsidP="00BB1641">
      <w:pPr>
        <w:pStyle w:val="NormalWeb"/>
        <w:jc w:val="both"/>
        <w:rPr>
          <w:rFonts w:asciiTheme="majorHAnsi" w:hAnsiTheme="majorHAnsi"/>
          <w:color w:val="000000" w:themeColor="text1"/>
        </w:rPr>
      </w:pPr>
      <w:r w:rsidRPr="005124EF">
        <w:rPr>
          <w:rFonts w:asciiTheme="majorHAnsi" w:hAnsiTheme="majorHAnsi"/>
          <w:color w:val="000000" w:themeColor="text1"/>
        </w:rPr>
        <w:t>Celui-ci fixé par le Pays aura pour objectif de rendre le tarif de vente à l’usager harmonisé sur l’ens</w:t>
      </w:r>
      <w:r>
        <w:rPr>
          <w:rFonts w:asciiTheme="majorHAnsi" w:hAnsiTheme="majorHAnsi"/>
          <w:color w:val="000000" w:themeColor="text1"/>
        </w:rPr>
        <w:t>emble du territoire,  quel</w:t>
      </w:r>
      <w:r w:rsidRPr="005124EF">
        <w:rPr>
          <w:rFonts w:asciiTheme="majorHAnsi" w:hAnsiTheme="majorHAnsi"/>
          <w:color w:val="000000" w:themeColor="text1"/>
        </w:rPr>
        <w:t xml:space="preserve">  que  soit  </w:t>
      </w:r>
      <w:r>
        <w:rPr>
          <w:rFonts w:asciiTheme="majorHAnsi" w:hAnsiTheme="majorHAnsi"/>
          <w:color w:val="000000" w:themeColor="text1"/>
        </w:rPr>
        <w:t>sa</w:t>
      </w:r>
      <w:r w:rsidRPr="005124EF">
        <w:rPr>
          <w:rFonts w:asciiTheme="majorHAnsi" w:hAnsiTheme="majorHAnsi"/>
          <w:color w:val="000000" w:themeColor="text1"/>
        </w:rPr>
        <w:t>  localisation  géographique. Il y aura donc un prix de référence identiqu</w:t>
      </w:r>
      <w:r>
        <w:rPr>
          <w:rFonts w:asciiTheme="majorHAnsi" w:hAnsiTheme="majorHAnsi"/>
          <w:color w:val="000000" w:themeColor="text1"/>
        </w:rPr>
        <w:t>e que ce soit dans  les  zones </w:t>
      </w:r>
      <w:r w:rsidRPr="005124EF">
        <w:rPr>
          <w:rFonts w:asciiTheme="majorHAnsi" w:hAnsiTheme="majorHAnsi"/>
          <w:color w:val="000000" w:themeColor="text1"/>
        </w:rPr>
        <w:t>densément peuplées (Tahiti) ou dans les  zones  plu</w:t>
      </w:r>
      <w:r>
        <w:rPr>
          <w:rFonts w:asciiTheme="majorHAnsi" w:hAnsiTheme="majorHAnsi"/>
          <w:color w:val="000000" w:themeColor="text1"/>
        </w:rPr>
        <w:t>s rurales (archipels éloignés) </w:t>
      </w:r>
      <w:r w:rsidRPr="005124EF">
        <w:rPr>
          <w:rFonts w:asciiTheme="majorHAnsi" w:hAnsiTheme="majorHAnsi"/>
          <w:color w:val="000000" w:themeColor="text1"/>
        </w:rPr>
        <w:t>bien  que  les  coûts sous-jacents soient différents</w:t>
      </w:r>
      <w:r>
        <w:rPr>
          <w:rFonts w:asciiTheme="majorHAnsi" w:hAnsiTheme="majorHAnsi"/>
          <w:color w:val="000000" w:themeColor="text1"/>
        </w:rPr>
        <w:t xml:space="preserve">. </w:t>
      </w:r>
    </w:p>
    <w:p w14:paraId="4B7FF931" w14:textId="77777777" w:rsidR="00BB1641" w:rsidRPr="005124EF" w:rsidRDefault="00BB1641" w:rsidP="00BB1641">
      <w:pPr>
        <w:pStyle w:val="NormalWeb"/>
        <w:jc w:val="both"/>
        <w:rPr>
          <w:rFonts w:asciiTheme="majorHAnsi" w:hAnsiTheme="majorHAnsi"/>
          <w:color w:val="000000" w:themeColor="text1"/>
        </w:rPr>
      </w:pPr>
      <w:r w:rsidRPr="005124EF">
        <w:rPr>
          <w:rFonts w:asciiTheme="majorHAnsi" w:hAnsiTheme="majorHAnsi"/>
          <w:color w:val="000000" w:themeColor="text1"/>
        </w:rPr>
        <w:t>A l’heure où la solidarité entre territoires est au centre des  débats  politiques,  notamment via le principe de continuité territoriale, ce texte a pour ambition de répondre à l'impératif d'égalité de tous devant un service essentiel, et aux attentes du secteur afin de contribuer notamment à l’équilibre des exploitations des services publics de l’électricité.</w:t>
      </w:r>
    </w:p>
    <w:p w14:paraId="0787BA33" w14:textId="77777777" w:rsidR="00BB1641" w:rsidRPr="005124EF" w:rsidRDefault="00BB1641" w:rsidP="00BB1641">
      <w:pPr>
        <w:pStyle w:val="NormalWeb"/>
        <w:jc w:val="both"/>
        <w:rPr>
          <w:rFonts w:asciiTheme="majorHAnsi" w:hAnsiTheme="majorHAnsi"/>
          <w:color w:val="000000" w:themeColor="text1"/>
        </w:rPr>
      </w:pPr>
      <w:r>
        <w:rPr>
          <w:rFonts w:asciiTheme="majorHAnsi" w:hAnsiTheme="majorHAnsi"/>
          <w:color w:val="000000" w:themeColor="text1"/>
        </w:rPr>
        <w:t>Dès l'entrée en vigueur du F</w:t>
      </w:r>
      <w:r w:rsidRPr="005124EF">
        <w:rPr>
          <w:rFonts w:asciiTheme="majorHAnsi" w:hAnsiTheme="majorHAnsi"/>
          <w:color w:val="000000" w:themeColor="text1"/>
        </w:rPr>
        <w:t>ond</w:t>
      </w:r>
      <w:r>
        <w:rPr>
          <w:rFonts w:asciiTheme="majorHAnsi" w:hAnsiTheme="majorHAnsi"/>
          <w:color w:val="000000" w:themeColor="text1"/>
        </w:rPr>
        <w:t>s</w:t>
      </w:r>
      <w:r w:rsidRPr="005124EF">
        <w:rPr>
          <w:rFonts w:asciiTheme="majorHAnsi" w:hAnsiTheme="majorHAnsi"/>
          <w:color w:val="000000" w:themeColor="text1"/>
        </w:rPr>
        <w:t xml:space="preserve"> de solidarité, les clients de l'électricité seront assujettis à une taxe destinée à alimenter le dit fond. Les sommes ainsi collectées seront reversées aux gestionnaires d'unité de production électrique structurellement déficitaire en raison de contraintes externes. En effet, la taille modeste des réseaux, l’éloignement de Tahiti et la typologie des consommateurs constituent les trois principaux facteurs de déficits des réseaux électriques dans les îles. Par ce dispositif de solidarité, la fixation d'un prix de référence de vente d’électricité rendra l’accès au service public d’électricité équitable pour l’ensemble des usagers sans différenciation géographique.</w:t>
      </w:r>
    </w:p>
    <w:p w14:paraId="7CFEF17E" w14:textId="77777777" w:rsidR="00BB1641" w:rsidRPr="005124EF" w:rsidRDefault="00BB1641" w:rsidP="00BB1641">
      <w:pPr>
        <w:jc w:val="both"/>
        <w:rPr>
          <w:rFonts w:asciiTheme="majorHAnsi" w:hAnsiTheme="majorHAnsi"/>
          <w:color w:val="000000" w:themeColor="text1"/>
        </w:rPr>
      </w:pPr>
      <w:r w:rsidRPr="005124EF">
        <w:rPr>
          <w:rFonts w:asciiTheme="majorHAnsi" w:hAnsiTheme="majorHAnsi"/>
          <w:color w:val="000000" w:themeColor="text1"/>
        </w:rPr>
        <w:t xml:space="preserve">Via ce nouveau mécanisme qui exprime la solidarité entre Tahiti et les îles, le Pays élargit la péréquation interne, jusqu'alors pratiquée par le principal concessionnaire, aux 36 autres réseaux gérés en direct par les communes qui disposeront ainsi des moyens d'équilibrer leur service public de l'électricité, au </w:t>
      </w:r>
      <w:r>
        <w:rPr>
          <w:rFonts w:asciiTheme="majorHAnsi" w:hAnsiTheme="majorHAnsi"/>
          <w:color w:val="000000" w:themeColor="text1"/>
        </w:rPr>
        <w:t>bénéfice de leurs populations.</w:t>
      </w:r>
      <w:r w:rsidRPr="005124EF">
        <w:rPr>
          <w:rFonts w:asciiTheme="majorHAnsi" w:hAnsiTheme="majorHAnsi"/>
          <w:color w:val="000000" w:themeColor="text1"/>
        </w:rPr>
        <w:t xml:space="preserve"> </w:t>
      </w:r>
    </w:p>
    <w:p w14:paraId="49A1403D" w14:textId="77777777" w:rsidR="00CF4DC2" w:rsidRDefault="00CF4DC2" w:rsidP="00632BB6">
      <w:pPr>
        <w:pStyle w:val="-LettreTexteGEDA"/>
        <w:ind w:firstLine="0"/>
        <w:rPr>
          <w:rFonts w:ascii="Cambria" w:hAnsi="Cambria"/>
          <w:b/>
          <w:bCs/>
          <w:noProof w:val="0"/>
          <w:szCs w:val="24"/>
        </w:rPr>
      </w:pPr>
    </w:p>
    <w:p w14:paraId="4EDD387E" w14:textId="27C43779" w:rsidR="00632BB6" w:rsidRDefault="00632BB6" w:rsidP="00632BB6">
      <w:pPr>
        <w:pStyle w:val="-LettreTexteGEDA"/>
        <w:ind w:firstLine="0"/>
        <w:rPr>
          <w:rFonts w:ascii="Cambria" w:hAnsi="Cambria"/>
          <w:noProof w:val="0"/>
          <w:szCs w:val="24"/>
        </w:rPr>
      </w:pPr>
      <w:r w:rsidRPr="00632BB6">
        <w:rPr>
          <w:rFonts w:ascii="Cambria" w:hAnsi="Cambria"/>
          <w:b/>
          <w:bCs/>
          <w:noProof w:val="0"/>
          <w:szCs w:val="24"/>
        </w:rPr>
        <w:t>Bilan de l’action des guides sanitaires</w:t>
      </w:r>
      <w:r w:rsidRPr="00632BB6">
        <w:rPr>
          <w:rFonts w:ascii="Cambria" w:hAnsi="Cambria"/>
          <w:noProof w:val="0"/>
          <w:szCs w:val="24"/>
        </w:rPr>
        <w:t xml:space="preserve"> </w:t>
      </w:r>
    </w:p>
    <w:p w14:paraId="3BDFB07F" w14:textId="77777777" w:rsidR="00DE563E" w:rsidRPr="00632BB6" w:rsidRDefault="00DE563E" w:rsidP="00632BB6">
      <w:pPr>
        <w:pStyle w:val="-LettreTexteGEDA"/>
        <w:ind w:firstLine="0"/>
        <w:rPr>
          <w:rFonts w:ascii="Cambria" w:hAnsi="Cambria"/>
          <w:b/>
          <w:bCs/>
          <w:noProof w:val="0"/>
          <w:szCs w:val="24"/>
        </w:rPr>
      </w:pPr>
    </w:p>
    <w:p w14:paraId="2D8E3D1C" w14:textId="72213BAA" w:rsidR="00DE563E" w:rsidRPr="00DE563E" w:rsidRDefault="00DE563E" w:rsidP="00DE563E">
      <w:pPr>
        <w:pStyle w:val="-LettreTexteGEDA"/>
        <w:ind w:firstLine="0"/>
        <w:rPr>
          <w:rFonts w:ascii="Cambria" w:hAnsi="Cambria"/>
          <w:noProof w:val="0"/>
          <w:szCs w:val="24"/>
        </w:rPr>
      </w:pPr>
      <w:r w:rsidRPr="00DE563E">
        <w:rPr>
          <w:rFonts w:ascii="Cambria" w:hAnsi="Cambria"/>
          <w:noProof w:val="0"/>
          <w:szCs w:val="24"/>
        </w:rPr>
        <w:t xml:space="preserve">Le projet de création de brigades sanitaires s’est inscrit dans le cadre de la réouverture des frontières le 15 juillet dernier afin, dans les îles et communes fréquentées par les </w:t>
      </w:r>
      <w:r w:rsidRPr="00DE563E">
        <w:rPr>
          <w:rFonts w:ascii="Cambria" w:hAnsi="Cambria"/>
          <w:noProof w:val="0"/>
          <w:szCs w:val="24"/>
        </w:rPr>
        <w:lastRenderedPageBreak/>
        <w:t xml:space="preserve">touristes, de disposer d’équipes formées pour assurer de l’information, de la sensibilisation, de la prévention à destination de la population et des visiteurs sur l’importance de respecter les gestes et mesures barrières.  </w:t>
      </w:r>
    </w:p>
    <w:p w14:paraId="3EA454F7" w14:textId="7FFAEE5B" w:rsidR="00DE563E" w:rsidRPr="00DE563E" w:rsidRDefault="00DE563E" w:rsidP="00DE563E">
      <w:pPr>
        <w:pStyle w:val="-LettreTexteGEDA"/>
        <w:ind w:firstLine="0"/>
        <w:rPr>
          <w:rFonts w:ascii="Cambria" w:hAnsi="Cambria"/>
          <w:noProof w:val="0"/>
          <w:szCs w:val="24"/>
        </w:rPr>
      </w:pPr>
      <w:r w:rsidRPr="00DE563E">
        <w:rPr>
          <w:rFonts w:ascii="Cambria" w:hAnsi="Cambria"/>
          <w:noProof w:val="0"/>
          <w:szCs w:val="24"/>
        </w:rPr>
        <w:t xml:space="preserve">Les communes ont sélectionné les candidats sur la base d’un profil établi par le ministère du Tourisme et du Travail : niveau BAC, facilité à prendre la parole en public, maîtrise du français mais aussi facilité à converser en Anglais et en </w:t>
      </w:r>
      <w:proofErr w:type="spellStart"/>
      <w:r w:rsidRPr="00DE563E">
        <w:rPr>
          <w:rFonts w:ascii="Cambria" w:hAnsi="Cambria"/>
          <w:noProof w:val="0"/>
          <w:szCs w:val="24"/>
        </w:rPr>
        <w:t>Reo</w:t>
      </w:r>
      <w:proofErr w:type="spellEnd"/>
      <w:r w:rsidRPr="00DE563E">
        <w:rPr>
          <w:rFonts w:ascii="Cambria" w:hAnsi="Cambria"/>
          <w:noProof w:val="0"/>
          <w:szCs w:val="24"/>
        </w:rPr>
        <w:t xml:space="preserve"> tahiti souhaitée. Les premières formations ont démarré à la mi-juillet par la commune Bora Bora et son comité du tourisme. </w:t>
      </w:r>
    </w:p>
    <w:p w14:paraId="415C6923" w14:textId="77777777" w:rsidR="00DE563E" w:rsidRPr="00DE563E" w:rsidRDefault="00DE563E" w:rsidP="00DE563E">
      <w:pPr>
        <w:pStyle w:val="-LettreTexteGEDA"/>
        <w:ind w:firstLine="0"/>
        <w:rPr>
          <w:rFonts w:ascii="Cambria" w:hAnsi="Cambria"/>
          <w:noProof w:val="0"/>
          <w:szCs w:val="24"/>
        </w:rPr>
      </w:pPr>
      <w:r w:rsidRPr="00DE563E">
        <w:rPr>
          <w:rFonts w:ascii="Cambria" w:hAnsi="Cambria"/>
          <w:noProof w:val="0"/>
          <w:szCs w:val="24"/>
        </w:rPr>
        <w:t>Depuis le 15 juillet jusqu’à aujourd’hui, la mise en place des équipes et leur formation se poursuivent, ce sont près de 500 guides sanitaires sous Convention d’Aide à l’Emploi - CAE, qui ont été déployés sur l’ensemble de la Polynésie, notamment dans les îles les plus fréquentées. Les publics visés par les actions des guides sanitaires sont la population, les visiteurs et les professionnels du tourisme.</w:t>
      </w:r>
    </w:p>
    <w:p w14:paraId="59A6D7EE" w14:textId="12C06350" w:rsidR="00DE563E" w:rsidRPr="00DE563E" w:rsidRDefault="00DE563E" w:rsidP="00DE563E">
      <w:pPr>
        <w:pStyle w:val="-LettreTexteGEDA"/>
        <w:ind w:firstLine="0"/>
        <w:rPr>
          <w:rFonts w:ascii="Cambria" w:hAnsi="Cambria"/>
          <w:noProof w:val="0"/>
          <w:szCs w:val="24"/>
        </w:rPr>
      </w:pPr>
      <w:r w:rsidRPr="00DE563E">
        <w:rPr>
          <w:rFonts w:ascii="Cambria" w:hAnsi="Cambria"/>
          <w:noProof w:val="0"/>
          <w:szCs w:val="24"/>
        </w:rPr>
        <w:t xml:space="preserve">Plus de 600 personnes issues du milieu touristique ont bénéficié des formations sur thématique des mesures de précaution sanitaires. A la demande du ministère de l’Education, des équipes seront aussi mises en place dans ses établissements scolaires du second degré de Tahiti, Moorea et Bora Bora. Ils seront 24 répartis dans les établissements.  </w:t>
      </w:r>
    </w:p>
    <w:p w14:paraId="2B1DFDB9" w14:textId="79AEA43D" w:rsidR="00DE563E" w:rsidRPr="00DE563E" w:rsidRDefault="00DE563E" w:rsidP="00DE563E">
      <w:pPr>
        <w:pStyle w:val="-LettreTexteGEDA"/>
        <w:ind w:firstLine="0"/>
        <w:rPr>
          <w:rFonts w:ascii="Cambria" w:hAnsi="Cambria"/>
          <w:noProof w:val="0"/>
          <w:szCs w:val="24"/>
        </w:rPr>
      </w:pPr>
      <w:r w:rsidRPr="00DE563E">
        <w:rPr>
          <w:rFonts w:ascii="Cambria" w:hAnsi="Cambria"/>
          <w:noProof w:val="0"/>
          <w:szCs w:val="24"/>
        </w:rPr>
        <w:t xml:space="preserve">Les formations sont assurées par l’organisme de formation HSF. Les formateurs se sont déplacés dans la plupart des communes de Tahiti, Moorea, des îles Sous-le-Vent, à </w:t>
      </w:r>
      <w:proofErr w:type="spellStart"/>
      <w:r w:rsidRPr="00DE563E">
        <w:rPr>
          <w:rFonts w:ascii="Cambria" w:hAnsi="Cambria"/>
          <w:noProof w:val="0"/>
          <w:szCs w:val="24"/>
        </w:rPr>
        <w:t>Rangiroa</w:t>
      </w:r>
      <w:proofErr w:type="spellEnd"/>
      <w:r w:rsidRPr="00DE563E">
        <w:rPr>
          <w:rFonts w:ascii="Cambria" w:hAnsi="Cambria"/>
          <w:noProof w:val="0"/>
          <w:szCs w:val="24"/>
        </w:rPr>
        <w:t xml:space="preserve"> et </w:t>
      </w:r>
      <w:proofErr w:type="spellStart"/>
      <w:r w:rsidRPr="00DE563E">
        <w:rPr>
          <w:rFonts w:ascii="Cambria" w:hAnsi="Cambria"/>
          <w:noProof w:val="0"/>
          <w:szCs w:val="24"/>
        </w:rPr>
        <w:t>Fakarava</w:t>
      </w:r>
      <w:proofErr w:type="spellEnd"/>
      <w:r w:rsidRPr="00DE563E">
        <w:rPr>
          <w:rFonts w:ascii="Cambria" w:hAnsi="Cambria"/>
          <w:noProof w:val="0"/>
          <w:szCs w:val="24"/>
        </w:rPr>
        <w:t xml:space="preserve">. Pour les autres îles, les formations ont été réalisées par visioconférence. Au total, plus de 360 heures de formation dispensées à près de 500 guides sanitaires et référents (CAE, agents communaux ou élus). Outre sa formation, chaque guide sanitaire reçoit un kit sanitaire (des t-shirts et casquettes « guide sanitaires », des masques en tissus et du gel hydro alcoolique). </w:t>
      </w:r>
    </w:p>
    <w:p w14:paraId="3E7C65F1" w14:textId="3D31349C" w:rsidR="00E05D91" w:rsidRDefault="00DE563E" w:rsidP="00CF4DC2">
      <w:pPr>
        <w:pStyle w:val="-LettreTexteGEDA"/>
        <w:ind w:firstLine="0"/>
        <w:rPr>
          <w:rFonts w:ascii="Cambria" w:hAnsi="Cambria"/>
          <w:noProof w:val="0"/>
          <w:szCs w:val="24"/>
        </w:rPr>
      </w:pPr>
      <w:r w:rsidRPr="00DE563E">
        <w:rPr>
          <w:rFonts w:ascii="Cambria" w:hAnsi="Cambria"/>
          <w:noProof w:val="0"/>
          <w:szCs w:val="24"/>
        </w:rPr>
        <w:t>Avec l’augmentation du nombre de cas de Covid, et le constat que l’épidémie touche essentiellement la population et très peu les touristes, les communes ont réorienté les actions des guides sanitaires qui portent désormais davantage sur de la prévention envers la population, les résidents des quartiers sensibles et des zones classées à « haut risque », ainsi qu’auprès des personnes âgées ou porteuses de pathologie.</w:t>
      </w:r>
      <w:r w:rsidR="00CF4DC2">
        <w:rPr>
          <w:rFonts w:ascii="Cambria" w:hAnsi="Cambria"/>
          <w:noProof w:val="0"/>
          <w:szCs w:val="24"/>
        </w:rPr>
        <w:t xml:space="preserve"> </w:t>
      </w:r>
      <w:r w:rsidRPr="00DE563E">
        <w:rPr>
          <w:rFonts w:ascii="Cambria" w:hAnsi="Cambria"/>
          <w:noProof w:val="0"/>
          <w:szCs w:val="24"/>
        </w:rPr>
        <w:t xml:space="preserve">Le budget consacré aux guides sanitaires a été de 207 millions </w:t>
      </w:r>
      <w:proofErr w:type="spellStart"/>
      <w:r w:rsidRPr="00DE563E">
        <w:rPr>
          <w:rFonts w:ascii="Cambria" w:hAnsi="Cambria"/>
          <w:noProof w:val="0"/>
          <w:szCs w:val="24"/>
        </w:rPr>
        <w:t>Fcfp</w:t>
      </w:r>
      <w:proofErr w:type="spellEnd"/>
      <w:r w:rsidRPr="00DE563E">
        <w:rPr>
          <w:rFonts w:ascii="Cambria" w:hAnsi="Cambria"/>
          <w:noProof w:val="0"/>
          <w:szCs w:val="24"/>
        </w:rPr>
        <w:t xml:space="preserve"> pour l’année 2020.</w:t>
      </w:r>
    </w:p>
    <w:p w14:paraId="1A71B764" w14:textId="77777777" w:rsidR="00CF4DC2" w:rsidRDefault="00CF4DC2" w:rsidP="00DE563E">
      <w:pPr>
        <w:pStyle w:val="-LettreTexteGEDA"/>
        <w:ind w:firstLine="0"/>
        <w:rPr>
          <w:rFonts w:ascii="Cambria" w:hAnsi="Cambria"/>
          <w:noProof w:val="0"/>
          <w:szCs w:val="24"/>
        </w:rPr>
      </w:pPr>
    </w:p>
    <w:p w14:paraId="6B2B3C2E" w14:textId="77777777" w:rsidR="00BB1641" w:rsidRDefault="00BB1641" w:rsidP="00BB1641">
      <w:pPr>
        <w:pStyle w:val="-LettreTexteGEDA"/>
        <w:ind w:firstLine="0"/>
        <w:rPr>
          <w:rFonts w:ascii="Cambria" w:hAnsi="Cambria"/>
          <w:b/>
          <w:bCs/>
        </w:rPr>
      </w:pPr>
      <w:r>
        <w:rPr>
          <w:rFonts w:ascii="Cambria" w:hAnsi="Cambria"/>
          <w:b/>
          <w:bCs/>
        </w:rPr>
        <w:t>Déclaration d’activité d’hébergement touristique en Polynésie française</w:t>
      </w:r>
    </w:p>
    <w:p w14:paraId="74B0B302" w14:textId="77777777" w:rsidR="00BB1641" w:rsidRDefault="00BB1641" w:rsidP="00BB1641">
      <w:pPr>
        <w:pStyle w:val="-LettreTexteGEDA"/>
        <w:ind w:firstLine="0"/>
        <w:rPr>
          <w:rFonts w:ascii="Cambria" w:hAnsi="Cambria"/>
          <w:b/>
          <w:bCs/>
        </w:rPr>
      </w:pPr>
    </w:p>
    <w:p w14:paraId="39D04F22" w14:textId="77777777" w:rsidR="00BB1641" w:rsidRDefault="00BB1641" w:rsidP="00BB1641">
      <w:pPr>
        <w:pStyle w:val="-LettreTexteGEDA"/>
        <w:ind w:firstLine="0"/>
        <w:rPr>
          <w:rFonts w:ascii="Cambria" w:hAnsi="Cambria"/>
        </w:rPr>
      </w:pPr>
      <w:r>
        <w:rPr>
          <w:rFonts w:ascii="Cambria" w:hAnsi="Cambria"/>
        </w:rPr>
        <w:t>Afin de faciliter les démarches administratives des usagers dans le cadre de téléservices, un chantier de dématérialisation de la déclaration d’activité d’hébergement touristique a été mené au sein du service du tourisme.</w:t>
      </w:r>
    </w:p>
    <w:p w14:paraId="0778AB7D" w14:textId="77777777" w:rsidR="00BB1641" w:rsidRDefault="00BB1641" w:rsidP="00BB1641">
      <w:pPr>
        <w:pStyle w:val="-LettreTexteGEDA"/>
        <w:ind w:firstLine="0"/>
        <w:rPr>
          <w:rFonts w:ascii="Cambria" w:hAnsi="Cambria"/>
        </w:rPr>
      </w:pPr>
      <w:r>
        <w:rPr>
          <w:rFonts w:ascii="Cambria" w:hAnsi="Cambria"/>
        </w:rPr>
        <w:t>Pour mémoire, la loi du Pays du 29 mars 2018 a instauré une obligation de déclaration préalable auprès du service du tourisme pour toute activité d’hébergement touristique afin de mieux identifier l’offre d’hébergement sur le territoire et ses diverses composantes. Le formulaire de déclaration d’activité permettant de remplir cette obligation a été adopté en avril 2018, puis modifié en septembre 2018, afin de modifier la liste des pièces à produire, en permettant notamment de remplacer l’extrait n°3 de casier judiciaire par une attestation sur l’honneur de non-condamnation.</w:t>
      </w:r>
    </w:p>
    <w:p w14:paraId="3B578F9C" w14:textId="77777777" w:rsidR="00BB1641" w:rsidRDefault="00BB1641" w:rsidP="00BB1641">
      <w:pPr>
        <w:pStyle w:val="-LettreTexteGEDA"/>
        <w:ind w:firstLine="0"/>
        <w:rPr>
          <w:rFonts w:ascii="Cambria" w:hAnsi="Cambria"/>
        </w:rPr>
      </w:pPr>
      <w:r>
        <w:rPr>
          <w:rFonts w:ascii="Cambria" w:hAnsi="Cambria"/>
        </w:rPr>
        <w:lastRenderedPageBreak/>
        <w:t xml:space="preserve">Dans le cadre du chantier de dématérialisation, il est aujourd’hui nécessaire de procéder à une simplification du formulaire de déclaration d’activité afin de le rendre plus accessible pour tout usager souhaitant accomplir ses formalités déclaratives via le téléservice. </w:t>
      </w:r>
    </w:p>
    <w:p w14:paraId="292D2C2A" w14:textId="77777777" w:rsidR="00BB1641" w:rsidRDefault="00BB1641" w:rsidP="00BB1641">
      <w:pPr>
        <w:pStyle w:val="-LettreTexteGEDA"/>
        <w:ind w:firstLine="0"/>
        <w:rPr>
          <w:rFonts w:ascii="Cambria" w:hAnsi="Cambria"/>
        </w:rPr>
      </w:pPr>
      <w:r>
        <w:rPr>
          <w:rFonts w:ascii="Cambria" w:hAnsi="Cambria"/>
        </w:rPr>
        <w:t>Par ailleurs et au regard de la loi informatique et liberté du 6 janvier 1978 sur la protection des données à caractère personnel, il apparaît indispensable d’insérer dans le formulaire, les clauses obligatoires d’information de l’usager, s’agissant de la conservation, de la destination et du traitement des données collectées.</w:t>
      </w:r>
    </w:p>
    <w:p w14:paraId="45040E97" w14:textId="77777777" w:rsidR="00BB1641" w:rsidRDefault="00BB1641" w:rsidP="00BB1641">
      <w:pPr>
        <w:pStyle w:val="-LettreTexteGEDA"/>
        <w:ind w:firstLine="0"/>
        <w:rPr>
          <w:rFonts w:ascii="Cambria" w:hAnsi="Cambria"/>
        </w:rPr>
      </w:pPr>
      <w:r>
        <w:rPr>
          <w:rFonts w:ascii="Cambria" w:hAnsi="Cambria"/>
        </w:rPr>
        <w:t xml:space="preserve">Le nouveau formulaire de déclaration d’activité sera téléchargeable via le site internet du service du tourisme. L’usager aura également la possibilité de le remplir en ligne en utilisant la plateforme </w:t>
      </w:r>
      <w:r>
        <w:rPr>
          <w:rStyle w:val="Lienhypertexte"/>
          <w:rFonts w:ascii="Cambria" w:hAnsi="Cambria"/>
        </w:rPr>
        <w:t>mes-demarches.pf</w:t>
      </w:r>
    </w:p>
    <w:p w14:paraId="47B08DB2" w14:textId="77777777" w:rsidR="00BB1641" w:rsidRDefault="00BB1641" w:rsidP="00BB1641">
      <w:pPr>
        <w:pStyle w:val="-LettreTexteGEDA"/>
        <w:ind w:firstLine="0"/>
        <w:rPr>
          <w:rFonts w:ascii="Cambria" w:hAnsi="Cambria"/>
        </w:rPr>
      </w:pPr>
    </w:p>
    <w:p w14:paraId="5B38D382" w14:textId="77777777" w:rsidR="00BB1641" w:rsidRPr="00F27725" w:rsidRDefault="00BB1641" w:rsidP="00BB1641">
      <w:pPr>
        <w:pStyle w:val="-LettreObjetGEDA"/>
        <w:tabs>
          <w:tab w:val="left" w:pos="851"/>
        </w:tabs>
        <w:ind w:left="0" w:firstLine="0"/>
        <w:rPr>
          <w:rFonts w:ascii="Cambria" w:hAnsi="Cambria"/>
          <w:b/>
          <w:noProof w:val="0"/>
          <w:szCs w:val="24"/>
        </w:rPr>
      </w:pPr>
      <w:r w:rsidRPr="00F27725">
        <w:rPr>
          <w:rFonts w:ascii="Cambria" w:hAnsi="Cambria"/>
          <w:b/>
          <w:bCs/>
          <w:noProof w:val="0"/>
          <w:szCs w:val="24"/>
        </w:rPr>
        <w:t>Renforcement des mesures de soutien aux artistes de Polynésie française</w:t>
      </w:r>
    </w:p>
    <w:p w14:paraId="2E170702" w14:textId="77777777" w:rsidR="00BB1641" w:rsidRPr="00F27725" w:rsidRDefault="00BB1641" w:rsidP="00BB1641">
      <w:pPr>
        <w:widowControl w:val="0"/>
        <w:autoSpaceDE w:val="0"/>
        <w:autoSpaceDN w:val="0"/>
        <w:adjustRightInd w:val="0"/>
        <w:spacing w:before="240"/>
        <w:jc w:val="both"/>
        <w:rPr>
          <w:rFonts w:ascii="Cambria" w:hAnsi="Cambria"/>
        </w:rPr>
      </w:pPr>
      <w:r>
        <w:rPr>
          <w:rFonts w:ascii="Cambria" w:hAnsi="Cambria"/>
        </w:rPr>
        <w:t xml:space="preserve">L’année </w:t>
      </w:r>
      <w:r w:rsidRPr="00F27725">
        <w:rPr>
          <w:rFonts w:ascii="Cambria" w:hAnsi="Cambria"/>
        </w:rPr>
        <w:t>2021 marquera les cinq années d’application de l</w:t>
      </w:r>
      <w:r>
        <w:rPr>
          <w:rFonts w:ascii="Cambria" w:hAnsi="Cambria"/>
          <w:bCs/>
          <w:color w:val="000000"/>
        </w:rPr>
        <w:t>a loi du P</w:t>
      </w:r>
      <w:r w:rsidRPr="00F27725">
        <w:rPr>
          <w:rFonts w:ascii="Cambria" w:hAnsi="Cambria"/>
          <w:bCs/>
          <w:color w:val="000000"/>
        </w:rPr>
        <w:t xml:space="preserve">ays </w:t>
      </w:r>
      <w:r>
        <w:rPr>
          <w:rFonts w:ascii="Cambria" w:hAnsi="Cambria"/>
          <w:bCs/>
          <w:color w:val="000000"/>
        </w:rPr>
        <w:t xml:space="preserve">du </w:t>
      </w:r>
      <w:r w:rsidRPr="00F27725">
        <w:rPr>
          <w:rFonts w:ascii="Cambria" w:hAnsi="Cambria"/>
          <w:bCs/>
          <w:color w:val="000000"/>
        </w:rPr>
        <w:t>19 mai 2016 qui a donné aux artistes de Polynésie française un statut leur permettant d’être reconnus comme des professionnels à part entière.</w:t>
      </w:r>
    </w:p>
    <w:p w14:paraId="447496F7" w14:textId="77777777" w:rsidR="00BB1641" w:rsidRPr="00F27725" w:rsidRDefault="00BB1641" w:rsidP="00BB1641">
      <w:pPr>
        <w:widowControl w:val="0"/>
        <w:autoSpaceDE w:val="0"/>
        <w:autoSpaceDN w:val="0"/>
        <w:adjustRightInd w:val="0"/>
        <w:spacing w:before="240"/>
        <w:jc w:val="both"/>
        <w:rPr>
          <w:rFonts w:ascii="Cambria" w:hAnsi="Cambria"/>
        </w:rPr>
      </w:pPr>
      <w:r w:rsidRPr="00F27725">
        <w:rPr>
          <w:rFonts w:ascii="Cambria" w:hAnsi="Cambria"/>
        </w:rPr>
        <w:t xml:space="preserve">Aussi, </w:t>
      </w:r>
      <w:r>
        <w:rPr>
          <w:rFonts w:ascii="Cambria" w:hAnsi="Cambria"/>
        </w:rPr>
        <w:t>le ministre en charge de la C</w:t>
      </w:r>
      <w:r w:rsidRPr="00F27725">
        <w:rPr>
          <w:rFonts w:ascii="Cambria" w:hAnsi="Cambria"/>
        </w:rPr>
        <w:t>ulture a présenté</w:t>
      </w:r>
      <w:r>
        <w:rPr>
          <w:rFonts w:ascii="Cambria" w:hAnsi="Cambria"/>
        </w:rPr>
        <w:t>,</w:t>
      </w:r>
      <w:r w:rsidRPr="00F27725">
        <w:rPr>
          <w:rFonts w:ascii="Cambria" w:hAnsi="Cambria"/>
        </w:rPr>
        <w:t xml:space="preserve"> en </w:t>
      </w:r>
      <w:r>
        <w:rPr>
          <w:rFonts w:ascii="Cambria" w:hAnsi="Cambria"/>
        </w:rPr>
        <w:t>C</w:t>
      </w:r>
      <w:r w:rsidRPr="00F27725">
        <w:rPr>
          <w:rFonts w:ascii="Cambria" w:hAnsi="Cambria"/>
        </w:rPr>
        <w:t>onseil des ministres, un nouveau projet de loi du Pays venant à mettre à jour le dispositif portant reconnaissance des professions artistiques de Polynésie française et diverses mesures de soutien à ces professions.</w:t>
      </w:r>
    </w:p>
    <w:p w14:paraId="47D06742" w14:textId="77777777" w:rsidR="00BB1641" w:rsidRPr="00F27725" w:rsidRDefault="00BB1641" w:rsidP="00BB1641">
      <w:pPr>
        <w:widowControl w:val="0"/>
        <w:autoSpaceDE w:val="0"/>
        <w:autoSpaceDN w:val="0"/>
        <w:adjustRightInd w:val="0"/>
        <w:spacing w:before="240"/>
        <w:jc w:val="both"/>
        <w:rPr>
          <w:rFonts w:ascii="Cambria" w:hAnsi="Cambria"/>
        </w:rPr>
      </w:pPr>
      <w:r w:rsidRPr="00F27725">
        <w:rPr>
          <w:rFonts w:ascii="Cambria" w:hAnsi="Cambria"/>
        </w:rPr>
        <w:t>Parmi les modifications apportées</w:t>
      </w:r>
      <w:r>
        <w:rPr>
          <w:rFonts w:ascii="Cambria" w:hAnsi="Cambria"/>
        </w:rPr>
        <w:t>,</w:t>
      </w:r>
      <w:r w:rsidRPr="00F27725">
        <w:rPr>
          <w:rFonts w:ascii="Cambria" w:hAnsi="Cambria"/>
        </w:rPr>
        <w:t xml:space="preserve"> figure</w:t>
      </w:r>
      <w:r>
        <w:rPr>
          <w:rFonts w:ascii="Cambria" w:hAnsi="Cambria"/>
        </w:rPr>
        <w:t>nt</w:t>
      </w:r>
      <w:r w:rsidRPr="00F27725">
        <w:rPr>
          <w:rFonts w:ascii="Cambria" w:hAnsi="Cambria"/>
        </w:rPr>
        <w:t xml:space="preserve"> deux ajouts significatifs qui viendront contribuer activement à la reconnaissance des artistes du </w:t>
      </w:r>
      <w:proofErr w:type="spellStart"/>
      <w:r w:rsidRPr="00F27725">
        <w:rPr>
          <w:rFonts w:ascii="Cambria" w:hAnsi="Cambria"/>
        </w:rPr>
        <w:t>fenua</w:t>
      </w:r>
      <w:proofErr w:type="spellEnd"/>
      <w:r w:rsidRPr="00F27725">
        <w:rPr>
          <w:rFonts w:ascii="Cambria" w:hAnsi="Cambria"/>
        </w:rPr>
        <w:t xml:space="preserve"> ainsi qu’à la démocratisation de l’accès à la culture. </w:t>
      </w:r>
    </w:p>
    <w:p w14:paraId="21162D8A" w14:textId="77777777" w:rsidR="00BB1641" w:rsidRPr="00F27725" w:rsidRDefault="00BB1641" w:rsidP="00BB1641">
      <w:pPr>
        <w:pStyle w:val="Paragraphedeliste"/>
        <w:widowControl w:val="0"/>
        <w:numPr>
          <w:ilvl w:val="0"/>
          <w:numId w:val="43"/>
        </w:numPr>
        <w:autoSpaceDE w:val="0"/>
        <w:autoSpaceDN w:val="0"/>
        <w:adjustRightInd w:val="0"/>
        <w:spacing w:before="240" w:after="0"/>
        <w:ind w:left="1208" w:hanging="357"/>
        <w:contextualSpacing w:val="0"/>
        <w:jc w:val="both"/>
        <w:rPr>
          <w:rFonts w:ascii="Cambria" w:hAnsi="Cambria"/>
          <w:u w:val="single"/>
        </w:rPr>
      </w:pPr>
      <w:r w:rsidRPr="00F27725">
        <w:rPr>
          <w:rFonts w:ascii="Cambria" w:hAnsi="Cambria"/>
          <w:sz w:val="24"/>
          <w:u w:val="single"/>
        </w:rPr>
        <w:t>Création du statut de l’artiste émergent</w:t>
      </w:r>
    </w:p>
    <w:p w14:paraId="6ADDC373" w14:textId="77777777" w:rsidR="00BB1641" w:rsidRPr="00F27725" w:rsidRDefault="00BB1641" w:rsidP="00BB1641">
      <w:pPr>
        <w:pStyle w:val="Paragraphedeliste"/>
        <w:spacing w:line="240" w:lineRule="auto"/>
        <w:ind w:left="0"/>
        <w:contextualSpacing w:val="0"/>
        <w:jc w:val="both"/>
        <w:rPr>
          <w:rFonts w:ascii="Cambria" w:hAnsi="Cambria"/>
          <w:bCs/>
          <w:color w:val="000000"/>
          <w:sz w:val="24"/>
          <w:szCs w:val="24"/>
        </w:rPr>
      </w:pPr>
      <w:r w:rsidRPr="00F27725">
        <w:rPr>
          <w:rFonts w:ascii="Cambria" w:hAnsi="Cambria"/>
          <w:bCs/>
          <w:color w:val="000000"/>
          <w:sz w:val="24"/>
          <w:szCs w:val="24"/>
        </w:rPr>
        <w:t xml:space="preserve">La carte d’artiste professionnel, aujourd’hui délivrée, cible les artistes en capacité de répondre à certains critères parmi lesquels l’obligation d’exercer en Polynésie française une activité significative dans le domaine artistique depuis au moins trois ans. </w:t>
      </w:r>
    </w:p>
    <w:p w14:paraId="589FF515" w14:textId="77777777" w:rsidR="00BB1641" w:rsidRPr="00F27725" w:rsidRDefault="00BB1641" w:rsidP="00BB1641">
      <w:pPr>
        <w:pStyle w:val="Paragraphedeliste"/>
        <w:spacing w:before="120" w:line="240" w:lineRule="auto"/>
        <w:ind w:left="0"/>
        <w:contextualSpacing w:val="0"/>
        <w:jc w:val="both"/>
        <w:rPr>
          <w:rFonts w:ascii="Cambria" w:hAnsi="Cambria"/>
          <w:bCs/>
          <w:color w:val="000000"/>
          <w:sz w:val="24"/>
          <w:szCs w:val="24"/>
        </w:rPr>
      </w:pPr>
      <w:r w:rsidRPr="00F27725">
        <w:rPr>
          <w:rFonts w:ascii="Cambria" w:hAnsi="Cambria"/>
          <w:bCs/>
          <w:color w:val="000000"/>
          <w:sz w:val="24"/>
          <w:szCs w:val="24"/>
        </w:rPr>
        <w:t xml:space="preserve">Cette condition fait obstacle à ce que des artistes émergents et jeunes artistes bénéficient de la carte et donc des avantages y attachés. Or ces artistes ont parfois, plus encore que les artistes confirmés, besoin d’un soutien de la puissance publique dans un contexte où il est toujours très difficile pour un artiste émergent de se faire remarquer. </w:t>
      </w:r>
    </w:p>
    <w:p w14:paraId="0B8A0C76" w14:textId="77777777" w:rsidR="00BB1641" w:rsidRPr="00F27725" w:rsidRDefault="00BB1641" w:rsidP="00BB1641">
      <w:pPr>
        <w:pStyle w:val="Paragraphedeliste"/>
        <w:spacing w:before="120" w:line="240" w:lineRule="auto"/>
        <w:ind w:left="0"/>
        <w:contextualSpacing w:val="0"/>
        <w:jc w:val="both"/>
        <w:rPr>
          <w:rFonts w:ascii="Cambria" w:hAnsi="Cambria"/>
          <w:bCs/>
          <w:color w:val="000000"/>
          <w:sz w:val="24"/>
          <w:szCs w:val="24"/>
        </w:rPr>
      </w:pPr>
      <w:r w:rsidRPr="00F27725">
        <w:rPr>
          <w:rFonts w:ascii="Cambria" w:hAnsi="Cambria"/>
          <w:bCs/>
          <w:color w:val="000000"/>
          <w:sz w:val="24"/>
          <w:szCs w:val="24"/>
        </w:rPr>
        <w:t xml:space="preserve">Dès lors, il </w:t>
      </w:r>
      <w:r>
        <w:rPr>
          <w:rFonts w:ascii="Cambria" w:hAnsi="Cambria"/>
          <w:bCs/>
          <w:color w:val="000000"/>
          <w:sz w:val="24"/>
          <w:szCs w:val="24"/>
        </w:rPr>
        <w:t>a été</w:t>
      </w:r>
      <w:r w:rsidRPr="00F27725">
        <w:rPr>
          <w:rFonts w:ascii="Cambria" w:hAnsi="Cambria"/>
          <w:bCs/>
          <w:color w:val="000000"/>
          <w:sz w:val="24"/>
          <w:szCs w:val="24"/>
        </w:rPr>
        <w:t xml:space="preserve"> proposé de créer une nouvelle carte d’artiste, dédiée à ces artistes émergents</w:t>
      </w:r>
      <w:r>
        <w:rPr>
          <w:rFonts w:ascii="Cambria" w:hAnsi="Cambria"/>
          <w:bCs/>
          <w:color w:val="000000"/>
          <w:sz w:val="24"/>
          <w:szCs w:val="24"/>
        </w:rPr>
        <w:t>,</w:t>
      </w:r>
      <w:r w:rsidRPr="00F27725">
        <w:rPr>
          <w:rFonts w:ascii="Cambria" w:hAnsi="Cambria"/>
          <w:bCs/>
          <w:color w:val="000000"/>
          <w:sz w:val="24"/>
          <w:szCs w:val="24"/>
        </w:rPr>
        <w:t xml:space="preserve"> d’une durée de validité de 3 ans. </w:t>
      </w:r>
    </w:p>
    <w:p w14:paraId="4A0CB893" w14:textId="77777777" w:rsidR="00BB1641" w:rsidRPr="00F27725" w:rsidRDefault="00BB1641" w:rsidP="00BB1641">
      <w:pPr>
        <w:pStyle w:val="Paragraphedeliste"/>
        <w:spacing w:before="120" w:line="240" w:lineRule="auto"/>
        <w:ind w:left="0"/>
        <w:contextualSpacing w:val="0"/>
        <w:jc w:val="both"/>
        <w:rPr>
          <w:rFonts w:ascii="Cambria" w:hAnsi="Cambria"/>
          <w:bCs/>
          <w:color w:val="000000"/>
          <w:sz w:val="24"/>
          <w:szCs w:val="24"/>
        </w:rPr>
      </w:pPr>
      <w:r w:rsidRPr="00F27725">
        <w:rPr>
          <w:rFonts w:ascii="Cambria" w:hAnsi="Cambria"/>
          <w:bCs/>
          <w:color w:val="000000"/>
          <w:sz w:val="24"/>
          <w:szCs w:val="24"/>
        </w:rPr>
        <w:t>Néanmoins, la Polynésie française ne pouvant décemment soutenir des personnes qui ne présenteraient aucune référence artistique, il est exigé, au nombre des conditions de délivrance de la carte « artiste émergent », la justification d’un diplôme d’un cursus de fin de cycle du Centre des métiers d’Art ou du conservatoire artistique de la Polynésie française, ou encore de qualités artistiques avérées par des qualifications, des réalisations ou des références antérieures.</w:t>
      </w:r>
    </w:p>
    <w:p w14:paraId="6511B199" w14:textId="77777777" w:rsidR="00BB1641" w:rsidRPr="00F27725" w:rsidRDefault="00BB1641" w:rsidP="00BB1641">
      <w:pPr>
        <w:pStyle w:val="Paragraphedeliste"/>
        <w:numPr>
          <w:ilvl w:val="0"/>
          <w:numId w:val="42"/>
        </w:numPr>
        <w:spacing w:before="240" w:after="0" w:line="240" w:lineRule="auto"/>
        <w:ind w:left="1276"/>
        <w:contextualSpacing w:val="0"/>
        <w:jc w:val="both"/>
        <w:rPr>
          <w:rFonts w:ascii="Cambria" w:hAnsi="Cambria"/>
          <w:bCs/>
          <w:color w:val="000000"/>
          <w:sz w:val="24"/>
          <w:szCs w:val="24"/>
          <w:u w:val="single"/>
        </w:rPr>
      </w:pPr>
      <w:r w:rsidRPr="00F27725">
        <w:rPr>
          <w:rFonts w:ascii="Cambria" w:hAnsi="Cambria"/>
          <w:bCs/>
          <w:color w:val="000000"/>
          <w:sz w:val="24"/>
          <w:szCs w:val="24"/>
          <w:u w:val="single"/>
        </w:rPr>
        <w:t>Mise en place du « 1% artistique »</w:t>
      </w:r>
    </w:p>
    <w:p w14:paraId="72D71E62" w14:textId="77777777" w:rsidR="00BB1641" w:rsidRPr="00F27725" w:rsidRDefault="00BB1641" w:rsidP="00BB1641">
      <w:pPr>
        <w:pStyle w:val="Paragraphedeliste"/>
        <w:spacing w:after="0" w:line="240" w:lineRule="auto"/>
        <w:ind w:left="0"/>
        <w:contextualSpacing w:val="0"/>
        <w:jc w:val="both"/>
        <w:rPr>
          <w:rFonts w:ascii="Cambria" w:hAnsi="Cambria"/>
          <w:bCs/>
          <w:color w:val="000000"/>
          <w:sz w:val="24"/>
          <w:szCs w:val="24"/>
        </w:rPr>
      </w:pPr>
      <w:r w:rsidRPr="00F27725">
        <w:rPr>
          <w:rFonts w:ascii="Cambria" w:hAnsi="Cambria"/>
          <w:bCs/>
          <w:color w:val="000000"/>
          <w:sz w:val="24"/>
          <w:szCs w:val="24"/>
        </w:rPr>
        <w:lastRenderedPageBreak/>
        <w:t xml:space="preserve">Il s’agit de mettre en place une obligation pour la puissance publique de consacrer systématiquement une partie des budgets dédiés aux travaux portant sur des bâtiments publics et leurs abords, à des réalisations artistiques. </w:t>
      </w:r>
    </w:p>
    <w:p w14:paraId="41B593B5" w14:textId="77777777" w:rsidR="00BB1641" w:rsidRDefault="00BB1641" w:rsidP="00BB1641">
      <w:pPr>
        <w:pStyle w:val="Paragraphedeliste"/>
        <w:spacing w:before="120" w:after="0" w:line="240" w:lineRule="auto"/>
        <w:ind w:left="0"/>
        <w:contextualSpacing w:val="0"/>
        <w:jc w:val="both"/>
        <w:rPr>
          <w:rFonts w:ascii="Cambria" w:hAnsi="Cambria"/>
          <w:bCs/>
          <w:color w:val="000000"/>
          <w:sz w:val="24"/>
          <w:szCs w:val="24"/>
        </w:rPr>
      </w:pPr>
      <w:r w:rsidRPr="00F27725">
        <w:rPr>
          <w:rFonts w:ascii="Cambria" w:hAnsi="Cambria"/>
          <w:bCs/>
          <w:color w:val="000000"/>
          <w:sz w:val="24"/>
          <w:szCs w:val="24"/>
        </w:rPr>
        <w:t>Pour permettre aux maîtres d’ouvrage d’assimiler cette obligation dans les meilleures conditions, il est proposé dans un premier temps d’en limiter l’application aux seuls travaux de construction et d’extension des bâtiments publics (à l’exclusion donc des rénovations) dont la maîtrise d’ouvrage est assurée par la Polynésie française et ses établissements publics (à l’exclusion donc des communes et de l’Etat) et portant sur les seuls bâtiments affectés à une mission de service public et ayant vocation à accueillir du public (l’objectif étant de valoriser les réalisations artistiques en les exposant au plus grand nombre).</w:t>
      </w:r>
    </w:p>
    <w:p w14:paraId="6DF05534" w14:textId="77777777" w:rsidR="00BB1641" w:rsidRPr="00F27725" w:rsidRDefault="00BB1641" w:rsidP="00BB1641">
      <w:pPr>
        <w:pStyle w:val="Paragraphedeliste"/>
        <w:spacing w:before="120" w:after="0" w:line="240" w:lineRule="auto"/>
        <w:ind w:left="0"/>
        <w:contextualSpacing w:val="0"/>
        <w:jc w:val="both"/>
        <w:rPr>
          <w:rFonts w:ascii="Cambria" w:hAnsi="Cambria"/>
          <w:bCs/>
          <w:color w:val="000000"/>
          <w:sz w:val="24"/>
          <w:szCs w:val="24"/>
        </w:rPr>
      </w:pPr>
      <w:r w:rsidRPr="00F27725">
        <w:rPr>
          <w:rFonts w:ascii="Cambria" w:hAnsi="Cambria"/>
          <w:bCs/>
          <w:color w:val="000000"/>
          <w:sz w:val="24"/>
          <w:szCs w:val="24"/>
        </w:rPr>
        <w:t>Le budget à consacrer à ces réalisations est fixé à 1 % du montant prévisionnel hors taxe des travaux, sans toutefois pouvoir excéde</w:t>
      </w:r>
      <w:r w:rsidRPr="00F27725">
        <w:rPr>
          <w:rFonts w:ascii="Cambria" w:hAnsi="Cambria"/>
          <w:bCs/>
          <w:sz w:val="24"/>
          <w:szCs w:val="24"/>
        </w:rPr>
        <w:t xml:space="preserve">r dix millions </w:t>
      </w:r>
      <w:proofErr w:type="spellStart"/>
      <w:r>
        <w:rPr>
          <w:rFonts w:ascii="Cambria" w:hAnsi="Cambria"/>
          <w:bCs/>
          <w:sz w:val="24"/>
          <w:szCs w:val="24"/>
        </w:rPr>
        <w:t>Fcfp</w:t>
      </w:r>
      <w:proofErr w:type="spellEnd"/>
      <w:r w:rsidRPr="00F27725">
        <w:rPr>
          <w:rFonts w:ascii="Cambria" w:hAnsi="Cambria"/>
          <w:bCs/>
          <w:color w:val="000000"/>
          <w:sz w:val="24"/>
          <w:szCs w:val="24"/>
        </w:rPr>
        <w:t xml:space="preserve">. Pour des travaux dont les coûts excèderaient un milliard </w:t>
      </w:r>
      <w:proofErr w:type="spellStart"/>
      <w:r>
        <w:rPr>
          <w:rFonts w:ascii="Cambria" w:hAnsi="Cambria"/>
          <w:bCs/>
          <w:color w:val="000000"/>
          <w:sz w:val="24"/>
          <w:szCs w:val="24"/>
        </w:rPr>
        <w:t>Fcfp</w:t>
      </w:r>
      <w:proofErr w:type="spellEnd"/>
      <w:r w:rsidRPr="00F27725">
        <w:rPr>
          <w:rFonts w:ascii="Cambria" w:hAnsi="Cambria"/>
          <w:bCs/>
          <w:color w:val="000000"/>
          <w:sz w:val="24"/>
          <w:szCs w:val="24"/>
        </w:rPr>
        <w:t xml:space="preserve">, l’enveloppe à consacrer au dispositif est donc plafonnée à dix millions </w:t>
      </w:r>
      <w:proofErr w:type="spellStart"/>
      <w:r>
        <w:rPr>
          <w:rFonts w:ascii="Cambria" w:hAnsi="Cambria"/>
          <w:bCs/>
          <w:color w:val="000000"/>
          <w:sz w:val="24"/>
          <w:szCs w:val="24"/>
        </w:rPr>
        <w:t>Fcfp</w:t>
      </w:r>
      <w:proofErr w:type="spellEnd"/>
      <w:r w:rsidRPr="00F27725">
        <w:rPr>
          <w:rFonts w:ascii="Cambria" w:hAnsi="Cambria"/>
          <w:bCs/>
          <w:color w:val="000000"/>
          <w:sz w:val="24"/>
          <w:szCs w:val="24"/>
        </w:rPr>
        <w:t>.</w:t>
      </w:r>
    </w:p>
    <w:p w14:paraId="38018C8D" w14:textId="77777777" w:rsidR="00BB1641" w:rsidRPr="00F27725" w:rsidRDefault="00BB1641" w:rsidP="00BB1641">
      <w:pPr>
        <w:pStyle w:val="-LettreTexteGEDA"/>
        <w:spacing w:before="240"/>
        <w:ind w:firstLine="0"/>
        <w:rPr>
          <w:rFonts w:ascii="Cambria" w:hAnsi="Cambria"/>
        </w:rPr>
      </w:pPr>
      <w:r w:rsidRPr="00F27725">
        <w:rPr>
          <w:rFonts w:ascii="Cambria" w:hAnsi="Cambria"/>
        </w:rPr>
        <w:t xml:space="preserve">A la différence du </w:t>
      </w:r>
      <w:r w:rsidRPr="00F27725">
        <w:rPr>
          <w:rFonts w:ascii="Cambria" w:hAnsi="Cambria"/>
          <w:bCs/>
          <w:noProof w:val="0"/>
          <w:color w:val="000000"/>
          <w:szCs w:val="24"/>
        </w:rPr>
        <w:t>dispositif du même nom applicable en France métropolitaine</w:t>
      </w:r>
      <w:r w:rsidRPr="00F27725">
        <w:rPr>
          <w:rFonts w:ascii="Cambria" w:hAnsi="Cambria"/>
          <w:bCs/>
          <w:color w:val="000000"/>
        </w:rPr>
        <w:t>,</w:t>
      </w:r>
      <w:r w:rsidRPr="00F27725">
        <w:rPr>
          <w:rFonts w:ascii="Cambria" w:hAnsi="Cambria"/>
          <w:bCs/>
          <w:noProof w:val="0"/>
          <w:color w:val="000000"/>
          <w:szCs w:val="24"/>
        </w:rPr>
        <w:t xml:space="preserve"> </w:t>
      </w:r>
      <w:r w:rsidRPr="00F27725">
        <w:rPr>
          <w:rFonts w:ascii="Cambria" w:hAnsi="Cambria"/>
          <w:bCs/>
          <w:color w:val="000000"/>
        </w:rPr>
        <w:t>le dispositif polynésien est accompagné de la création d’un compte spécial dénommé fonds pour la promotion de l’expression artistique. Ainsi, dans le cas où les sommes dédiées au financement de réalisations artistiques n’auront pas été intégralement utilisées pour le financement de réalisations artistiques, le solde sera reversé au fonds pour la promotion de l’expression artistique.</w:t>
      </w:r>
      <w:r w:rsidRPr="00F27725">
        <w:rPr>
          <w:rFonts w:ascii="Cambria" w:hAnsi="Cambria"/>
        </w:rPr>
        <w:t xml:space="preserve"> </w:t>
      </w:r>
    </w:p>
    <w:p w14:paraId="2E79BCFD" w14:textId="77777777" w:rsidR="00BB1641" w:rsidRPr="00F27725" w:rsidRDefault="00BB1641" w:rsidP="00BB1641">
      <w:pPr>
        <w:pStyle w:val="-LettreTexteGEDA"/>
        <w:spacing w:before="240"/>
        <w:ind w:firstLine="0"/>
        <w:rPr>
          <w:rFonts w:ascii="Cambria" w:hAnsi="Cambria"/>
          <w:noProof w:val="0"/>
        </w:rPr>
      </w:pPr>
      <w:r w:rsidRPr="00F27725">
        <w:rPr>
          <w:rFonts w:ascii="Cambria" w:hAnsi="Cambria"/>
          <w:noProof w:val="0"/>
        </w:rPr>
        <w:t>De façon concrète le fonds permettra, notamment, au Pays de pouvoir faire l’acquisition d’œuvres d’art ou toute autre opération permettant de concourir à la promotion de l’art en Polynésie française (opération de restauration des collections conservées au sein</w:t>
      </w:r>
      <w:r>
        <w:rPr>
          <w:rFonts w:ascii="Cambria" w:hAnsi="Cambria"/>
          <w:noProof w:val="0"/>
        </w:rPr>
        <w:t xml:space="preserve"> du Musée de Tahiti et des îles</w:t>
      </w:r>
      <w:r w:rsidRPr="00F27725">
        <w:rPr>
          <w:rFonts w:ascii="Cambria" w:hAnsi="Cambria"/>
          <w:noProof w:val="0"/>
        </w:rPr>
        <w:t>; acquisition d’archives présentant un intérêt patrimonial majeur).</w:t>
      </w:r>
      <w:r>
        <w:rPr>
          <w:rFonts w:ascii="Cambria" w:hAnsi="Cambria"/>
          <w:noProof w:val="0"/>
        </w:rPr>
        <w:t xml:space="preserve"> </w:t>
      </w:r>
      <w:r w:rsidRPr="00F27725">
        <w:rPr>
          <w:rFonts w:ascii="Cambria" w:hAnsi="Cambria"/>
          <w:noProof w:val="0"/>
        </w:rPr>
        <w:t xml:space="preserve">Le projet de loi du Pays a été transmis pour avis au Conseil économique, social, environnemental et culturel (CESEC) </w:t>
      </w:r>
      <w:r w:rsidRPr="00F27725">
        <w:rPr>
          <w:rFonts w:ascii="Cambria" w:hAnsi="Cambria"/>
        </w:rPr>
        <w:t>avec pour objectif une mise en application au début de l’année 2021.</w:t>
      </w:r>
    </w:p>
    <w:p w14:paraId="0F53FF7E" w14:textId="77777777" w:rsidR="00BB1641" w:rsidRPr="00F27725" w:rsidRDefault="00BB1641" w:rsidP="00BB1641">
      <w:pPr>
        <w:pStyle w:val="-LettreTexteGEDA"/>
        <w:ind w:firstLine="0"/>
        <w:rPr>
          <w:rFonts w:ascii="Cambria" w:hAnsi="Cambria"/>
        </w:rPr>
      </w:pPr>
    </w:p>
    <w:p w14:paraId="247D467D" w14:textId="77777777" w:rsidR="00BB1641" w:rsidRPr="005A2496" w:rsidRDefault="00BB1641" w:rsidP="00BB1641">
      <w:pPr>
        <w:pStyle w:val="-LettreTexteGEDA"/>
        <w:ind w:firstLine="0"/>
        <w:rPr>
          <w:rFonts w:ascii="Cambria" w:hAnsi="Cambria"/>
          <w:b/>
        </w:rPr>
      </w:pPr>
      <w:r w:rsidRPr="005A2496">
        <w:rPr>
          <w:rFonts w:ascii="Cambria" w:hAnsi="Cambria"/>
          <w:b/>
        </w:rPr>
        <w:t>Bilan du séminaire organisé par le COPF</w:t>
      </w:r>
    </w:p>
    <w:p w14:paraId="7505E859" w14:textId="77777777" w:rsidR="00BB1641" w:rsidRPr="005A2496" w:rsidRDefault="00BB1641" w:rsidP="00BB1641">
      <w:pPr>
        <w:pStyle w:val="NormalWeb"/>
        <w:spacing w:before="120" w:after="0"/>
        <w:jc w:val="both"/>
        <w:rPr>
          <w:rFonts w:ascii="Cambria" w:hAnsi="Cambria"/>
        </w:rPr>
      </w:pPr>
      <w:r w:rsidRPr="005A2496">
        <w:rPr>
          <w:rFonts w:ascii="Cambria" w:hAnsi="Cambria"/>
        </w:rPr>
        <w:t xml:space="preserve">Le mouvement sportif polynésien a eu le privilège d’accueillir Claude </w:t>
      </w:r>
      <w:proofErr w:type="spellStart"/>
      <w:r w:rsidRPr="005A2496">
        <w:rPr>
          <w:rFonts w:ascii="Cambria" w:hAnsi="Cambria"/>
        </w:rPr>
        <w:t>Onesta</w:t>
      </w:r>
      <w:proofErr w:type="spellEnd"/>
      <w:r w:rsidRPr="005A2496">
        <w:rPr>
          <w:rFonts w:ascii="Cambria" w:hAnsi="Cambria"/>
        </w:rPr>
        <w:t>, actuel directeur de la Haute Performance à l’Agence nationale du Sport (</w:t>
      </w:r>
      <w:proofErr w:type="spellStart"/>
      <w:r w:rsidRPr="005A2496">
        <w:rPr>
          <w:rFonts w:ascii="Cambria" w:hAnsi="Cambria"/>
        </w:rPr>
        <w:t>AnS</w:t>
      </w:r>
      <w:proofErr w:type="spellEnd"/>
      <w:r w:rsidRPr="005A2496">
        <w:rPr>
          <w:rFonts w:ascii="Cambria" w:hAnsi="Cambria"/>
        </w:rPr>
        <w:t>) et entraîneur emblématique de l’équipe olympique de France de Handball, lors d’un séminaire organisé le mois dernier par le Comité Olympique de Polynésie française.</w:t>
      </w:r>
    </w:p>
    <w:p w14:paraId="7EAF8E59" w14:textId="77777777" w:rsidR="00BB1641" w:rsidRPr="005A2496" w:rsidRDefault="00BB1641" w:rsidP="00BB1641">
      <w:pPr>
        <w:pStyle w:val="NormalWeb"/>
        <w:spacing w:before="120" w:after="0"/>
        <w:jc w:val="both"/>
        <w:rPr>
          <w:rFonts w:ascii="Cambria" w:hAnsi="Cambria"/>
        </w:rPr>
      </w:pPr>
      <w:r w:rsidRPr="005A2496">
        <w:rPr>
          <w:rFonts w:ascii="Cambria" w:hAnsi="Cambria"/>
        </w:rPr>
        <w:t>Avec pour thématique principale la Performance et le Haut Niveau ce séminaire, à destination principalement des acteurs du mouvement sportif, est le 2</w:t>
      </w:r>
      <w:r w:rsidRPr="005A2496">
        <w:rPr>
          <w:rFonts w:ascii="Cambria" w:hAnsi="Cambria"/>
          <w:vertAlign w:val="superscript"/>
        </w:rPr>
        <w:t>ème</w:t>
      </w:r>
      <w:r w:rsidRPr="005A2496">
        <w:rPr>
          <w:rFonts w:ascii="Cambria" w:hAnsi="Cambria"/>
        </w:rPr>
        <w:t xml:space="preserve"> organisé par le COPF cette année et fait partie d’une programmation biannuelle que le comité compte maintenir dans les années à venir.</w:t>
      </w:r>
    </w:p>
    <w:p w14:paraId="2FF4DB74" w14:textId="77777777" w:rsidR="00BB1641" w:rsidRPr="005A2496" w:rsidRDefault="00BB1641" w:rsidP="00BB1641">
      <w:pPr>
        <w:pStyle w:val="NormalWeb"/>
        <w:spacing w:before="120" w:after="0"/>
        <w:jc w:val="both"/>
        <w:rPr>
          <w:rFonts w:ascii="Cambria" w:hAnsi="Cambria"/>
        </w:rPr>
      </w:pPr>
      <w:r w:rsidRPr="005A2496">
        <w:rPr>
          <w:rFonts w:ascii="Cambria" w:hAnsi="Cambria"/>
        </w:rPr>
        <w:t>Pour cette édition, le COPF s’était fixé comme</w:t>
      </w:r>
      <w:r>
        <w:rPr>
          <w:rFonts w:ascii="Cambria" w:hAnsi="Cambria"/>
        </w:rPr>
        <w:t xml:space="preserve"> objectifs principaux d’e</w:t>
      </w:r>
      <w:r w:rsidRPr="005A2496">
        <w:rPr>
          <w:rFonts w:ascii="Cambria" w:hAnsi="Cambria"/>
        </w:rPr>
        <w:t>nrichir la formation continue des cadres et référents techniques des fédérations sportives polynésiennes</w:t>
      </w:r>
      <w:r>
        <w:rPr>
          <w:rFonts w:ascii="Cambria" w:hAnsi="Cambria"/>
        </w:rPr>
        <w:t>, d’i</w:t>
      </w:r>
      <w:r w:rsidRPr="005A2496">
        <w:rPr>
          <w:rFonts w:ascii="Cambria" w:hAnsi="Cambria"/>
        </w:rPr>
        <w:t xml:space="preserve">mpulser un renouveau dans la gestion et le management des entités sportives </w:t>
      </w:r>
      <w:r w:rsidRPr="005A2496">
        <w:rPr>
          <w:rFonts w:ascii="Cambria" w:hAnsi="Cambria"/>
        </w:rPr>
        <w:lastRenderedPageBreak/>
        <w:t>associatives</w:t>
      </w:r>
      <w:r>
        <w:rPr>
          <w:rFonts w:ascii="Cambria" w:hAnsi="Cambria"/>
        </w:rPr>
        <w:t>, de p</w:t>
      </w:r>
      <w:r w:rsidRPr="005A2496">
        <w:rPr>
          <w:rFonts w:ascii="Cambria" w:hAnsi="Cambria"/>
        </w:rPr>
        <w:t>romouvoir la culture de la gagne au sein du mouvement sportif polynésien</w:t>
      </w:r>
      <w:r>
        <w:rPr>
          <w:rFonts w:ascii="Cambria" w:hAnsi="Cambria"/>
        </w:rPr>
        <w:t xml:space="preserve"> et de f</w:t>
      </w:r>
      <w:r w:rsidRPr="005A2496">
        <w:rPr>
          <w:rFonts w:ascii="Cambria" w:hAnsi="Cambria"/>
        </w:rPr>
        <w:t>édérer tous les acteurs du mouvement sportif polynésien</w:t>
      </w:r>
    </w:p>
    <w:p w14:paraId="5F93B300" w14:textId="77777777" w:rsidR="00BB1641" w:rsidRPr="005A2496" w:rsidRDefault="00BB1641" w:rsidP="00BB1641">
      <w:pPr>
        <w:pStyle w:val="NormalWeb"/>
        <w:spacing w:before="120" w:after="0"/>
        <w:jc w:val="both"/>
        <w:rPr>
          <w:rFonts w:ascii="Cambria" w:hAnsi="Cambria"/>
        </w:rPr>
      </w:pPr>
      <w:r w:rsidRPr="005A2496">
        <w:rPr>
          <w:rFonts w:ascii="Cambria" w:hAnsi="Cambria"/>
        </w:rPr>
        <w:t xml:space="preserve">La venue de Claude </w:t>
      </w:r>
      <w:proofErr w:type="spellStart"/>
      <w:r w:rsidRPr="005A2496">
        <w:rPr>
          <w:rFonts w:ascii="Cambria" w:hAnsi="Cambria"/>
        </w:rPr>
        <w:t>Onesta</w:t>
      </w:r>
      <w:proofErr w:type="spellEnd"/>
      <w:r w:rsidRPr="005A2496">
        <w:rPr>
          <w:rFonts w:ascii="Cambria" w:hAnsi="Cambria"/>
        </w:rPr>
        <w:t xml:space="preserve"> et le choix des sujets abordés ont contribué à la très forte mobilisation des acteurs du mouvement sportif sur les 3 jours d’ateliers et de soirées débats. Au-delà des objectifs atteints</w:t>
      </w:r>
      <w:r>
        <w:rPr>
          <w:rFonts w:ascii="Cambria" w:hAnsi="Cambria"/>
        </w:rPr>
        <w:t>,</w:t>
      </w:r>
      <w:r w:rsidRPr="005A2496">
        <w:rPr>
          <w:rFonts w:ascii="Cambria" w:hAnsi="Cambria"/>
        </w:rPr>
        <w:t xml:space="preserve"> le bilan présenté au Conseil des ministres fait mention de l’impact positif de la présence de Claude </w:t>
      </w:r>
      <w:proofErr w:type="spellStart"/>
      <w:r w:rsidRPr="005A2496">
        <w:rPr>
          <w:rFonts w:ascii="Cambria" w:hAnsi="Cambria"/>
        </w:rPr>
        <w:t>Onesta</w:t>
      </w:r>
      <w:proofErr w:type="spellEnd"/>
      <w:r w:rsidRPr="005A2496">
        <w:rPr>
          <w:rFonts w:ascii="Cambria" w:hAnsi="Cambria"/>
        </w:rPr>
        <w:t xml:space="preserve"> sur l’avancée d’autres sujets importants pour le mouvement sportif polynésien. Il s’agit notamment de la réintégration du COPF dans les instances sportives olympiques du Pacifique à travers une reconnaissance mutuelle et une recherche de partenariat avec le Comité National Olympique et Sportif Français (CNOSF). Une visio-conférence entre les deux présidents de ces instances sportives a permis de poser les bases d’un partenariat constructif.</w:t>
      </w:r>
    </w:p>
    <w:p w14:paraId="4046FA3D" w14:textId="77777777" w:rsidR="00BB1641" w:rsidRPr="005A2496" w:rsidRDefault="00BB1641" w:rsidP="00BB1641">
      <w:pPr>
        <w:pStyle w:val="NormalWeb"/>
        <w:spacing w:before="120" w:after="0"/>
        <w:jc w:val="both"/>
        <w:rPr>
          <w:rFonts w:ascii="Cambria" w:hAnsi="Cambria"/>
        </w:rPr>
      </w:pPr>
      <w:r w:rsidRPr="005A2496">
        <w:rPr>
          <w:rFonts w:ascii="Cambria" w:hAnsi="Cambria"/>
        </w:rPr>
        <w:t xml:space="preserve">De plus, Claude </w:t>
      </w:r>
      <w:proofErr w:type="spellStart"/>
      <w:r w:rsidRPr="005A2496">
        <w:rPr>
          <w:rFonts w:ascii="Cambria" w:hAnsi="Cambria"/>
        </w:rPr>
        <w:t>Onesta</w:t>
      </w:r>
      <w:proofErr w:type="spellEnd"/>
      <w:r w:rsidRPr="005A2496">
        <w:rPr>
          <w:rFonts w:ascii="Cambria" w:hAnsi="Cambria"/>
        </w:rPr>
        <w:t xml:space="preserve"> a profité de son séjour pour rencontrer </w:t>
      </w:r>
      <w:proofErr w:type="spellStart"/>
      <w:r w:rsidRPr="005A2496">
        <w:rPr>
          <w:rFonts w:ascii="Cambria" w:hAnsi="Cambria"/>
        </w:rPr>
        <w:t>Hira</w:t>
      </w:r>
      <w:proofErr w:type="spellEnd"/>
      <w:r w:rsidRPr="005A2496">
        <w:rPr>
          <w:rFonts w:ascii="Cambria" w:hAnsi="Cambria"/>
        </w:rPr>
        <w:t xml:space="preserve"> </w:t>
      </w:r>
      <w:proofErr w:type="spellStart"/>
      <w:r w:rsidRPr="005A2496">
        <w:rPr>
          <w:rFonts w:ascii="Cambria" w:hAnsi="Cambria"/>
        </w:rPr>
        <w:t>Teriinatoofa</w:t>
      </w:r>
      <w:proofErr w:type="spellEnd"/>
      <w:r w:rsidRPr="005A2496">
        <w:rPr>
          <w:rFonts w:ascii="Cambria" w:hAnsi="Cambria"/>
        </w:rPr>
        <w:t xml:space="preserve">, entraîneur Préparation Olympique des équipes de France de surf, dont le poste est entièrement pris en charge par la cellule Haute Performance qu’il dirige à </w:t>
      </w:r>
      <w:proofErr w:type="spellStart"/>
      <w:r w:rsidRPr="005A2496">
        <w:rPr>
          <w:rFonts w:ascii="Cambria" w:hAnsi="Cambria"/>
        </w:rPr>
        <w:t>l’AnS</w:t>
      </w:r>
      <w:proofErr w:type="spellEnd"/>
      <w:r w:rsidRPr="005A2496">
        <w:rPr>
          <w:rFonts w:ascii="Cambria" w:hAnsi="Cambria"/>
        </w:rPr>
        <w:t xml:space="preserve">. C’est une opportunité inattendue pour </w:t>
      </w:r>
      <w:proofErr w:type="spellStart"/>
      <w:r w:rsidRPr="005A2496">
        <w:rPr>
          <w:rFonts w:ascii="Cambria" w:hAnsi="Cambria"/>
        </w:rPr>
        <w:t>Hira</w:t>
      </w:r>
      <w:proofErr w:type="spellEnd"/>
      <w:r w:rsidRPr="005A2496">
        <w:rPr>
          <w:rFonts w:ascii="Cambria" w:hAnsi="Cambria"/>
        </w:rPr>
        <w:t xml:space="preserve"> </w:t>
      </w:r>
      <w:proofErr w:type="spellStart"/>
      <w:r w:rsidRPr="005A2496">
        <w:rPr>
          <w:rFonts w:ascii="Cambria" w:hAnsi="Cambria"/>
        </w:rPr>
        <w:t>Teriinatoofa</w:t>
      </w:r>
      <w:proofErr w:type="spellEnd"/>
      <w:r w:rsidRPr="005A2496">
        <w:rPr>
          <w:rFonts w:ascii="Cambria" w:hAnsi="Cambria"/>
        </w:rPr>
        <w:t xml:space="preserve"> d’entamer son nouveau mandat avec les conseils d’un ancien entraîneur olympique reconnu mondialement.</w:t>
      </w:r>
    </w:p>
    <w:p w14:paraId="7DFADDEF" w14:textId="77777777" w:rsidR="00BB1641" w:rsidRPr="005A2496" w:rsidRDefault="00BB1641" w:rsidP="00BB1641">
      <w:pPr>
        <w:pStyle w:val="NormalWeb"/>
        <w:spacing w:before="120" w:after="0"/>
        <w:jc w:val="both"/>
        <w:rPr>
          <w:rFonts w:ascii="Cambria" w:hAnsi="Cambria"/>
        </w:rPr>
      </w:pPr>
      <w:r w:rsidRPr="005A2496">
        <w:rPr>
          <w:rFonts w:ascii="Cambria" w:hAnsi="Cambria"/>
        </w:rPr>
        <w:t xml:space="preserve">Ce </w:t>
      </w:r>
      <w:r>
        <w:rPr>
          <w:rFonts w:ascii="Cambria" w:hAnsi="Cambria"/>
        </w:rPr>
        <w:t>deuxième</w:t>
      </w:r>
      <w:r w:rsidRPr="005A2496">
        <w:rPr>
          <w:rFonts w:ascii="Cambria" w:hAnsi="Cambria"/>
        </w:rPr>
        <w:t xml:space="preserve"> séminaire  prouve la capacité du mouvement sportif polynésien à se fédérer autour d’objectifs communs et la mobilisation de plus en plus grande de tous pour un changement profond du secteur. A cet effet, le COPF présentera prochainement au Conseil des </w:t>
      </w:r>
      <w:r>
        <w:rPr>
          <w:rFonts w:ascii="Cambria" w:hAnsi="Cambria"/>
        </w:rPr>
        <w:t>m</w:t>
      </w:r>
      <w:r w:rsidRPr="005A2496">
        <w:rPr>
          <w:rFonts w:ascii="Cambria" w:hAnsi="Cambria"/>
        </w:rPr>
        <w:t>inistres son projet sportif à l’horizon 2027.</w:t>
      </w:r>
    </w:p>
    <w:p w14:paraId="1C21099F" w14:textId="77777777" w:rsidR="00BB1641" w:rsidRDefault="00BB1641" w:rsidP="00BB1641">
      <w:pPr>
        <w:pStyle w:val="-LettreTexteGEDA"/>
        <w:ind w:firstLine="0"/>
        <w:rPr>
          <w:rFonts w:ascii="Cambria" w:hAnsi="Cambria"/>
        </w:rPr>
      </w:pPr>
    </w:p>
    <w:p w14:paraId="3A7ACC8A" w14:textId="77777777" w:rsidR="00BB1641" w:rsidRPr="00260254" w:rsidRDefault="00BB1641" w:rsidP="00BB1641">
      <w:pPr>
        <w:pStyle w:val="-LettreTexteGEDA"/>
        <w:ind w:firstLine="0"/>
        <w:rPr>
          <w:rFonts w:ascii="Cambria" w:hAnsi="Cambria"/>
          <w:b/>
          <w:bCs/>
        </w:rPr>
      </w:pPr>
      <w:r w:rsidRPr="00260254">
        <w:rPr>
          <w:rFonts w:ascii="Cambria" w:hAnsi="Cambria"/>
          <w:b/>
          <w:bCs/>
        </w:rPr>
        <w:t xml:space="preserve">Subventions en faveur d’associations et </w:t>
      </w:r>
      <w:r>
        <w:rPr>
          <w:rFonts w:ascii="Cambria" w:hAnsi="Cambria"/>
          <w:b/>
          <w:bCs/>
        </w:rPr>
        <w:t xml:space="preserve">de </w:t>
      </w:r>
      <w:r w:rsidRPr="00260254">
        <w:rPr>
          <w:rFonts w:ascii="Cambria" w:hAnsi="Cambria"/>
          <w:b/>
          <w:bCs/>
        </w:rPr>
        <w:t>fédérations sportives</w:t>
      </w:r>
    </w:p>
    <w:p w14:paraId="14059151" w14:textId="77777777" w:rsidR="00BB1641" w:rsidRPr="00260254" w:rsidRDefault="00BB1641" w:rsidP="00BB1641">
      <w:pPr>
        <w:pStyle w:val="-LettreTexteGEDA"/>
        <w:ind w:firstLine="0"/>
        <w:rPr>
          <w:rFonts w:ascii="Cambria" w:hAnsi="Cambria"/>
          <w:b/>
          <w:bCs/>
        </w:rPr>
      </w:pPr>
    </w:p>
    <w:p w14:paraId="34A49955" w14:textId="77777777" w:rsidR="00BB1641" w:rsidRPr="00260254" w:rsidRDefault="00BB1641" w:rsidP="00BB1641">
      <w:pPr>
        <w:pStyle w:val="-LettreTexteGEDA"/>
        <w:ind w:firstLine="0"/>
        <w:rPr>
          <w:rFonts w:ascii="Cambria" w:hAnsi="Cambria"/>
        </w:rPr>
      </w:pPr>
      <w:r w:rsidRPr="00260254">
        <w:rPr>
          <w:rFonts w:ascii="Cambria" w:hAnsi="Cambria"/>
        </w:rPr>
        <w:t>Sur proposition du ministre du Culture, en charge de la Jeunesse et des sports, le Conseil des ministres a octroyé plusieurs subventions pour un montant total de 105 494 588 Fcfp, en faveur :</w:t>
      </w:r>
    </w:p>
    <w:p w14:paraId="299B219B" w14:textId="77777777" w:rsidR="00BB1641" w:rsidRPr="00260254" w:rsidRDefault="00BB1641" w:rsidP="00BB1641">
      <w:pPr>
        <w:pStyle w:val="-LettreTexteGEDA"/>
        <w:numPr>
          <w:ilvl w:val="0"/>
          <w:numId w:val="40"/>
        </w:numPr>
        <w:adjustRightInd/>
        <w:textAlignment w:val="auto"/>
        <w:rPr>
          <w:rFonts w:ascii="Cambria" w:hAnsi="Cambria"/>
        </w:rPr>
      </w:pPr>
      <w:r w:rsidRPr="00260254">
        <w:rPr>
          <w:rFonts w:ascii="Cambria" w:hAnsi="Cambria"/>
        </w:rPr>
        <w:t>Onze associations et</w:t>
      </w:r>
      <w:r>
        <w:rPr>
          <w:rFonts w:ascii="Cambria" w:hAnsi="Cambria"/>
        </w:rPr>
        <w:t xml:space="preserve"> quatorze fédérations sportives</w:t>
      </w:r>
      <w:r w:rsidRPr="00260254">
        <w:rPr>
          <w:rFonts w:ascii="Cambria" w:hAnsi="Cambria"/>
        </w:rPr>
        <w:t xml:space="preserve">: </w:t>
      </w:r>
    </w:p>
    <w:p w14:paraId="3F64F4FA" w14:textId="77777777" w:rsidR="00BB1641" w:rsidRPr="00260254" w:rsidRDefault="00BB1641" w:rsidP="00BB1641">
      <w:pPr>
        <w:pStyle w:val="-LettreTexteGEDA"/>
        <w:numPr>
          <w:ilvl w:val="0"/>
          <w:numId w:val="41"/>
        </w:numPr>
        <w:adjustRightInd/>
        <w:textAlignment w:val="auto"/>
        <w:rPr>
          <w:rFonts w:ascii="Cambria" w:hAnsi="Cambria"/>
        </w:rPr>
      </w:pPr>
      <w:r>
        <w:rPr>
          <w:rFonts w:ascii="Cambria" w:hAnsi="Cambria"/>
        </w:rPr>
        <w:t>Associations sportives</w:t>
      </w:r>
      <w:r w:rsidRPr="00260254">
        <w:rPr>
          <w:rFonts w:ascii="Cambria" w:hAnsi="Cambria"/>
        </w:rPr>
        <w:t>: Manu Ura de Paea, Ligue Marquisienne de Football, Cercle des Nageurs de Polynésie, Section Sportive de Tefana Football.</w:t>
      </w:r>
    </w:p>
    <w:p w14:paraId="1F16E11B" w14:textId="77777777" w:rsidR="00BB1641" w:rsidRPr="00260254" w:rsidRDefault="00BB1641" w:rsidP="00BB1641">
      <w:pPr>
        <w:pStyle w:val="-LettreTexteGEDA"/>
        <w:numPr>
          <w:ilvl w:val="0"/>
          <w:numId w:val="41"/>
        </w:numPr>
        <w:adjustRightInd/>
        <w:textAlignment w:val="auto"/>
        <w:rPr>
          <w:rFonts w:ascii="Cambria" w:hAnsi="Cambria"/>
        </w:rPr>
      </w:pPr>
      <w:r>
        <w:rPr>
          <w:rFonts w:ascii="Cambria" w:hAnsi="Cambria"/>
        </w:rPr>
        <w:t>Clubs bâtisseurs</w:t>
      </w:r>
      <w:r w:rsidRPr="00260254">
        <w:rPr>
          <w:rFonts w:ascii="Cambria" w:hAnsi="Cambria"/>
        </w:rPr>
        <w:t>: Aorai, Excelsior, Les Jeunes Tahitiens, Fei-Pi 1923, Vénus, Central Sport et Dragon</w:t>
      </w:r>
    </w:p>
    <w:p w14:paraId="4BC68AD2" w14:textId="77777777" w:rsidR="00BB1641" w:rsidRPr="00260254" w:rsidRDefault="00BB1641" w:rsidP="00BB1641">
      <w:pPr>
        <w:pStyle w:val="-LettreTexteGEDA"/>
        <w:numPr>
          <w:ilvl w:val="0"/>
          <w:numId w:val="41"/>
        </w:numPr>
        <w:adjustRightInd/>
        <w:textAlignment w:val="auto"/>
        <w:rPr>
          <w:rFonts w:ascii="Cambria" w:hAnsi="Cambria"/>
        </w:rPr>
      </w:pPr>
      <w:r>
        <w:rPr>
          <w:rFonts w:ascii="Cambria" w:hAnsi="Cambria"/>
        </w:rPr>
        <w:t>Fédérations sportives</w:t>
      </w:r>
      <w:r w:rsidRPr="00260254">
        <w:rPr>
          <w:rFonts w:ascii="Cambria" w:hAnsi="Cambria"/>
        </w:rPr>
        <w:t>: Fédération de Boxe Anglaise de Polynésie française, Fédération d’Athlétisme de Polynésie française, Fédération Tahitienne de Handball, Fédération Tahitienne de Triathlon, Fédération Tahitienne de Badminton, Fédération Tahitienne de Va’a, Fédération Tahitienne de Natation, Fédération Polynésienne de Judo, Fédération Tahitienne de Tennis de Table, Fédération Polynésienne des Sports Adaptés et Handisports, Fédération Tahitienne de Cyclisme, Fédération Tahitienne de Volley-Ball, Fédération Tahitienne de Basket-Ball, Fédération Tahitienne de Tir à l’Arc.</w:t>
      </w:r>
    </w:p>
    <w:p w14:paraId="1AC8751B" w14:textId="77777777" w:rsidR="00BB1641" w:rsidRPr="00260254" w:rsidRDefault="00BB1641" w:rsidP="00BB1641">
      <w:pPr>
        <w:pStyle w:val="-LettreTexteGEDA"/>
        <w:adjustRightInd/>
        <w:ind w:firstLine="0"/>
        <w:rPr>
          <w:rFonts w:ascii="Cambria" w:hAnsi="Cambria"/>
        </w:rPr>
      </w:pPr>
      <w:r w:rsidRPr="00260254">
        <w:rPr>
          <w:rFonts w:ascii="Cambria" w:hAnsi="Cambria"/>
        </w:rPr>
        <w:t xml:space="preserve">Ces subventions ont été octroyées après avis de la commission du sport sur la base des critères relatifs notamment à la gestion administrative d’une structure associative, au </w:t>
      </w:r>
      <w:r w:rsidRPr="00260254">
        <w:rPr>
          <w:rFonts w:ascii="Cambria" w:hAnsi="Cambria"/>
        </w:rPr>
        <w:lastRenderedPageBreak/>
        <w:t>développement de la pratique sportive en fonction du nombre de licenciés, des catégories engagées et de la présence sportive dans les archipels, à la mise en place d’actions de formation en faveur des cadres et des dirigeants ou encore au développement de la pratique de haut niveau, ou encore à l’accompagnement éducatif et aux actions en direction des jeunes scolarisés.</w:t>
      </w:r>
    </w:p>
    <w:p w14:paraId="174145FB" w14:textId="77777777" w:rsidR="00BB1641" w:rsidRPr="00260254" w:rsidRDefault="00BB1641" w:rsidP="00BB1641">
      <w:pPr>
        <w:pStyle w:val="-LettreTexteGEDA"/>
        <w:numPr>
          <w:ilvl w:val="0"/>
          <w:numId w:val="40"/>
        </w:numPr>
        <w:adjustRightInd/>
        <w:textAlignment w:val="auto"/>
        <w:rPr>
          <w:rFonts w:ascii="Cambria" w:hAnsi="Cambria"/>
        </w:rPr>
      </w:pPr>
      <w:r w:rsidRPr="00260254">
        <w:rPr>
          <w:rFonts w:ascii="Cambria" w:hAnsi="Cambria"/>
        </w:rPr>
        <w:t>Deux associations sportives pour les aides spécifiques (un en sport et un en jeunesse) :</w:t>
      </w:r>
    </w:p>
    <w:p w14:paraId="3E26785D" w14:textId="77777777" w:rsidR="00BB1641" w:rsidRPr="00260254" w:rsidRDefault="00BB1641" w:rsidP="00BB1641">
      <w:pPr>
        <w:pStyle w:val="-LettreTexteGEDA"/>
        <w:ind w:firstLine="0"/>
        <w:rPr>
          <w:rFonts w:ascii="Cambria" w:hAnsi="Cambria"/>
        </w:rPr>
      </w:pPr>
      <w:r w:rsidRPr="00260254">
        <w:rPr>
          <w:rFonts w:ascii="Cambria" w:hAnsi="Cambria"/>
        </w:rPr>
        <w:t>Le Comité Olympique de Polynésie française (COPF) pour le financement de l’assurance collective en faveur des fédérations sportives de Polynésie française.</w:t>
      </w:r>
    </w:p>
    <w:p w14:paraId="22A0A9A4" w14:textId="277F5470" w:rsidR="00BB1641" w:rsidRPr="00BB1641" w:rsidRDefault="00BB1641" w:rsidP="00DE563E">
      <w:pPr>
        <w:pStyle w:val="-LettreTexteGEDA"/>
        <w:ind w:firstLine="0"/>
        <w:rPr>
          <w:rFonts w:ascii="Cambria" w:hAnsi="Cambria"/>
        </w:rPr>
      </w:pPr>
      <w:r w:rsidRPr="00260254">
        <w:rPr>
          <w:rFonts w:ascii="Cambria" w:hAnsi="Cambria"/>
        </w:rPr>
        <w:t>L’Ecole de Voile de Arue pour le financement de la « Saga Tahiti 2020 ».</w:t>
      </w:r>
    </w:p>
    <w:p w14:paraId="17953CF0" w14:textId="77777777" w:rsidR="00CF4DC2" w:rsidRDefault="00CF4DC2" w:rsidP="00DE563E">
      <w:pPr>
        <w:pStyle w:val="-LettreTexteGEDA"/>
        <w:ind w:firstLine="0"/>
        <w:rPr>
          <w:rFonts w:ascii="Cambria" w:hAnsi="Cambria"/>
          <w:noProof w:val="0"/>
          <w:szCs w:val="24"/>
        </w:rPr>
      </w:pPr>
    </w:p>
    <w:p w14:paraId="5AD71956" w14:textId="77777777" w:rsidR="00BB1641" w:rsidRDefault="00BB1641" w:rsidP="00DE563E">
      <w:pPr>
        <w:pStyle w:val="-LettreTexteGEDA"/>
        <w:ind w:firstLine="0"/>
        <w:rPr>
          <w:rFonts w:ascii="Cambria" w:hAnsi="Cambria"/>
          <w:noProof w:val="0"/>
          <w:szCs w:val="24"/>
        </w:rPr>
      </w:pPr>
    </w:p>
    <w:p w14:paraId="742962C3" w14:textId="77777777" w:rsidR="00CF4DC2" w:rsidRDefault="00CF4DC2" w:rsidP="00CF4DC2">
      <w:pPr>
        <w:rPr>
          <w:rFonts w:ascii="Cambria" w:hAnsi="Cambria"/>
          <w:b/>
          <w:bCs/>
          <w:lang w:eastAsia="en-US"/>
        </w:rPr>
      </w:pPr>
      <w:r>
        <w:rPr>
          <w:rFonts w:ascii="Cambria" w:hAnsi="Cambria"/>
          <w:b/>
          <w:bCs/>
        </w:rPr>
        <w:t xml:space="preserve">Autorisation d’utilisation de fréquences pour </w:t>
      </w:r>
      <w:proofErr w:type="spellStart"/>
      <w:r>
        <w:rPr>
          <w:rFonts w:ascii="Cambria" w:hAnsi="Cambria"/>
          <w:b/>
          <w:bCs/>
        </w:rPr>
        <w:t>Viti</w:t>
      </w:r>
      <w:proofErr w:type="spellEnd"/>
    </w:p>
    <w:p w14:paraId="72BEBA3D" w14:textId="77777777" w:rsidR="00CF4DC2" w:rsidRDefault="00CF4DC2" w:rsidP="00CF4DC2">
      <w:pPr>
        <w:pStyle w:val="-LettreTexteGEDA"/>
        <w:spacing w:before="480"/>
        <w:ind w:firstLine="0"/>
        <w:rPr>
          <w:rFonts w:ascii="Cambria" w:hAnsi="Cambria"/>
          <w:szCs w:val="24"/>
        </w:rPr>
      </w:pPr>
      <w:r>
        <w:rPr>
          <w:rFonts w:ascii="Cambria" w:hAnsi="Cambria"/>
        </w:rPr>
        <w:t>Le Conseil des ministres a approuvé l’octroi d’autorisations d’utilisation de fréquences à la société Viti.</w:t>
      </w:r>
    </w:p>
    <w:p w14:paraId="19FBA97A" w14:textId="77777777" w:rsidR="00CF4DC2" w:rsidRDefault="00CF4DC2" w:rsidP="00CF4DC2">
      <w:pPr>
        <w:rPr>
          <w:rFonts w:ascii="Cambria" w:hAnsi="Cambria"/>
        </w:rPr>
      </w:pPr>
    </w:p>
    <w:p w14:paraId="66A175C6" w14:textId="77777777" w:rsidR="00CF4DC2" w:rsidRDefault="00CF4DC2" w:rsidP="00CF4DC2">
      <w:pPr>
        <w:pStyle w:val="-LettreTexteGEDA"/>
        <w:ind w:firstLine="0"/>
        <w:rPr>
          <w:rFonts w:ascii="Cambria" w:hAnsi="Cambria"/>
          <w:szCs w:val="24"/>
        </w:rPr>
      </w:pPr>
      <w:r>
        <w:rPr>
          <w:rFonts w:ascii="Cambria" w:hAnsi="Cambria"/>
        </w:rPr>
        <w:t>La société Viti a présenté cette demande d’autorisation d’utilisation de fréquences en vue de densifier son réseau de télécommunication s’appuyant sur la technologie 4G-LTE et d’assurer des débits supérieurs pour les services de données des offres internet fixe et mobile.</w:t>
      </w:r>
    </w:p>
    <w:p w14:paraId="5B301F92" w14:textId="77777777" w:rsidR="00CF4DC2" w:rsidRDefault="00CF4DC2" w:rsidP="00CF4DC2">
      <w:pPr>
        <w:pStyle w:val="-LettreTexteGEDA"/>
        <w:ind w:firstLine="0"/>
        <w:rPr>
          <w:rFonts w:ascii="Cambria" w:hAnsi="Cambria"/>
        </w:rPr>
      </w:pPr>
      <w:r>
        <w:rPr>
          <w:rFonts w:ascii="Cambria" w:hAnsi="Cambria"/>
        </w:rPr>
        <w:t>Le choix de la technologie LTE induit une architecture de réseau simplifiée se traduisant par une réduction du nombre d'équipement constitutif du réseau de télécommunication.</w:t>
      </w:r>
    </w:p>
    <w:p w14:paraId="6037FA6E" w14:textId="77777777" w:rsidR="00CF4DC2" w:rsidRDefault="00CF4DC2" w:rsidP="00CF4DC2">
      <w:pPr>
        <w:rPr>
          <w:rFonts w:ascii="Cambria" w:hAnsi="Cambria"/>
        </w:rPr>
      </w:pPr>
    </w:p>
    <w:p w14:paraId="5E8F385C" w14:textId="77777777" w:rsidR="00CF4DC2" w:rsidRDefault="00CF4DC2" w:rsidP="00CF4DC2">
      <w:pPr>
        <w:pStyle w:val="-LettreTexteGEDA"/>
        <w:ind w:firstLine="0"/>
        <w:rPr>
          <w:rFonts w:ascii="Cambria" w:hAnsi="Cambria"/>
          <w:szCs w:val="24"/>
        </w:rPr>
      </w:pPr>
      <w:r>
        <w:rPr>
          <w:rFonts w:ascii="Cambria" w:hAnsi="Cambria"/>
        </w:rPr>
        <w:t>Le Conseil des ministres a conféré à Viti la qualité d’opérateur de télécommunication comme fournisseur d’accès à internet par arrêté le 12 février 2010 et la qualité d’opérateur de télécommunication mobile également par arrêté le 5 juillet 2018.</w:t>
      </w:r>
    </w:p>
    <w:p w14:paraId="534F9336" w14:textId="77777777" w:rsidR="00CF4DC2" w:rsidRDefault="00CF4DC2" w:rsidP="00DE563E">
      <w:pPr>
        <w:pStyle w:val="-LettreTexteGEDA"/>
        <w:ind w:firstLine="0"/>
        <w:rPr>
          <w:rFonts w:ascii="Cambria" w:hAnsi="Cambria"/>
          <w:noProof w:val="0"/>
          <w:szCs w:val="24"/>
        </w:rPr>
      </w:pPr>
    </w:p>
    <w:p w14:paraId="2ECF5828" w14:textId="77777777" w:rsidR="00CF4DC2" w:rsidRDefault="00CF4DC2" w:rsidP="00DE563E">
      <w:pPr>
        <w:pStyle w:val="-LettreTexteGEDA"/>
        <w:ind w:firstLine="0"/>
        <w:rPr>
          <w:rFonts w:ascii="Cambria" w:hAnsi="Cambria"/>
          <w:noProof w:val="0"/>
          <w:szCs w:val="24"/>
        </w:rPr>
      </w:pPr>
    </w:p>
    <w:p w14:paraId="6375D2B1" w14:textId="77777777" w:rsidR="00CF4DC2" w:rsidRPr="00B25816" w:rsidRDefault="00CF4DC2" w:rsidP="00DE563E">
      <w:pPr>
        <w:pStyle w:val="-LettreTexteGEDA"/>
        <w:ind w:firstLine="0"/>
        <w:rPr>
          <w:rFonts w:ascii="Cambria" w:hAnsi="Cambria"/>
          <w:b/>
          <w:szCs w:val="24"/>
        </w:rPr>
      </w:pPr>
    </w:p>
    <w:p w14:paraId="455FB6A0" w14:textId="77777777" w:rsidR="00E05D91" w:rsidRPr="00B25816" w:rsidRDefault="00E05D91" w:rsidP="00E05D91">
      <w:pPr>
        <w:pStyle w:val="-LettreTexteGEDA"/>
        <w:ind w:firstLine="0"/>
        <w:jc w:val="center"/>
        <w:rPr>
          <w:rFonts w:ascii="Cambria" w:hAnsi="Cambria"/>
          <w:noProof w:val="0"/>
          <w:szCs w:val="24"/>
        </w:rPr>
      </w:pPr>
      <w:r w:rsidRPr="00B25816">
        <w:rPr>
          <w:rFonts w:ascii="Cambria" w:hAnsi="Cambria"/>
          <w:noProof w:val="0"/>
          <w:szCs w:val="24"/>
        </w:rPr>
        <w:t>-o-o-o-o-o-</w:t>
      </w:r>
    </w:p>
    <w:p w14:paraId="14531014" w14:textId="77777777" w:rsidR="00E05D91" w:rsidRDefault="00E05D91" w:rsidP="008D370E">
      <w:pPr>
        <w:tabs>
          <w:tab w:val="left" w:pos="1990"/>
          <w:tab w:val="left" w:pos="3880"/>
        </w:tabs>
        <w:spacing w:before="120" w:after="240"/>
        <w:jc w:val="both"/>
        <w:rPr>
          <w:rFonts w:asciiTheme="majorHAnsi" w:hAnsiTheme="majorHAnsi"/>
          <w:b/>
          <w:bCs/>
        </w:rPr>
      </w:pPr>
    </w:p>
    <w:p w14:paraId="03A8AE6E" w14:textId="7B6230FF" w:rsidR="008059E4" w:rsidRPr="00DA69B1" w:rsidRDefault="008059E4" w:rsidP="00E05D91">
      <w:pPr>
        <w:pStyle w:val="-LettreTexteGEDA"/>
        <w:ind w:firstLine="0"/>
        <w:rPr>
          <w:rFonts w:asciiTheme="majorHAnsi" w:hAnsiTheme="majorHAnsi"/>
          <w:noProof w:val="0"/>
          <w:szCs w:val="24"/>
        </w:rPr>
      </w:pPr>
    </w:p>
    <w:sectPr w:rsidR="008059E4" w:rsidRPr="00DA69B1" w:rsidSect="00922ABB">
      <w:footerReference w:type="even"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883D9" w14:textId="77777777" w:rsidR="004F7136" w:rsidRDefault="004F7136">
      <w:r>
        <w:separator/>
      </w:r>
    </w:p>
  </w:endnote>
  <w:endnote w:type="continuationSeparator" w:id="0">
    <w:p w14:paraId="5486A096" w14:textId="77777777" w:rsidR="004F7136" w:rsidRDefault="004F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Gentium Basic"/>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B7BE2" w14:textId="77777777" w:rsidR="00642DA2" w:rsidRDefault="00642DA2"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55C70C1" w14:textId="77777777" w:rsidR="00642DA2" w:rsidRDefault="004F7136" w:rsidP="00922ABB">
    <w:pPr>
      <w:pStyle w:val="Pieddepage"/>
      <w:ind w:right="360"/>
    </w:pPr>
    <w:sdt>
      <w:sdtPr>
        <w:id w:val="969400743"/>
        <w:temporary/>
        <w:showingPlcHdr/>
      </w:sdtPr>
      <w:sdtEndPr/>
      <w:sdtContent>
        <w:r w:rsidR="00642DA2">
          <w:t>[Tapez le texte]</w:t>
        </w:r>
      </w:sdtContent>
    </w:sdt>
    <w:r w:rsidR="00642DA2">
      <w:ptab w:relativeTo="margin" w:alignment="center" w:leader="none"/>
    </w:r>
    <w:sdt>
      <w:sdtPr>
        <w:id w:val="969400748"/>
        <w:temporary/>
        <w:showingPlcHdr/>
      </w:sdtPr>
      <w:sdtEndPr/>
      <w:sdtContent>
        <w:r w:rsidR="00642DA2">
          <w:t>[Tapez le texte]</w:t>
        </w:r>
      </w:sdtContent>
    </w:sdt>
    <w:r w:rsidR="00642DA2">
      <w:ptab w:relativeTo="margin" w:alignment="right" w:leader="none"/>
    </w:r>
    <w:sdt>
      <w:sdtPr>
        <w:id w:val="969400753"/>
        <w:temporary/>
        <w:showingPlcHdr/>
      </w:sdtPr>
      <w:sdtEndPr/>
      <w:sdtContent>
        <w:r w:rsidR="00642DA2">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E3C85" w14:textId="77777777" w:rsidR="00642DA2" w:rsidRPr="00BA209E" w:rsidRDefault="00642DA2" w:rsidP="00922ABB">
    <w:pPr>
      <w:pStyle w:val="Pieddepage"/>
      <w:jc w:val="center"/>
      <w:rPr>
        <w:i/>
        <w:sz w:val="20"/>
        <w:szCs w:val="20"/>
      </w:rPr>
    </w:pPr>
    <w:r w:rsidRPr="00BA209E">
      <w:rPr>
        <w:i/>
        <w:sz w:val="20"/>
        <w:szCs w:val="20"/>
      </w:rPr>
      <w:t>Présidence de la Polynésie Française</w:t>
    </w:r>
  </w:p>
  <w:p w14:paraId="62A464A6" w14:textId="77777777" w:rsidR="00642DA2" w:rsidRPr="00BA209E" w:rsidRDefault="00642DA2" w:rsidP="00922ABB">
    <w:pPr>
      <w:pStyle w:val="Pieddepage"/>
      <w:jc w:val="center"/>
      <w:rPr>
        <w:i/>
        <w:sz w:val="20"/>
        <w:szCs w:val="20"/>
      </w:rPr>
    </w:pPr>
    <w:r w:rsidRPr="00BA209E">
      <w:rPr>
        <w:i/>
        <w:sz w:val="20"/>
        <w:szCs w:val="20"/>
      </w:rPr>
      <w:t xml:space="preserve">Service </w:t>
    </w:r>
    <w:r>
      <w:rPr>
        <w:i/>
        <w:sz w:val="20"/>
        <w:szCs w:val="20"/>
      </w:rPr>
      <w:t>de la communication</w:t>
    </w:r>
  </w:p>
  <w:p w14:paraId="57B62632" w14:textId="77777777" w:rsidR="00642DA2" w:rsidRPr="00BA209E" w:rsidRDefault="004F7136" w:rsidP="00922ABB">
    <w:pPr>
      <w:pStyle w:val="Pieddepage"/>
      <w:jc w:val="center"/>
      <w:rPr>
        <w:sz w:val="20"/>
        <w:szCs w:val="20"/>
      </w:rPr>
    </w:pPr>
    <w:hyperlink r:id="rId1" w:history="1">
      <w:r w:rsidR="00642DA2" w:rsidRPr="00E264FC">
        <w:rPr>
          <w:rStyle w:val="Lienhypertexte"/>
          <w:sz w:val="20"/>
        </w:rPr>
        <w:t>communication@presidence.pf</w:t>
      </w:r>
    </w:hyperlink>
    <w:r w:rsidR="00642DA2" w:rsidRPr="00BA209E">
      <w:rPr>
        <w:sz w:val="20"/>
        <w:szCs w:val="20"/>
      </w:rPr>
      <w:t xml:space="preserve"> – </w:t>
    </w:r>
    <w:r w:rsidR="00642DA2">
      <w:rPr>
        <w:sz w:val="20"/>
        <w:szCs w:val="20"/>
      </w:rPr>
      <w:t xml:space="preserve">40 </w:t>
    </w:r>
    <w:r w:rsidR="00642DA2" w:rsidRPr="00BA209E">
      <w:rPr>
        <w:sz w:val="20"/>
        <w:szCs w:val="20"/>
      </w:rPr>
      <w:t>47 20 00</w:t>
    </w:r>
  </w:p>
  <w:p w14:paraId="01E4299B" w14:textId="77777777" w:rsidR="00642DA2" w:rsidRDefault="00642D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F3D2B" w14:textId="77777777" w:rsidR="004F7136" w:rsidRDefault="004F7136">
      <w:r>
        <w:separator/>
      </w:r>
    </w:p>
  </w:footnote>
  <w:footnote w:type="continuationSeparator" w:id="0">
    <w:p w14:paraId="07C1F694" w14:textId="77777777" w:rsidR="004F7136" w:rsidRDefault="004F7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3F0"/>
    <w:multiLevelType w:val="hybridMultilevel"/>
    <w:tmpl w:val="AA5AAD62"/>
    <w:lvl w:ilvl="0" w:tplc="040C0003">
      <w:start w:val="1"/>
      <w:numFmt w:val="bullet"/>
      <w:lvlText w:val="o"/>
      <w:lvlJc w:val="left"/>
      <w:pPr>
        <w:ind w:left="200" w:hanging="360"/>
      </w:pPr>
      <w:rPr>
        <w:rFonts w:ascii="Courier New" w:hAnsi="Courier New" w:cs="Courier New" w:hint="default"/>
      </w:rPr>
    </w:lvl>
    <w:lvl w:ilvl="1" w:tplc="040C0003">
      <w:start w:val="1"/>
      <w:numFmt w:val="bullet"/>
      <w:lvlText w:val="o"/>
      <w:lvlJc w:val="left"/>
      <w:pPr>
        <w:ind w:left="920" w:hanging="360"/>
      </w:pPr>
      <w:rPr>
        <w:rFonts w:ascii="Courier New" w:hAnsi="Courier New" w:cs="Courier New" w:hint="default"/>
      </w:rPr>
    </w:lvl>
    <w:lvl w:ilvl="2" w:tplc="040C0005">
      <w:start w:val="1"/>
      <w:numFmt w:val="bullet"/>
      <w:lvlText w:val=""/>
      <w:lvlJc w:val="left"/>
      <w:pPr>
        <w:ind w:left="1640" w:hanging="360"/>
      </w:pPr>
      <w:rPr>
        <w:rFonts w:ascii="Wingdings" w:hAnsi="Wingdings" w:hint="default"/>
      </w:rPr>
    </w:lvl>
    <w:lvl w:ilvl="3" w:tplc="040C0001">
      <w:start w:val="1"/>
      <w:numFmt w:val="bullet"/>
      <w:lvlText w:val=""/>
      <w:lvlJc w:val="left"/>
      <w:pPr>
        <w:ind w:left="2360" w:hanging="360"/>
      </w:pPr>
      <w:rPr>
        <w:rFonts w:ascii="Symbol" w:hAnsi="Symbol" w:hint="default"/>
      </w:rPr>
    </w:lvl>
    <w:lvl w:ilvl="4" w:tplc="040C0003">
      <w:start w:val="1"/>
      <w:numFmt w:val="bullet"/>
      <w:lvlText w:val="o"/>
      <w:lvlJc w:val="left"/>
      <w:pPr>
        <w:ind w:left="3080" w:hanging="360"/>
      </w:pPr>
      <w:rPr>
        <w:rFonts w:ascii="Courier New" w:hAnsi="Courier New" w:cs="Courier New" w:hint="default"/>
      </w:rPr>
    </w:lvl>
    <w:lvl w:ilvl="5" w:tplc="040C0005">
      <w:start w:val="1"/>
      <w:numFmt w:val="bullet"/>
      <w:lvlText w:val=""/>
      <w:lvlJc w:val="left"/>
      <w:pPr>
        <w:ind w:left="3800" w:hanging="360"/>
      </w:pPr>
      <w:rPr>
        <w:rFonts w:ascii="Wingdings" w:hAnsi="Wingdings" w:hint="default"/>
      </w:rPr>
    </w:lvl>
    <w:lvl w:ilvl="6" w:tplc="040C0001">
      <w:start w:val="1"/>
      <w:numFmt w:val="bullet"/>
      <w:lvlText w:val=""/>
      <w:lvlJc w:val="left"/>
      <w:pPr>
        <w:ind w:left="4520" w:hanging="360"/>
      </w:pPr>
      <w:rPr>
        <w:rFonts w:ascii="Symbol" w:hAnsi="Symbol" w:hint="default"/>
      </w:rPr>
    </w:lvl>
    <w:lvl w:ilvl="7" w:tplc="040C0003">
      <w:start w:val="1"/>
      <w:numFmt w:val="bullet"/>
      <w:lvlText w:val="o"/>
      <w:lvlJc w:val="left"/>
      <w:pPr>
        <w:ind w:left="5240" w:hanging="360"/>
      </w:pPr>
      <w:rPr>
        <w:rFonts w:ascii="Courier New" w:hAnsi="Courier New" w:cs="Courier New" w:hint="default"/>
      </w:rPr>
    </w:lvl>
    <w:lvl w:ilvl="8" w:tplc="040C0005">
      <w:start w:val="1"/>
      <w:numFmt w:val="bullet"/>
      <w:lvlText w:val=""/>
      <w:lvlJc w:val="left"/>
      <w:pPr>
        <w:ind w:left="5960" w:hanging="360"/>
      </w:pPr>
      <w:rPr>
        <w:rFonts w:ascii="Wingdings" w:hAnsi="Wingdings" w:hint="default"/>
      </w:rPr>
    </w:lvl>
  </w:abstractNum>
  <w:abstractNum w:abstractNumId="1">
    <w:nsid w:val="03451DF3"/>
    <w:multiLevelType w:val="hybridMultilevel"/>
    <w:tmpl w:val="F73A2938"/>
    <w:lvl w:ilvl="0" w:tplc="DAFA317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3881581"/>
    <w:multiLevelType w:val="hybridMultilevel"/>
    <w:tmpl w:val="42BEE41A"/>
    <w:lvl w:ilvl="0" w:tplc="899454E4">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097909AA"/>
    <w:multiLevelType w:val="hybridMultilevel"/>
    <w:tmpl w:val="CE040A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FD2A87"/>
    <w:multiLevelType w:val="hybridMultilevel"/>
    <w:tmpl w:val="9FD42E28"/>
    <w:lvl w:ilvl="0" w:tplc="E3C21C5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0C15ECF"/>
    <w:multiLevelType w:val="singleLevel"/>
    <w:tmpl w:val="83CCB92C"/>
    <w:lvl w:ilvl="0">
      <w:start w:val="1"/>
      <w:numFmt w:val="none"/>
      <w:pStyle w:val="Titre4"/>
      <w:lvlText w:val="Réf. : "/>
      <w:legacy w:legacy="1" w:legacySpace="0" w:legacyIndent="851"/>
      <w:lvlJc w:val="left"/>
      <w:pPr>
        <w:ind w:left="851" w:hanging="851"/>
      </w:pPr>
      <w:rPr>
        <w:b/>
        <w:i w:val="0"/>
        <w:sz w:val="24"/>
        <w:u w:val="single"/>
      </w:rPr>
    </w:lvl>
  </w:abstractNum>
  <w:abstractNum w:abstractNumId="6">
    <w:nsid w:val="14762F7A"/>
    <w:multiLevelType w:val="hybridMultilevel"/>
    <w:tmpl w:val="EE34F0C2"/>
    <w:lvl w:ilvl="0" w:tplc="22DA8A4C">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14F402D1"/>
    <w:multiLevelType w:val="hybridMultilevel"/>
    <w:tmpl w:val="D43CA4D8"/>
    <w:lvl w:ilvl="0" w:tplc="41DC187C">
      <w:start w:val="16"/>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nsid w:val="16296A35"/>
    <w:multiLevelType w:val="hybridMultilevel"/>
    <w:tmpl w:val="F300D28A"/>
    <w:lvl w:ilvl="0" w:tplc="B3625A3A">
      <w:start w:val="1"/>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A9E6489"/>
    <w:multiLevelType w:val="hybridMultilevel"/>
    <w:tmpl w:val="8692F99C"/>
    <w:lvl w:ilvl="0" w:tplc="C77696CA">
      <w:start w:val="3"/>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nsid w:val="1DB67E9A"/>
    <w:multiLevelType w:val="hybridMultilevel"/>
    <w:tmpl w:val="CF047F26"/>
    <w:lvl w:ilvl="0" w:tplc="C22C8988">
      <w:start w:val="3"/>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21557BC5"/>
    <w:multiLevelType w:val="hybridMultilevel"/>
    <w:tmpl w:val="FD1A7BD2"/>
    <w:lvl w:ilvl="0" w:tplc="86E0B9D0">
      <w:numFmt w:val="bullet"/>
      <w:lvlText w:val="-"/>
      <w:lvlJc w:val="left"/>
      <w:pPr>
        <w:ind w:left="360" w:hanging="360"/>
      </w:pPr>
      <w:rPr>
        <w:rFonts w:ascii="Cambria" w:eastAsia="Times New Roman"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1E472A9"/>
    <w:multiLevelType w:val="hybridMultilevel"/>
    <w:tmpl w:val="3DE0258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3">
    <w:nsid w:val="270A6439"/>
    <w:multiLevelType w:val="hybridMultilevel"/>
    <w:tmpl w:val="80BADE10"/>
    <w:lvl w:ilvl="0" w:tplc="B874B9B2">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nsid w:val="2AD2756B"/>
    <w:multiLevelType w:val="hybridMultilevel"/>
    <w:tmpl w:val="803E2B0C"/>
    <w:lvl w:ilvl="0" w:tplc="06B0D4CE">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5">
    <w:nsid w:val="2BA928D2"/>
    <w:multiLevelType w:val="hybridMultilevel"/>
    <w:tmpl w:val="A55C4464"/>
    <w:lvl w:ilvl="0" w:tplc="040C0005">
      <w:start w:val="1"/>
      <w:numFmt w:val="bullet"/>
      <w:lvlText w:val=""/>
      <w:lvlJc w:val="left"/>
      <w:pPr>
        <w:ind w:left="720" w:hanging="360"/>
      </w:pPr>
      <w:rPr>
        <w:rFonts w:ascii="Wingdings" w:hAnsi="Wingdings" w:hint="default"/>
      </w:rPr>
    </w:lvl>
    <w:lvl w:ilvl="1" w:tplc="86E0B9D0">
      <w:numFmt w:val="bullet"/>
      <w:lvlText w:val="-"/>
      <w:lvlJc w:val="left"/>
      <w:pPr>
        <w:ind w:left="1440" w:hanging="360"/>
      </w:pPr>
      <w:rPr>
        <w:rFonts w:ascii="Cambria" w:eastAsia="Times New Roman" w:hAnsi="Cambri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033B37"/>
    <w:multiLevelType w:val="hybridMultilevel"/>
    <w:tmpl w:val="C3763D74"/>
    <w:styleLink w:val="Style9import"/>
    <w:lvl w:ilvl="0" w:tplc="D48EF734">
      <w:start w:val="1"/>
      <w:numFmt w:val="bullet"/>
      <w:lvlText w:val="-"/>
      <w:lvlJc w:val="left"/>
      <w:pPr>
        <w:tabs>
          <w:tab w:val="num" w:pos="1778"/>
        </w:tabs>
        <w:ind w:left="10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58A468">
      <w:start w:val="1"/>
      <w:numFmt w:val="bullet"/>
      <w:lvlText w:val="o"/>
      <w:lvlJc w:val="left"/>
      <w:pPr>
        <w:tabs>
          <w:tab w:val="num" w:pos="2498"/>
        </w:tabs>
        <w:ind w:left="17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28DBB0">
      <w:start w:val="1"/>
      <w:numFmt w:val="bullet"/>
      <w:lvlText w:val="▪"/>
      <w:lvlJc w:val="left"/>
      <w:pPr>
        <w:tabs>
          <w:tab w:val="num" w:pos="3218"/>
        </w:tabs>
        <w:ind w:left="25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46B6A">
      <w:start w:val="1"/>
      <w:numFmt w:val="bullet"/>
      <w:lvlText w:val="•"/>
      <w:lvlJc w:val="left"/>
      <w:pPr>
        <w:tabs>
          <w:tab w:val="num" w:pos="3938"/>
        </w:tabs>
        <w:ind w:left="32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3C131E">
      <w:start w:val="1"/>
      <w:numFmt w:val="bullet"/>
      <w:lvlText w:val="o"/>
      <w:lvlJc w:val="left"/>
      <w:pPr>
        <w:tabs>
          <w:tab w:val="num" w:pos="4658"/>
        </w:tabs>
        <w:ind w:left="394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06CCE">
      <w:start w:val="1"/>
      <w:numFmt w:val="bullet"/>
      <w:lvlText w:val="▪"/>
      <w:lvlJc w:val="left"/>
      <w:pPr>
        <w:tabs>
          <w:tab w:val="num" w:pos="5378"/>
        </w:tabs>
        <w:ind w:left="46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E00A46">
      <w:start w:val="1"/>
      <w:numFmt w:val="bullet"/>
      <w:lvlText w:val="•"/>
      <w:lvlJc w:val="left"/>
      <w:pPr>
        <w:tabs>
          <w:tab w:val="num" w:pos="6098"/>
        </w:tabs>
        <w:ind w:left="53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4A8152">
      <w:start w:val="1"/>
      <w:numFmt w:val="bullet"/>
      <w:lvlText w:val="o"/>
      <w:lvlJc w:val="left"/>
      <w:pPr>
        <w:tabs>
          <w:tab w:val="num" w:pos="6818"/>
        </w:tabs>
        <w:ind w:left="61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B7DE">
      <w:start w:val="1"/>
      <w:numFmt w:val="bullet"/>
      <w:lvlText w:val="▪"/>
      <w:lvlJc w:val="left"/>
      <w:pPr>
        <w:tabs>
          <w:tab w:val="num" w:pos="7538"/>
        </w:tabs>
        <w:ind w:left="68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30206FEA"/>
    <w:multiLevelType w:val="hybridMultilevel"/>
    <w:tmpl w:val="67C4499A"/>
    <w:lvl w:ilvl="0" w:tplc="45E6E374">
      <w:start w:val="1"/>
      <w:numFmt w:val="bullet"/>
      <w:lvlText w:val=""/>
      <w:lvlJc w:val="left"/>
      <w:pPr>
        <w:ind w:left="1931" w:hanging="360"/>
      </w:pPr>
      <w:rPr>
        <w:rFonts w:ascii="Symbol" w:hAnsi="Symbol" w:hint="default"/>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18">
    <w:nsid w:val="30903B23"/>
    <w:multiLevelType w:val="hybridMultilevel"/>
    <w:tmpl w:val="06346F34"/>
    <w:lvl w:ilvl="0" w:tplc="0C160238">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9">
    <w:nsid w:val="3C8E5A12"/>
    <w:multiLevelType w:val="hybridMultilevel"/>
    <w:tmpl w:val="D88AE964"/>
    <w:lvl w:ilvl="0" w:tplc="C9DA2946">
      <w:start w:val="16"/>
      <w:numFmt w:val="bullet"/>
      <w:lvlText w:val="-"/>
      <w:lvlJc w:val="left"/>
      <w:pPr>
        <w:ind w:left="501" w:hanging="360"/>
      </w:pPr>
      <w:rPr>
        <w:rFonts w:ascii="Times New Roman" w:eastAsia="Times New Roman" w:hAnsi="Times New Roman" w:cs="Times New Roman"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0">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21">
    <w:nsid w:val="40B77BF5"/>
    <w:multiLevelType w:val="hybridMultilevel"/>
    <w:tmpl w:val="8B12D47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2">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23">
    <w:nsid w:val="4297520E"/>
    <w:multiLevelType w:val="hybridMultilevel"/>
    <w:tmpl w:val="2B5A794C"/>
    <w:lvl w:ilvl="0" w:tplc="DE52A3B0">
      <w:numFmt w:val="bullet"/>
      <w:lvlText w:val="-"/>
      <w:lvlJc w:val="left"/>
      <w:pPr>
        <w:ind w:left="1211"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nsid w:val="46660D70"/>
    <w:multiLevelType w:val="hybridMultilevel"/>
    <w:tmpl w:val="4A0CFF18"/>
    <w:lvl w:ilvl="0" w:tplc="DAFA317C">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5">
    <w:nsid w:val="4A666337"/>
    <w:multiLevelType w:val="hybridMultilevel"/>
    <w:tmpl w:val="CB447612"/>
    <w:lvl w:ilvl="0" w:tplc="15DCE854">
      <w:start w:val="1"/>
      <w:numFmt w:val="none"/>
      <w:pStyle w:val="-LettreAffairesuivieGEDA"/>
      <w:lvlText w:val="%1Affaire suivie par :"/>
      <w:lvlJc w:val="left"/>
      <w:pPr>
        <w:tabs>
          <w:tab w:val="num" w:pos="2880"/>
        </w:tabs>
        <w:ind w:left="1080" w:hanging="360"/>
      </w:pPr>
      <w:rPr>
        <w:rFonts w:hint="default"/>
        <w:b w:val="0"/>
        <w:i/>
        <w:sz w:val="18"/>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4D8C4454"/>
    <w:multiLevelType w:val="hybridMultilevel"/>
    <w:tmpl w:val="E526A1F0"/>
    <w:lvl w:ilvl="0" w:tplc="0D90B0D2">
      <w:numFmt w:val="bullet"/>
      <w:lvlText w:val="-"/>
      <w:lvlJc w:val="left"/>
      <w:pPr>
        <w:ind w:left="720" w:hanging="360"/>
      </w:pPr>
      <w:rPr>
        <w:rFonts w:ascii="Cambria" w:eastAsia="Calibri"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5FD10FCF"/>
    <w:multiLevelType w:val="hybridMultilevel"/>
    <w:tmpl w:val="2FA4FBFC"/>
    <w:lvl w:ilvl="0" w:tplc="040C0001">
      <w:start w:val="1"/>
      <w:numFmt w:val="bullet"/>
      <w:lvlText w:val=""/>
      <w:lvlJc w:val="left"/>
      <w:pPr>
        <w:ind w:left="720" w:hanging="360"/>
      </w:pPr>
      <w:rPr>
        <w:rFonts w:ascii="Symbol" w:hAnsi="Symbol" w:hint="default"/>
      </w:rPr>
    </w:lvl>
    <w:lvl w:ilvl="1" w:tplc="8BA244AC">
      <w:numFmt w:val="bullet"/>
      <w:lvlText w:val="•"/>
      <w:lvlJc w:val="left"/>
      <w:pPr>
        <w:ind w:left="1785" w:hanging="705"/>
      </w:pPr>
      <w:rPr>
        <w:rFonts w:ascii="Calibri" w:eastAsia="Calibri"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647775E"/>
    <w:multiLevelType w:val="hybridMultilevel"/>
    <w:tmpl w:val="C2A8418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9">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30">
    <w:nsid w:val="6AE82626"/>
    <w:multiLevelType w:val="hybridMultilevel"/>
    <w:tmpl w:val="56241490"/>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6BFD29D4"/>
    <w:multiLevelType w:val="hybridMultilevel"/>
    <w:tmpl w:val="C4604C72"/>
    <w:lvl w:ilvl="0" w:tplc="080C1598">
      <w:start w:val="16"/>
      <w:numFmt w:val="bullet"/>
      <w:lvlText w:val="-"/>
      <w:lvlJc w:val="left"/>
      <w:pPr>
        <w:ind w:left="1211" w:hanging="360"/>
      </w:pPr>
      <w:rPr>
        <w:rFonts w:ascii="Times New Roman" w:eastAsia="Calibri" w:hAnsi="Times New Roman" w:cs="Times New Roman" w:hint="default"/>
        <w:sz w:val="24"/>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2">
    <w:nsid w:val="6D9E1804"/>
    <w:multiLevelType w:val="hybridMultilevel"/>
    <w:tmpl w:val="37CC1994"/>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3">
    <w:nsid w:val="70315717"/>
    <w:multiLevelType w:val="hybridMultilevel"/>
    <w:tmpl w:val="C6FAF87A"/>
    <w:lvl w:ilvl="0" w:tplc="A0345F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20E636C"/>
    <w:multiLevelType w:val="hybridMultilevel"/>
    <w:tmpl w:val="B39025FC"/>
    <w:lvl w:ilvl="0" w:tplc="14A8DC2A">
      <w:numFmt w:val="bullet"/>
      <w:lvlText w:val="-"/>
      <w:lvlJc w:val="left"/>
      <w:pPr>
        <w:ind w:left="720" w:hanging="360"/>
      </w:pPr>
      <w:rPr>
        <w:rFonts w:ascii="Calibri" w:eastAsia="Calibri" w:hAnsi="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5">
    <w:nsid w:val="73205825"/>
    <w:multiLevelType w:val="singleLevel"/>
    <w:tmpl w:val="C20E3398"/>
    <w:lvl w:ilvl="0">
      <w:start w:val="1"/>
      <w:numFmt w:val="none"/>
      <w:pStyle w:val="-ActeAttenduConsidrantGEDA"/>
      <w:lvlText w:val="Considérant"/>
      <w:lvlJc w:val="left"/>
      <w:pPr>
        <w:tabs>
          <w:tab w:val="num" w:pos="1080"/>
        </w:tabs>
        <w:ind w:left="340" w:hanging="340"/>
      </w:pPr>
      <w:rPr>
        <w:rFonts w:hint="default"/>
        <w:sz w:val="20"/>
      </w:rPr>
    </w:lvl>
  </w:abstractNum>
  <w:abstractNum w:abstractNumId="36">
    <w:nsid w:val="74176805"/>
    <w:multiLevelType w:val="hybridMultilevel"/>
    <w:tmpl w:val="74F2FBC8"/>
    <w:lvl w:ilvl="0" w:tplc="02AA841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nsid w:val="7CCB400B"/>
    <w:multiLevelType w:val="hybridMultilevel"/>
    <w:tmpl w:val="A91E5B6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8">
    <w:nsid w:val="7E32175D"/>
    <w:multiLevelType w:val="hybridMultilevel"/>
    <w:tmpl w:val="A950CD0E"/>
    <w:lvl w:ilvl="0" w:tplc="CCE4C04C">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9">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20"/>
  </w:num>
  <w:num w:numId="2">
    <w:abstractNumId w:val="22"/>
  </w:num>
  <w:num w:numId="3">
    <w:abstractNumId w:val="39"/>
  </w:num>
  <w:num w:numId="4">
    <w:abstractNumId w:val="29"/>
  </w:num>
  <w:num w:numId="5">
    <w:abstractNumId w:val="35"/>
  </w:num>
  <w:num w:numId="6">
    <w:abstractNumId w:val="5"/>
  </w:num>
  <w:num w:numId="7">
    <w:abstractNumId w:val="16"/>
  </w:num>
  <w:num w:numId="8">
    <w:abstractNumId w:val="25"/>
  </w:num>
  <w:num w:numId="9">
    <w:abstractNumId w:val="14"/>
  </w:num>
  <w:num w:numId="10">
    <w:abstractNumId w:val="12"/>
  </w:num>
  <w:num w:numId="11">
    <w:abstractNumId w:val="19"/>
  </w:num>
  <w:num w:numId="12">
    <w:abstractNumId w:val="3"/>
  </w:num>
  <w:num w:numId="13">
    <w:abstractNumId w:val="18"/>
  </w:num>
  <w:num w:numId="14">
    <w:abstractNumId w:val="27"/>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6"/>
  </w:num>
  <w:num w:numId="18">
    <w:abstractNumId w:val="13"/>
  </w:num>
  <w:num w:numId="19">
    <w:abstractNumId w:val="31"/>
  </w:num>
  <w:num w:numId="20">
    <w:abstractNumId w:val="17"/>
  </w:num>
  <w:num w:numId="21">
    <w:abstractNumId w:val="2"/>
  </w:num>
  <w:num w:numId="22">
    <w:abstractNumId w:val="34"/>
  </w:num>
  <w:num w:numId="23">
    <w:abstractNumId w:val="15"/>
  </w:num>
  <w:num w:numId="24">
    <w:abstractNumId w:val="30"/>
  </w:num>
  <w:num w:numId="25">
    <w:abstractNumId w:val="11"/>
  </w:num>
  <w:num w:numId="26">
    <w:abstractNumId w:val="34"/>
  </w:num>
  <w:num w:numId="27">
    <w:abstractNumId w:val="8"/>
  </w:num>
  <w:num w:numId="28">
    <w:abstractNumId w:val="33"/>
  </w:num>
  <w:num w:numId="29">
    <w:abstractNumId w:val="9"/>
  </w:num>
  <w:num w:numId="30">
    <w:abstractNumId w:val="10"/>
  </w:num>
  <w:num w:numId="31">
    <w:abstractNumId w:val="1"/>
  </w:num>
  <w:num w:numId="32">
    <w:abstractNumId w:val="4"/>
  </w:num>
  <w:num w:numId="33">
    <w:abstractNumId w:val="36"/>
  </w:num>
  <w:num w:numId="34">
    <w:abstractNumId w:val="7"/>
  </w:num>
  <w:num w:numId="35">
    <w:abstractNumId w:val="38"/>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4"/>
  </w:num>
  <w:num w:numId="39">
    <w:abstractNumId w:val="8"/>
  </w:num>
  <w:num w:numId="40">
    <w:abstractNumId w:val="28"/>
  </w:num>
  <w:num w:numId="41">
    <w:abstractNumId w:val="26"/>
  </w:num>
  <w:num w:numId="42">
    <w:abstractNumId w:val="21"/>
  </w:num>
  <w:num w:numId="43">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1FE8"/>
    <w:rsid w:val="00002B31"/>
    <w:rsid w:val="00011CE8"/>
    <w:rsid w:val="00015FF2"/>
    <w:rsid w:val="00021602"/>
    <w:rsid w:val="000224F9"/>
    <w:rsid w:val="00027CD3"/>
    <w:rsid w:val="0003093E"/>
    <w:rsid w:val="00033658"/>
    <w:rsid w:val="00040642"/>
    <w:rsid w:val="000442CB"/>
    <w:rsid w:val="000448E5"/>
    <w:rsid w:val="0004526C"/>
    <w:rsid w:val="00045E81"/>
    <w:rsid w:val="00047992"/>
    <w:rsid w:val="000508C8"/>
    <w:rsid w:val="000561CA"/>
    <w:rsid w:val="0006060A"/>
    <w:rsid w:val="00063EA4"/>
    <w:rsid w:val="00064A61"/>
    <w:rsid w:val="00066013"/>
    <w:rsid w:val="000678D5"/>
    <w:rsid w:val="00071551"/>
    <w:rsid w:val="000728E0"/>
    <w:rsid w:val="0007390E"/>
    <w:rsid w:val="0008409F"/>
    <w:rsid w:val="00086538"/>
    <w:rsid w:val="0008783B"/>
    <w:rsid w:val="00087CFE"/>
    <w:rsid w:val="0009440F"/>
    <w:rsid w:val="00094FC4"/>
    <w:rsid w:val="000A0CBC"/>
    <w:rsid w:val="000A7995"/>
    <w:rsid w:val="000B0B49"/>
    <w:rsid w:val="000B150B"/>
    <w:rsid w:val="000B4563"/>
    <w:rsid w:val="000B77CD"/>
    <w:rsid w:val="000C0F06"/>
    <w:rsid w:val="000C103D"/>
    <w:rsid w:val="000C2491"/>
    <w:rsid w:val="000C3FED"/>
    <w:rsid w:val="000C44EB"/>
    <w:rsid w:val="000C55DA"/>
    <w:rsid w:val="000C5D90"/>
    <w:rsid w:val="000D41CD"/>
    <w:rsid w:val="000D5AC8"/>
    <w:rsid w:val="000D5C6D"/>
    <w:rsid w:val="000D5EAC"/>
    <w:rsid w:val="000D60AF"/>
    <w:rsid w:val="000E5799"/>
    <w:rsid w:val="000E790C"/>
    <w:rsid w:val="000F1E19"/>
    <w:rsid w:val="000F7373"/>
    <w:rsid w:val="001053EF"/>
    <w:rsid w:val="00112BB8"/>
    <w:rsid w:val="00114615"/>
    <w:rsid w:val="00121991"/>
    <w:rsid w:val="00121B8F"/>
    <w:rsid w:val="0012265F"/>
    <w:rsid w:val="00124A38"/>
    <w:rsid w:val="001260E1"/>
    <w:rsid w:val="001308E2"/>
    <w:rsid w:val="00131CED"/>
    <w:rsid w:val="00131F0F"/>
    <w:rsid w:val="00132659"/>
    <w:rsid w:val="00141919"/>
    <w:rsid w:val="001510DE"/>
    <w:rsid w:val="00164559"/>
    <w:rsid w:val="0016503A"/>
    <w:rsid w:val="00165D74"/>
    <w:rsid w:val="001702D3"/>
    <w:rsid w:val="00172F9E"/>
    <w:rsid w:val="001775EE"/>
    <w:rsid w:val="0018145E"/>
    <w:rsid w:val="0018419D"/>
    <w:rsid w:val="00186F29"/>
    <w:rsid w:val="0019566B"/>
    <w:rsid w:val="001A2D2F"/>
    <w:rsid w:val="001A2EBB"/>
    <w:rsid w:val="001A5551"/>
    <w:rsid w:val="001A5B63"/>
    <w:rsid w:val="001A731D"/>
    <w:rsid w:val="001B1A33"/>
    <w:rsid w:val="001B28FD"/>
    <w:rsid w:val="001C2250"/>
    <w:rsid w:val="001C36AB"/>
    <w:rsid w:val="001C4DE4"/>
    <w:rsid w:val="001C5819"/>
    <w:rsid w:val="001C6401"/>
    <w:rsid w:val="001C6C5E"/>
    <w:rsid w:val="001C6CF3"/>
    <w:rsid w:val="001C74FC"/>
    <w:rsid w:val="001D25B7"/>
    <w:rsid w:val="001D6BE1"/>
    <w:rsid w:val="001E0F84"/>
    <w:rsid w:val="001E128A"/>
    <w:rsid w:val="001E15A7"/>
    <w:rsid w:val="001E20C7"/>
    <w:rsid w:val="001E2C77"/>
    <w:rsid w:val="001E3419"/>
    <w:rsid w:val="001E3E58"/>
    <w:rsid w:val="001E4B80"/>
    <w:rsid w:val="001E547E"/>
    <w:rsid w:val="001E5D1D"/>
    <w:rsid w:val="001E5D7F"/>
    <w:rsid w:val="001E69FF"/>
    <w:rsid w:val="001F02DD"/>
    <w:rsid w:val="001F2760"/>
    <w:rsid w:val="001F6D55"/>
    <w:rsid w:val="0020266C"/>
    <w:rsid w:val="002045B4"/>
    <w:rsid w:val="00214209"/>
    <w:rsid w:val="00216AFA"/>
    <w:rsid w:val="002206D4"/>
    <w:rsid w:val="0022221E"/>
    <w:rsid w:val="00227DAE"/>
    <w:rsid w:val="002345BD"/>
    <w:rsid w:val="00235683"/>
    <w:rsid w:val="002359E5"/>
    <w:rsid w:val="00243141"/>
    <w:rsid w:val="00247536"/>
    <w:rsid w:val="002512C5"/>
    <w:rsid w:val="00261E72"/>
    <w:rsid w:val="00262820"/>
    <w:rsid w:val="0026346A"/>
    <w:rsid w:val="00263FA1"/>
    <w:rsid w:val="002648E4"/>
    <w:rsid w:val="00264EF2"/>
    <w:rsid w:val="002678FB"/>
    <w:rsid w:val="00270AE2"/>
    <w:rsid w:val="00276B3E"/>
    <w:rsid w:val="00277481"/>
    <w:rsid w:val="00285425"/>
    <w:rsid w:val="00286EAD"/>
    <w:rsid w:val="00286FFA"/>
    <w:rsid w:val="002904DD"/>
    <w:rsid w:val="00292FC0"/>
    <w:rsid w:val="00297A93"/>
    <w:rsid w:val="002A1123"/>
    <w:rsid w:val="002A274D"/>
    <w:rsid w:val="002A79DA"/>
    <w:rsid w:val="002B1B00"/>
    <w:rsid w:val="002B5364"/>
    <w:rsid w:val="002B5710"/>
    <w:rsid w:val="002B5B92"/>
    <w:rsid w:val="002C05FC"/>
    <w:rsid w:val="002C134A"/>
    <w:rsid w:val="002C3C82"/>
    <w:rsid w:val="002C5958"/>
    <w:rsid w:val="002C747C"/>
    <w:rsid w:val="002D0563"/>
    <w:rsid w:val="002D0A26"/>
    <w:rsid w:val="002D5E49"/>
    <w:rsid w:val="002D6359"/>
    <w:rsid w:val="002E1D40"/>
    <w:rsid w:val="002E42D2"/>
    <w:rsid w:val="002F1933"/>
    <w:rsid w:val="002F1E93"/>
    <w:rsid w:val="002F733A"/>
    <w:rsid w:val="00303FF2"/>
    <w:rsid w:val="00306799"/>
    <w:rsid w:val="003107CB"/>
    <w:rsid w:val="003116D5"/>
    <w:rsid w:val="0031428F"/>
    <w:rsid w:val="00314D05"/>
    <w:rsid w:val="003175DF"/>
    <w:rsid w:val="0032141A"/>
    <w:rsid w:val="00331349"/>
    <w:rsid w:val="00335461"/>
    <w:rsid w:val="0033691B"/>
    <w:rsid w:val="00342B70"/>
    <w:rsid w:val="003444A6"/>
    <w:rsid w:val="00347372"/>
    <w:rsid w:val="0035386E"/>
    <w:rsid w:val="00357DC7"/>
    <w:rsid w:val="003625D8"/>
    <w:rsid w:val="00366694"/>
    <w:rsid w:val="00373D91"/>
    <w:rsid w:val="00374615"/>
    <w:rsid w:val="0037539F"/>
    <w:rsid w:val="00375466"/>
    <w:rsid w:val="0037614E"/>
    <w:rsid w:val="00376D41"/>
    <w:rsid w:val="003907C6"/>
    <w:rsid w:val="00393D5F"/>
    <w:rsid w:val="00395780"/>
    <w:rsid w:val="00395BE4"/>
    <w:rsid w:val="00396E20"/>
    <w:rsid w:val="003A1378"/>
    <w:rsid w:val="003A3094"/>
    <w:rsid w:val="003A6507"/>
    <w:rsid w:val="003B06C4"/>
    <w:rsid w:val="003B14D7"/>
    <w:rsid w:val="003B57C8"/>
    <w:rsid w:val="003B5A14"/>
    <w:rsid w:val="003B6B55"/>
    <w:rsid w:val="003B6BEA"/>
    <w:rsid w:val="003C3872"/>
    <w:rsid w:val="003C5469"/>
    <w:rsid w:val="003C5FFF"/>
    <w:rsid w:val="003D2A49"/>
    <w:rsid w:val="003D37E1"/>
    <w:rsid w:val="003D55CF"/>
    <w:rsid w:val="003D62F0"/>
    <w:rsid w:val="003E3D40"/>
    <w:rsid w:val="003E44BD"/>
    <w:rsid w:val="003E55EF"/>
    <w:rsid w:val="003E59BB"/>
    <w:rsid w:val="003F0DC9"/>
    <w:rsid w:val="003F3E11"/>
    <w:rsid w:val="003F7F57"/>
    <w:rsid w:val="00403CBD"/>
    <w:rsid w:val="004045BC"/>
    <w:rsid w:val="00407286"/>
    <w:rsid w:val="00407DBC"/>
    <w:rsid w:val="004119C3"/>
    <w:rsid w:val="00412883"/>
    <w:rsid w:val="004138E7"/>
    <w:rsid w:val="00414234"/>
    <w:rsid w:val="00415AE9"/>
    <w:rsid w:val="00415B15"/>
    <w:rsid w:val="00416ABB"/>
    <w:rsid w:val="00416B42"/>
    <w:rsid w:val="0042162D"/>
    <w:rsid w:val="0042227C"/>
    <w:rsid w:val="00424B02"/>
    <w:rsid w:val="00426D60"/>
    <w:rsid w:val="00432970"/>
    <w:rsid w:val="00436764"/>
    <w:rsid w:val="004419CA"/>
    <w:rsid w:val="004443F9"/>
    <w:rsid w:val="0044573A"/>
    <w:rsid w:val="00447307"/>
    <w:rsid w:val="004504FA"/>
    <w:rsid w:val="00454BA7"/>
    <w:rsid w:val="00456F05"/>
    <w:rsid w:val="004636DD"/>
    <w:rsid w:val="00464DBA"/>
    <w:rsid w:val="00466539"/>
    <w:rsid w:val="00467EC1"/>
    <w:rsid w:val="00471C2A"/>
    <w:rsid w:val="00477702"/>
    <w:rsid w:val="00477DE3"/>
    <w:rsid w:val="004824BE"/>
    <w:rsid w:val="00482E36"/>
    <w:rsid w:val="004859C9"/>
    <w:rsid w:val="004901D8"/>
    <w:rsid w:val="004945F1"/>
    <w:rsid w:val="00495401"/>
    <w:rsid w:val="004A0C8B"/>
    <w:rsid w:val="004A36AA"/>
    <w:rsid w:val="004B281C"/>
    <w:rsid w:val="004B389F"/>
    <w:rsid w:val="004B6C76"/>
    <w:rsid w:val="004C04C6"/>
    <w:rsid w:val="004C0B54"/>
    <w:rsid w:val="004D2C02"/>
    <w:rsid w:val="004D4B76"/>
    <w:rsid w:val="004D52B3"/>
    <w:rsid w:val="004D78E7"/>
    <w:rsid w:val="004E1879"/>
    <w:rsid w:val="004E35E1"/>
    <w:rsid w:val="004E59E4"/>
    <w:rsid w:val="004F1581"/>
    <w:rsid w:val="004F1C5F"/>
    <w:rsid w:val="004F2666"/>
    <w:rsid w:val="004F594B"/>
    <w:rsid w:val="004F6811"/>
    <w:rsid w:val="004F6AB0"/>
    <w:rsid w:val="004F7136"/>
    <w:rsid w:val="00500045"/>
    <w:rsid w:val="005019FE"/>
    <w:rsid w:val="00502252"/>
    <w:rsid w:val="005071D6"/>
    <w:rsid w:val="005104B4"/>
    <w:rsid w:val="00511481"/>
    <w:rsid w:val="005115BC"/>
    <w:rsid w:val="005117FB"/>
    <w:rsid w:val="00514734"/>
    <w:rsid w:val="00520306"/>
    <w:rsid w:val="00526FDB"/>
    <w:rsid w:val="00537124"/>
    <w:rsid w:val="00537381"/>
    <w:rsid w:val="0054277A"/>
    <w:rsid w:val="00546CAE"/>
    <w:rsid w:val="00551CEE"/>
    <w:rsid w:val="00554294"/>
    <w:rsid w:val="00555562"/>
    <w:rsid w:val="00557CBF"/>
    <w:rsid w:val="005611E3"/>
    <w:rsid w:val="0057103B"/>
    <w:rsid w:val="00572539"/>
    <w:rsid w:val="0057273D"/>
    <w:rsid w:val="00580ED3"/>
    <w:rsid w:val="00581CCF"/>
    <w:rsid w:val="00582D1E"/>
    <w:rsid w:val="005942B2"/>
    <w:rsid w:val="0059665C"/>
    <w:rsid w:val="005968D2"/>
    <w:rsid w:val="00597666"/>
    <w:rsid w:val="005A1430"/>
    <w:rsid w:val="005A2DD5"/>
    <w:rsid w:val="005B25CA"/>
    <w:rsid w:val="005B29C2"/>
    <w:rsid w:val="005B7E08"/>
    <w:rsid w:val="005C0F65"/>
    <w:rsid w:val="005C23D4"/>
    <w:rsid w:val="005C3A17"/>
    <w:rsid w:val="005C542C"/>
    <w:rsid w:val="005C64E3"/>
    <w:rsid w:val="005D0C9C"/>
    <w:rsid w:val="005D129C"/>
    <w:rsid w:val="005D1E56"/>
    <w:rsid w:val="005D300C"/>
    <w:rsid w:val="005D3628"/>
    <w:rsid w:val="005E110E"/>
    <w:rsid w:val="005E1F37"/>
    <w:rsid w:val="005E3D2E"/>
    <w:rsid w:val="005F11F1"/>
    <w:rsid w:val="005F1FF3"/>
    <w:rsid w:val="005F3A86"/>
    <w:rsid w:val="005F5786"/>
    <w:rsid w:val="005F67A7"/>
    <w:rsid w:val="006065EA"/>
    <w:rsid w:val="006073B5"/>
    <w:rsid w:val="00610132"/>
    <w:rsid w:val="00620349"/>
    <w:rsid w:val="006220B2"/>
    <w:rsid w:val="00625CF0"/>
    <w:rsid w:val="00632BB6"/>
    <w:rsid w:val="00633CEC"/>
    <w:rsid w:val="00634411"/>
    <w:rsid w:val="006351F3"/>
    <w:rsid w:val="00636B0B"/>
    <w:rsid w:val="00637337"/>
    <w:rsid w:val="00637F5B"/>
    <w:rsid w:val="006404E4"/>
    <w:rsid w:val="00642DA2"/>
    <w:rsid w:val="00643DB5"/>
    <w:rsid w:val="00643F5E"/>
    <w:rsid w:val="0064491E"/>
    <w:rsid w:val="006453D4"/>
    <w:rsid w:val="0064545A"/>
    <w:rsid w:val="0064597F"/>
    <w:rsid w:val="00646D25"/>
    <w:rsid w:val="006531C2"/>
    <w:rsid w:val="006545ED"/>
    <w:rsid w:val="00654764"/>
    <w:rsid w:val="00655FF1"/>
    <w:rsid w:val="0066052A"/>
    <w:rsid w:val="006619B5"/>
    <w:rsid w:val="006701A9"/>
    <w:rsid w:val="00672ED4"/>
    <w:rsid w:val="00676F7E"/>
    <w:rsid w:val="00683D1F"/>
    <w:rsid w:val="006855B9"/>
    <w:rsid w:val="006867CF"/>
    <w:rsid w:val="00690C84"/>
    <w:rsid w:val="00691CAE"/>
    <w:rsid w:val="00691F42"/>
    <w:rsid w:val="0069242B"/>
    <w:rsid w:val="00693771"/>
    <w:rsid w:val="00693A0D"/>
    <w:rsid w:val="00693F08"/>
    <w:rsid w:val="00697133"/>
    <w:rsid w:val="00697DBB"/>
    <w:rsid w:val="006A3579"/>
    <w:rsid w:val="006A6904"/>
    <w:rsid w:val="006B3196"/>
    <w:rsid w:val="006B3785"/>
    <w:rsid w:val="006B3B14"/>
    <w:rsid w:val="006B623F"/>
    <w:rsid w:val="006C3B44"/>
    <w:rsid w:val="006C7CA5"/>
    <w:rsid w:val="006D3AAC"/>
    <w:rsid w:val="006E411F"/>
    <w:rsid w:val="006E478C"/>
    <w:rsid w:val="006E7470"/>
    <w:rsid w:val="006E76C6"/>
    <w:rsid w:val="006F0A62"/>
    <w:rsid w:val="006F13F3"/>
    <w:rsid w:val="006F217C"/>
    <w:rsid w:val="006F2E69"/>
    <w:rsid w:val="006F3B1B"/>
    <w:rsid w:val="006F7090"/>
    <w:rsid w:val="007052A3"/>
    <w:rsid w:val="00706485"/>
    <w:rsid w:val="00706A5D"/>
    <w:rsid w:val="00711F71"/>
    <w:rsid w:val="007126F8"/>
    <w:rsid w:val="00716A05"/>
    <w:rsid w:val="00724158"/>
    <w:rsid w:val="0073038C"/>
    <w:rsid w:val="007311AB"/>
    <w:rsid w:val="0073277F"/>
    <w:rsid w:val="00733923"/>
    <w:rsid w:val="00733EE6"/>
    <w:rsid w:val="00734600"/>
    <w:rsid w:val="00736200"/>
    <w:rsid w:val="00744311"/>
    <w:rsid w:val="00744E22"/>
    <w:rsid w:val="00745751"/>
    <w:rsid w:val="007466DF"/>
    <w:rsid w:val="00747E8F"/>
    <w:rsid w:val="007503DC"/>
    <w:rsid w:val="00753BF6"/>
    <w:rsid w:val="00754A99"/>
    <w:rsid w:val="0075769B"/>
    <w:rsid w:val="00762278"/>
    <w:rsid w:val="00762E29"/>
    <w:rsid w:val="00764607"/>
    <w:rsid w:val="0076469B"/>
    <w:rsid w:val="00764CDD"/>
    <w:rsid w:val="00767E72"/>
    <w:rsid w:val="00770EDA"/>
    <w:rsid w:val="0077109E"/>
    <w:rsid w:val="0077577E"/>
    <w:rsid w:val="007768E0"/>
    <w:rsid w:val="00781048"/>
    <w:rsid w:val="00781933"/>
    <w:rsid w:val="00790F66"/>
    <w:rsid w:val="007917AC"/>
    <w:rsid w:val="007969D9"/>
    <w:rsid w:val="00796D0D"/>
    <w:rsid w:val="007A103C"/>
    <w:rsid w:val="007A6288"/>
    <w:rsid w:val="007A6645"/>
    <w:rsid w:val="007A699A"/>
    <w:rsid w:val="007A6D8A"/>
    <w:rsid w:val="007A7556"/>
    <w:rsid w:val="007B2644"/>
    <w:rsid w:val="007B3B1E"/>
    <w:rsid w:val="007B3FE4"/>
    <w:rsid w:val="007B453D"/>
    <w:rsid w:val="007B5747"/>
    <w:rsid w:val="007B7965"/>
    <w:rsid w:val="007C215C"/>
    <w:rsid w:val="007C4CCE"/>
    <w:rsid w:val="007C61B0"/>
    <w:rsid w:val="007D2885"/>
    <w:rsid w:val="007D57D7"/>
    <w:rsid w:val="007D7D62"/>
    <w:rsid w:val="007E0471"/>
    <w:rsid w:val="007E4745"/>
    <w:rsid w:val="007E5AD4"/>
    <w:rsid w:val="007E5D80"/>
    <w:rsid w:val="007E6573"/>
    <w:rsid w:val="007F5664"/>
    <w:rsid w:val="007F71F9"/>
    <w:rsid w:val="00800575"/>
    <w:rsid w:val="00802907"/>
    <w:rsid w:val="008059E4"/>
    <w:rsid w:val="008142E4"/>
    <w:rsid w:val="00815E32"/>
    <w:rsid w:val="0081648B"/>
    <w:rsid w:val="00816AD6"/>
    <w:rsid w:val="00822799"/>
    <w:rsid w:val="00822FDE"/>
    <w:rsid w:val="00825657"/>
    <w:rsid w:val="008261E3"/>
    <w:rsid w:val="0082621E"/>
    <w:rsid w:val="008276FE"/>
    <w:rsid w:val="00827B40"/>
    <w:rsid w:val="0083120F"/>
    <w:rsid w:val="008336DF"/>
    <w:rsid w:val="00842EDD"/>
    <w:rsid w:val="00852F12"/>
    <w:rsid w:val="008537CB"/>
    <w:rsid w:val="00856EBE"/>
    <w:rsid w:val="008621A3"/>
    <w:rsid w:val="00863C9B"/>
    <w:rsid w:val="00864279"/>
    <w:rsid w:val="0086475C"/>
    <w:rsid w:val="00866990"/>
    <w:rsid w:val="00871A3F"/>
    <w:rsid w:val="008720B3"/>
    <w:rsid w:val="008848AD"/>
    <w:rsid w:val="008856F9"/>
    <w:rsid w:val="008859A0"/>
    <w:rsid w:val="00886F51"/>
    <w:rsid w:val="00887D74"/>
    <w:rsid w:val="00891EDE"/>
    <w:rsid w:val="00892735"/>
    <w:rsid w:val="00893B1C"/>
    <w:rsid w:val="00894690"/>
    <w:rsid w:val="008A241A"/>
    <w:rsid w:val="008A56B9"/>
    <w:rsid w:val="008B080B"/>
    <w:rsid w:val="008B21C4"/>
    <w:rsid w:val="008C219B"/>
    <w:rsid w:val="008C255E"/>
    <w:rsid w:val="008C4B24"/>
    <w:rsid w:val="008C7BA4"/>
    <w:rsid w:val="008D02F0"/>
    <w:rsid w:val="008D370E"/>
    <w:rsid w:val="008D409F"/>
    <w:rsid w:val="008D6C23"/>
    <w:rsid w:val="008E053C"/>
    <w:rsid w:val="008E1AB5"/>
    <w:rsid w:val="008E4691"/>
    <w:rsid w:val="008F245A"/>
    <w:rsid w:val="00902FF5"/>
    <w:rsid w:val="00906A19"/>
    <w:rsid w:val="00906D50"/>
    <w:rsid w:val="00910FD4"/>
    <w:rsid w:val="009142E5"/>
    <w:rsid w:val="009179FF"/>
    <w:rsid w:val="00917D79"/>
    <w:rsid w:val="0092093D"/>
    <w:rsid w:val="00922ABB"/>
    <w:rsid w:val="0093137C"/>
    <w:rsid w:val="0093313C"/>
    <w:rsid w:val="009401EA"/>
    <w:rsid w:val="0094463C"/>
    <w:rsid w:val="00946318"/>
    <w:rsid w:val="00950864"/>
    <w:rsid w:val="00950F40"/>
    <w:rsid w:val="009516A6"/>
    <w:rsid w:val="00952102"/>
    <w:rsid w:val="00954182"/>
    <w:rsid w:val="00960A98"/>
    <w:rsid w:val="00961FA8"/>
    <w:rsid w:val="00967DD6"/>
    <w:rsid w:val="0097077C"/>
    <w:rsid w:val="00970D2F"/>
    <w:rsid w:val="009740B4"/>
    <w:rsid w:val="00974CB1"/>
    <w:rsid w:val="0097618E"/>
    <w:rsid w:val="00976B85"/>
    <w:rsid w:val="00982775"/>
    <w:rsid w:val="00985303"/>
    <w:rsid w:val="00986537"/>
    <w:rsid w:val="00990AE0"/>
    <w:rsid w:val="0099197F"/>
    <w:rsid w:val="00994824"/>
    <w:rsid w:val="00994A64"/>
    <w:rsid w:val="009A0987"/>
    <w:rsid w:val="009A1A25"/>
    <w:rsid w:val="009A2109"/>
    <w:rsid w:val="009A2709"/>
    <w:rsid w:val="009A3BA0"/>
    <w:rsid w:val="009B11A7"/>
    <w:rsid w:val="009B5FE5"/>
    <w:rsid w:val="009B73C8"/>
    <w:rsid w:val="009B778E"/>
    <w:rsid w:val="009C0DEF"/>
    <w:rsid w:val="009C2F64"/>
    <w:rsid w:val="009D1DF3"/>
    <w:rsid w:val="009D362C"/>
    <w:rsid w:val="009E14D0"/>
    <w:rsid w:val="009E3228"/>
    <w:rsid w:val="009E3801"/>
    <w:rsid w:val="009E43D5"/>
    <w:rsid w:val="009F27E2"/>
    <w:rsid w:val="009F48D8"/>
    <w:rsid w:val="00A01888"/>
    <w:rsid w:val="00A126D4"/>
    <w:rsid w:val="00A17AA2"/>
    <w:rsid w:val="00A2140B"/>
    <w:rsid w:val="00A21E46"/>
    <w:rsid w:val="00A24863"/>
    <w:rsid w:val="00A251E2"/>
    <w:rsid w:val="00A31033"/>
    <w:rsid w:val="00A31AE6"/>
    <w:rsid w:val="00A40622"/>
    <w:rsid w:val="00A41FD7"/>
    <w:rsid w:val="00A442F1"/>
    <w:rsid w:val="00A44770"/>
    <w:rsid w:val="00A45B8E"/>
    <w:rsid w:val="00A46498"/>
    <w:rsid w:val="00A46AF8"/>
    <w:rsid w:val="00A46EA3"/>
    <w:rsid w:val="00A5545D"/>
    <w:rsid w:val="00A565B7"/>
    <w:rsid w:val="00A62A77"/>
    <w:rsid w:val="00A73389"/>
    <w:rsid w:val="00A73AC6"/>
    <w:rsid w:val="00A80857"/>
    <w:rsid w:val="00A87746"/>
    <w:rsid w:val="00A9007E"/>
    <w:rsid w:val="00A93D19"/>
    <w:rsid w:val="00AA06CE"/>
    <w:rsid w:val="00AA198C"/>
    <w:rsid w:val="00AA5DB0"/>
    <w:rsid w:val="00AB1414"/>
    <w:rsid w:val="00AB5E4B"/>
    <w:rsid w:val="00AB7D79"/>
    <w:rsid w:val="00AC1952"/>
    <w:rsid w:val="00AC42CB"/>
    <w:rsid w:val="00AC52AE"/>
    <w:rsid w:val="00AC57FB"/>
    <w:rsid w:val="00AC6946"/>
    <w:rsid w:val="00AD3266"/>
    <w:rsid w:val="00AD5069"/>
    <w:rsid w:val="00AD5D6D"/>
    <w:rsid w:val="00AD5EDD"/>
    <w:rsid w:val="00AD5EE0"/>
    <w:rsid w:val="00AD6E64"/>
    <w:rsid w:val="00AE3010"/>
    <w:rsid w:val="00AE3166"/>
    <w:rsid w:val="00AE3F88"/>
    <w:rsid w:val="00AE4FD0"/>
    <w:rsid w:val="00AF07FB"/>
    <w:rsid w:val="00AF2B57"/>
    <w:rsid w:val="00AF4C0B"/>
    <w:rsid w:val="00B123F5"/>
    <w:rsid w:val="00B140D4"/>
    <w:rsid w:val="00B1494D"/>
    <w:rsid w:val="00B14FEF"/>
    <w:rsid w:val="00B15DF0"/>
    <w:rsid w:val="00B21CAB"/>
    <w:rsid w:val="00B21E1D"/>
    <w:rsid w:val="00B226E7"/>
    <w:rsid w:val="00B312EF"/>
    <w:rsid w:val="00B31AD4"/>
    <w:rsid w:val="00B332D7"/>
    <w:rsid w:val="00B35597"/>
    <w:rsid w:val="00B447A7"/>
    <w:rsid w:val="00B45D18"/>
    <w:rsid w:val="00B5035D"/>
    <w:rsid w:val="00B50C6F"/>
    <w:rsid w:val="00B51388"/>
    <w:rsid w:val="00B52542"/>
    <w:rsid w:val="00B54749"/>
    <w:rsid w:val="00B64483"/>
    <w:rsid w:val="00B6565D"/>
    <w:rsid w:val="00B709A4"/>
    <w:rsid w:val="00B74014"/>
    <w:rsid w:val="00B74B8A"/>
    <w:rsid w:val="00B74BA3"/>
    <w:rsid w:val="00B76EC6"/>
    <w:rsid w:val="00B802BB"/>
    <w:rsid w:val="00B82454"/>
    <w:rsid w:val="00B83D50"/>
    <w:rsid w:val="00B95C0A"/>
    <w:rsid w:val="00B9752A"/>
    <w:rsid w:val="00BA0E8C"/>
    <w:rsid w:val="00BA1EBE"/>
    <w:rsid w:val="00BA3B8B"/>
    <w:rsid w:val="00BA7440"/>
    <w:rsid w:val="00BA76E3"/>
    <w:rsid w:val="00BB1024"/>
    <w:rsid w:val="00BB15C2"/>
    <w:rsid w:val="00BB1641"/>
    <w:rsid w:val="00BB66F6"/>
    <w:rsid w:val="00BC1461"/>
    <w:rsid w:val="00BC5AC8"/>
    <w:rsid w:val="00BC620E"/>
    <w:rsid w:val="00BC75D2"/>
    <w:rsid w:val="00BD7B99"/>
    <w:rsid w:val="00BD7FCE"/>
    <w:rsid w:val="00BE4DCF"/>
    <w:rsid w:val="00BF02E7"/>
    <w:rsid w:val="00BF6DB2"/>
    <w:rsid w:val="00BF6F91"/>
    <w:rsid w:val="00BF7572"/>
    <w:rsid w:val="00BF7937"/>
    <w:rsid w:val="00C04626"/>
    <w:rsid w:val="00C109C3"/>
    <w:rsid w:val="00C10AEC"/>
    <w:rsid w:val="00C15AEE"/>
    <w:rsid w:val="00C16652"/>
    <w:rsid w:val="00C16FEC"/>
    <w:rsid w:val="00C2035B"/>
    <w:rsid w:val="00C23E46"/>
    <w:rsid w:val="00C25610"/>
    <w:rsid w:val="00C34DFF"/>
    <w:rsid w:val="00C354A8"/>
    <w:rsid w:val="00C42223"/>
    <w:rsid w:val="00C453A5"/>
    <w:rsid w:val="00C45D17"/>
    <w:rsid w:val="00C4614C"/>
    <w:rsid w:val="00C50704"/>
    <w:rsid w:val="00C50CD3"/>
    <w:rsid w:val="00C53ED1"/>
    <w:rsid w:val="00C575D9"/>
    <w:rsid w:val="00C575E2"/>
    <w:rsid w:val="00C57F44"/>
    <w:rsid w:val="00C630D6"/>
    <w:rsid w:val="00C637CF"/>
    <w:rsid w:val="00C72B3E"/>
    <w:rsid w:val="00C83E94"/>
    <w:rsid w:val="00C84CFA"/>
    <w:rsid w:val="00C84EB3"/>
    <w:rsid w:val="00C85666"/>
    <w:rsid w:val="00C85BDA"/>
    <w:rsid w:val="00C85FE3"/>
    <w:rsid w:val="00C86F4D"/>
    <w:rsid w:val="00C902F3"/>
    <w:rsid w:val="00C9156B"/>
    <w:rsid w:val="00CA0B67"/>
    <w:rsid w:val="00CA20F8"/>
    <w:rsid w:val="00CA5FA6"/>
    <w:rsid w:val="00CB19D2"/>
    <w:rsid w:val="00CB4050"/>
    <w:rsid w:val="00CB6A2E"/>
    <w:rsid w:val="00CC0122"/>
    <w:rsid w:val="00CC0DAF"/>
    <w:rsid w:val="00CC20A0"/>
    <w:rsid w:val="00CC37AD"/>
    <w:rsid w:val="00CC4DD6"/>
    <w:rsid w:val="00CC4E02"/>
    <w:rsid w:val="00CC6370"/>
    <w:rsid w:val="00CD0944"/>
    <w:rsid w:val="00CD2C00"/>
    <w:rsid w:val="00CD41CD"/>
    <w:rsid w:val="00CD5D51"/>
    <w:rsid w:val="00CE1868"/>
    <w:rsid w:val="00CE1BFF"/>
    <w:rsid w:val="00CE1C42"/>
    <w:rsid w:val="00CE27DC"/>
    <w:rsid w:val="00CE47CE"/>
    <w:rsid w:val="00CE51BA"/>
    <w:rsid w:val="00CF1B46"/>
    <w:rsid w:val="00CF4D51"/>
    <w:rsid w:val="00CF4DC2"/>
    <w:rsid w:val="00CF614D"/>
    <w:rsid w:val="00CF6903"/>
    <w:rsid w:val="00D0020F"/>
    <w:rsid w:val="00D032A7"/>
    <w:rsid w:val="00D04AC3"/>
    <w:rsid w:val="00D07036"/>
    <w:rsid w:val="00D1407C"/>
    <w:rsid w:val="00D14C8E"/>
    <w:rsid w:val="00D245D5"/>
    <w:rsid w:val="00D24AAC"/>
    <w:rsid w:val="00D305DD"/>
    <w:rsid w:val="00D332FD"/>
    <w:rsid w:val="00D4017A"/>
    <w:rsid w:val="00D409EF"/>
    <w:rsid w:val="00D40DA6"/>
    <w:rsid w:val="00D414CA"/>
    <w:rsid w:val="00D41691"/>
    <w:rsid w:val="00D424C2"/>
    <w:rsid w:val="00D42763"/>
    <w:rsid w:val="00D43377"/>
    <w:rsid w:val="00D4396A"/>
    <w:rsid w:val="00D44320"/>
    <w:rsid w:val="00D52A17"/>
    <w:rsid w:val="00D531A2"/>
    <w:rsid w:val="00D61A9C"/>
    <w:rsid w:val="00D626CC"/>
    <w:rsid w:val="00D7084B"/>
    <w:rsid w:val="00D71284"/>
    <w:rsid w:val="00D7269F"/>
    <w:rsid w:val="00D735F5"/>
    <w:rsid w:val="00D77283"/>
    <w:rsid w:val="00D7791F"/>
    <w:rsid w:val="00D83D64"/>
    <w:rsid w:val="00DA14AE"/>
    <w:rsid w:val="00DA56BE"/>
    <w:rsid w:val="00DA587F"/>
    <w:rsid w:val="00DA69B1"/>
    <w:rsid w:val="00DA6DE1"/>
    <w:rsid w:val="00DB1200"/>
    <w:rsid w:val="00DB2820"/>
    <w:rsid w:val="00DB2D68"/>
    <w:rsid w:val="00DB51B3"/>
    <w:rsid w:val="00DB7748"/>
    <w:rsid w:val="00DC0C10"/>
    <w:rsid w:val="00DC4669"/>
    <w:rsid w:val="00DD023E"/>
    <w:rsid w:val="00DD6581"/>
    <w:rsid w:val="00DD7B19"/>
    <w:rsid w:val="00DE148E"/>
    <w:rsid w:val="00DE1B5F"/>
    <w:rsid w:val="00DE4216"/>
    <w:rsid w:val="00DE563E"/>
    <w:rsid w:val="00DE71D8"/>
    <w:rsid w:val="00DF0E19"/>
    <w:rsid w:val="00DF1B4E"/>
    <w:rsid w:val="00DF48D3"/>
    <w:rsid w:val="00DF5503"/>
    <w:rsid w:val="00E0064A"/>
    <w:rsid w:val="00E008F5"/>
    <w:rsid w:val="00E0177C"/>
    <w:rsid w:val="00E021CE"/>
    <w:rsid w:val="00E05D91"/>
    <w:rsid w:val="00E060F5"/>
    <w:rsid w:val="00E066DB"/>
    <w:rsid w:val="00E069DD"/>
    <w:rsid w:val="00E10795"/>
    <w:rsid w:val="00E145D0"/>
    <w:rsid w:val="00E14BA1"/>
    <w:rsid w:val="00E14DBC"/>
    <w:rsid w:val="00E16311"/>
    <w:rsid w:val="00E17500"/>
    <w:rsid w:val="00E26E50"/>
    <w:rsid w:val="00E32361"/>
    <w:rsid w:val="00E32EB0"/>
    <w:rsid w:val="00E34BE7"/>
    <w:rsid w:val="00E36FA7"/>
    <w:rsid w:val="00E43EDF"/>
    <w:rsid w:val="00E45CA5"/>
    <w:rsid w:val="00E50620"/>
    <w:rsid w:val="00E508A5"/>
    <w:rsid w:val="00E5142D"/>
    <w:rsid w:val="00E51A41"/>
    <w:rsid w:val="00E55B39"/>
    <w:rsid w:val="00E56A91"/>
    <w:rsid w:val="00E57CF3"/>
    <w:rsid w:val="00E64585"/>
    <w:rsid w:val="00E6755C"/>
    <w:rsid w:val="00E726B6"/>
    <w:rsid w:val="00E726CC"/>
    <w:rsid w:val="00E72D76"/>
    <w:rsid w:val="00E7394B"/>
    <w:rsid w:val="00E73B1A"/>
    <w:rsid w:val="00E75455"/>
    <w:rsid w:val="00E807A7"/>
    <w:rsid w:val="00E81773"/>
    <w:rsid w:val="00E8405D"/>
    <w:rsid w:val="00E84AD1"/>
    <w:rsid w:val="00E879D4"/>
    <w:rsid w:val="00E90D54"/>
    <w:rsid w:val="00E91519"/>
    <w:rsid w:val="00E91879"/>
    <w:rsid w:val="00EA00C5"/>
    <w:rsid w:val="00EA108B"/>
    <w:rsid w:val="00EA1689"/>
    <w:rsid w:val="00EA2304"/>
    <w:rsid w:val="00EA5932"/>
    <w:rsid w:val="00EA73B5"/>
    <w:rsid w:val="00EA7C9E"/>
    <w:rsid w:val="00EB0177"/>
    <w:rsid w:val="00EB025D"/>
    <w:rsid w:val="00EB0736"/>
    <w:rsid w:val="00EB145A"/>
    <w:rsid w:val="00EB73A7"/>
    <w:rsid w:val="00EB7AFD"/>
    <w:rsid w:val="00EC0E91"/>
    <w:rsid w:val="00EC1544"/>
    <w:rsid w:val="00EC4488"/>
    <w:rsid w:val="00EC4E4B"/>
    <w:rsid w:val="00EC7D90"/>
    <w:rsid w:val="00ED0838"/>
    <w:rsid w:val="00ED146D"/>
    <w:rsid w:val="00ED16C1"/>
    <w:rsid w:val="00ED2109"/>
    <w:rsid w:val="00ED5755"/>
    <w:rsid w:val="00ED71EE"/>
    <w:rsid w:val="00EE3200"/>
    <w:rsid w:val="00EF2709"/>
    <w:rsid w:val="00EF2FA8"/>
    <w:rsid w:val="00EF33F2"/>
    <w:rsid w:val="00EF67B9"/>
    <w:rsid w:val="00F00F3E"/>
    <w:rsid w:val="00F01372"/>
    <w:rsid w:val="00F06EBE"/>
    <w:rsid w:val="00F07235"/>
    <w:rsid w:val="00F10B6A"/>
    <w:rsid w:val="00F12291"/>
    <w:rsid w:val="00F131FF"/>
    <w:rsid w:val="00F1507F"/>
    <w:rsid w:val="00F16DA5"/>
    <w:rsid w:val="00F17756"/>
    <w:rsid w:val="00F20DB8"/>
    <w:rsid w:val="00F20FFC"/>
    <w:rsid w:val="00F21C84"/>
    <w:rsid w:val="00F246BA"/>
    <w:rsid w:val="00F30D9B"/>
    <w:rsid w:val="00F357DF"/>
    <w:rsid w:val="00F35D4D"/>
    <w:rsid w:val="00F36CE9"/>
    <w:rsid w:val="00F372AE"/>
    <w:rsid w:val="00F375EA"/>
    <w:rsid w:val="00F40C7C"/>
    <w:rsid w:val="00F41ADF"/>
    <w:rsid w:val="00F478A6"/>
    <w:rsid w:val="00F50185"/>
    <w:rsid w:val="00F50FA0"/>
    <w:rsid w:val="00F52E28"/>
    <w:rsid w:val="00F53784"/>
    <w:rsid w:val="00F553AE"/>
    <w:rsid w:val="00F559BC"/>
    <w:rsid w:val="00F564CF"/>
    <w:rsid w:val="00F56FF9"/>
    <w:rsid w:val="00F5759B"/>
    <w:rsid w:val="00F6507B"/>
    <w:rsid w:val="00F67571"/>
    <w:rsid w:val="00F72A91"/>
    <w:rsid w:val="00F72D1E"/>
    <w:rsid w:val="00F80684"/>
    <w:rsid w:val="00F868AE"/>
    <w:rsid w:val="00F90E7B"/>
    <w:rsid w:val="00F92D64"/>
    <w:rsid w:val="00F93C10"/>
    <w:rsid w:val="00F94E8B"/>
    <w:rsid w:val="00F9532F"/>
    <w:rsid w:val="00FA19A9"/>
    <w:rsid w:val="00FA4035"/>
    <w:rsid w:val="00FB12AD"/>
    <w:rsid w:val="00FB5856"/>
    <w:rsid w:val="00FB6916"/>
    <w:rsid w:val="00FC477B"/>
    <w:rsid w:val="00FD339F"/>
    <w:rsid w:val="00FD34C3"/>
    <w:rsid w:val="00FD726B"/>
    <w:rsid w:val="00FE0822"/>
    <w:rsid w:val="00FE2E70"/>
    <w:rsid w:val="00FE6788"/>
    <w:rsid w:val="00FF4012"/>
    <w:rsid w:val="00FF4B2B"/>
    <w:rsid w:val="00FF4E27"/>
    <w:rsid w:val="00FF7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D5A0"/>
  <w15:docId w15:val="{62634987-A044-4B99-8469-57C07E1C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456F0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Titre3"/>
    <w:next w:val="-LettreTexteGEDA"/>
    <w:link w:val="Titre4Car"/>
    <w:qFormat/>
    <w:rsid w:val="00456F05"/>
    <w:pPr>
      <w:keepLines w:val="0"/>
      <w:numPr>
        <w:numId w:val="6"/>
      </w:numPr>
      <w:spacing w:before="180"/>
      <w:ind w:left="283" w:hanging="283"/>
      <w:outlineLvl w:val="3"/>
    </w:pPr>
    <w:rPr>
      <w:rFonts w:ascii="Times New Roman" w:eastAsia="Times New Roman" w:hAnsi="Times New Roman" w:cs="Arial"/>
      <w:bCs w:val="0"/>
      <w:iCs/>
      <w:caps/>
      <w:color w:val="auto"/>
      <w:szCs w:val="20"/>
      <w:lang w:eastAsia="en-U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uiPriority w:val="99"/>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uiPriority w:val="99"/>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aliases w:val="Paragraphe de liste num,Paragraphe de liste 1,Listes,Fluvial1,Ss titre"/>
    <w:basedOn w:val="Normal"/>
    <w:link w:val="ParagraphedelisteCar"/>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uiPriority w:val="99"/>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aliases w:val="Paragraphe de liste num Car,Paragraphe de liste 1 Car,Listes Car,Fluvial1 Car,Ss titre Car"/>
    <w:basedOn w:val="Policepardfaut"/>
    <w:link w:val="Paragraphedeliste"/>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rsid w:val="00825657"/>
    <w:rPr>
      <w:rFonts w:ascii="Times New Roman" w:hAnsi="Times New Roman" w:cs="Times New Roman"/>
      <w:sz w:val="20"/>
      <w:szCs w:val="20"/>
    </w:rPr>
  </w:style>
  <w:style w:type="character" w:styleId="Appelnotedebasdep">
    <w:name w:val="footnote reference"/>
    <w:basedOn w:val="Policepardfaut"/>
    <w:uiPriority w:val="99"/>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 w:type="paragraph" w:customStyle="1" w:styleId="-SignataireNomGEDA">
    <w:name w:val="- Signataire:Nom            GEDA"/>
    <w:rsid w:val="00DC0C10"/>
    <w:pPr>
      <w:keepNext/>
      <w:overflowPunct w:val="0"/>
      <w:autoSpaceDE w:val="0"/>
      <w:autoSpaceDN w:val="0"/>
      <w:adjustRightInd w:val="0"/>
      <w:spacing w:before="1080" w:after="0" w:line="240" w:lineRule="auto"/>
      <w:jc w:val="center"/>
    </w:pPr>
    <w:rPr>
      <w:rFonts w:ascii="Times New Roman" w:eastAsia="Times New Roman" w:hAnsi="Times New Roman" w:cs="Times New Roman"/>
      <w:sz w:val="24"/>
      <w:szCs w:val="20"/>
      <w:lang w:eastAsia="fr-FR"/>
    </w:rPr>
  </w:style>
  <w:style w:type="paragraph" w:customStyle="1" w:styleId="-ActeAttenduConsidrantGEDA">
    <w:name w:val="- Acte:Attendu (Considérant)  GEDA"/>
    <w:basedOn w:val="-ActeAttenduVuGEDA"/>
    <w:rsid w:val="00F16DA5"/>
    <w:pPr>
      <w:numPr>
        <w:numId w:val="5"/>
      </w:numPr>
    </w:pPr>
  </w:style>
  <w:style w:type="paragraph" w:customStyle="1" w:styleId="-LettreRefGEDA">
    <w:name w:val="- Lettre:Ref                  GEDA"/>
    <w:basedOn w:val="-LettreObjetGEDA"/>
    <w:next w:val="-LettreSuiteORefPJGEDA"/>
    <w:rsid w:val="00990AE0"/>
    <w:pPr>
      <w:spacing w:before="80"/>
    </w:pPr>
  </w:style>
  <w:style w:type="character" w:customStyle="1" w:styleId="Titre4Car">
    <w:name w:val="Titre 4 Car"/>
    <w:basedOn w:val="Policepardfaut"/>
    <w:link w:val="Titre4"/>
    <w:rsid w:val="00456F05"/>
    <w:rPr>
      <w:rFonts w:ascii="Times New Roman" w:eastAsia="Times New Roman" w:hAnsi="Times New Roman" w:cs="Arial"/>
      <w:b/>
      <w:iCs/>
      <w:caps/>
      <w:sz w:val="24"/>
      <w:szCs w:val="20"/>
    </w:rPr>
  </w:style>
  <w:style w:type="character" w:customStyle="1" w:styleId="Titre3Car">
    <w:name w:val="Titre 3 Car"/>
    <w:basedOn w:val="Policepardfaut"/>
    <w:link w:val="Titre3"/>
    <w:uiPriority w:val="9"/>
    <w:semiHidden/>
    <w:rsid w:val="00456F05"/>
    <w:rPr>
      <w:rFonts w:asciiTheme="majorHAnsi" w:eastAsiaTheme="majorEastAsia" w:hAnsiTheme="majorHAnsi" w:cstheme="majorBidi"/>
      <w:b/>
      <w:bCs/>
      <w:color w:val="4F81BD" w:themeColor="accent1"/>
      <w:sz w:val="24"/>
      <w:szCs w:val="24"/>
      <w:lang w:eastAsia="es-ES"/>
    </w:rPr>
  </w:style>
  <w:style w:type="table" w:customStyle="1" w:styleId="TableauGrille4-Accentuation41">
    <w:name w:val="Tableau Grille 4 - Accentuation 41"/>
    <w:basedOn w:val="TableauNormal"/>
    <w:uiPriority w:val="49"/>
    <w:rsid w:val="00164559"/>
    <w:pPr>
      <w:spacing w:after="0" w:line="240" w:lineRule="auto"/>
    </w:pPr>
    <w:rPr>
      <w:rFonts w:eastAsia="Times New Roman"/>
      <w:sz w:val="24"/>
      <w:szCs w:val="24"/>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EnteteLieuetdateGEDA">
    <w:name w:val="- Entete:Lieu et date      GEDA"/>
    <w:rsid w:val="00AA06CE"/>
    <w:pPr>
      <w:overflowPunct w:val="0"/>
      <w:autoSpaceDE w:val="0"/>
      <w:autoSpaceDN w:val="0"/>
      <w:adjustRightInd w:val="0"/>
      <w:spacing w:after="240" w:line="240" w:lineRule="auto"/>
      <w:ind w:left="851"/>
      <w:textAlignment w:val="baseline"/>
    </w:pPr>
    <w:rPr>
      <w:rFonts w:ascii="Times New Roman" w:eastAsia="Times New Roman" w:hAnsi="Times New Roman" w:cs="Times New Roman"/>
      <w:noProof/>
      <w:sz w:val="24"/>
      <w:szCs w:val="20"/>
      <w:lang w:eastAsia="fr-FR"/>
    </w:rPr>
  </w:style>
  <w:style w:type="character" w:customStyle="1" w:styleId="Aucun">
    <w:name w:val="Aucun"/>
    <w:rsid w:val="00C84EB3"/>
  </w:style>
  <w:style w:type="numbering" w:customStyle="1" w:styleId="Style9import">
    <w:name w:val="Style 9 importé"/>
    <w:rsid w:val="00C84EB3"/>
    <w:pPr>
      <w:numPr>
        <w:numId w:val="7"/>
      </w:numPr>
    </w:pPr>
  </w:style>
  <w:style w:type="character" w:customStyle="1" w:styleId="textexposedshow">
    <w:name w:val="text_exposed_show"/>
    <w:basedOn w:val="Policepardfaut"/>
    <w:rsid w:val="001E128A"/>
  </w:style>
  <w:style w:type="paragraph" w:customStyle="1" w:styleId="-LettreDestinataireGEDA">
    <w:name w:val="- Lettre:Destinataire    GEDA"/>
    <w:basedOn w:val="Normal"/>
    <w:next w:val="Normal"/>
    <w:rsid w:val="00C15AEE"/>
    <w:pPr>
      <w:overflowPunct w:val="0"/>
      <w:autoSpaceDE w:val="0"/>
      <w:autoSpaceDN w:val="0"/>
      <w:adjustRightInd w:val="0"/>
      <w:spacing w:before="360"/>
      <w:jc w:val="center"/>
    </w:pPr>
    <w:rPr>
      <w:b/>
      <w:noProof/>
      <w:szCs w:val="20"/>
      <w:lang w:eastAsia="fr-FR"/>
    </w:rPr>
  </w:style>
  <w:style w:type="paragraph" w:customStyle="1" w:styleId="-LettreAffairesuivieGEDA">
    <w:name w:val="- Lettre:Affaire suivie                GEDA"/>
    <w:rsid w:val="001E547E"/>
    <w:pPr>
      <w:numPr>
        <w:numId w:val="8"/>
      </w:numPr>
      <w:tabs>
        <w:tab w:val="clear" w:pos="2880"/>
        <w:tab w:val="num" w:pos="2160"/>
      </w:tabs>
      <w:spacing w:before="240" w:after="0" w:line="240" w:lineRule="auto"/>
      <w:ind w:left="180" w:right="5652" w:firstLine="180"/>
      <w:jc w:val="center"/>
    </w:pPr>
    <w:rPr>
      <w:rFonts w:ascii="Times New Roman" w:eastAsia="Times New Roman" w:hAnsi="Times New Roman" w:cs="Times New Roman"/>
      <w:i/>
      <w:iCs/>
      <w:noProof/>
      <w:sz w:val="18"/>
      <w:szCs w:val="20"/>
      <w:lang w:eastAsia="fr-FR"/>
    </w:rPr>
  </w:style>
  <w:style w:type="paragraph" w:customStyle="1" w:styleId="alinea">
    <w:name w:val="alinea"/>
    <w:basedOn w:val="Normal"/>
    <w:rsid w:val="00E726B6"/>
    <w:pPr>
      <w:spacing w:before="100" w:beforeAutospacing="1" w:after="100" w:afterAutospacing="1"/>
    </w:pPr>
    <w:rPr>
      <w:lang w:eastAsia="fr-FR"/>
    </w:rPr>
  </w:style>
  <w:style w:type="table" w:styleId="Grilledutableau">
    <w:name w:val="Table Grid"/>
    <w:basedOn w:val="TableauNormal"/>
    <w:uiPriority w:val="59"/>
    <w:rsid w:val="00C16FEC"/>
    <w:pPr>
      <w:spacing w:after="0" w:line="240" w:lineRule="auto"/>
    </w:pPr>
    <w:rPr>
      <w:rFonts w:ascii="Times New Roman" w:hAnsi="Times New Roman" w:cs="Times New Roman"/>
      <w:sz w:val="24"/>
      <w:szCs w:val="24"/>
      <w:u w:color="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basedOn w:val="Policepardfaut"/>
    <w:link w:val="Corpsdutexte0"/>
    <w:rsid w:val="00CC6370"/>
    <w:rPr>
      <w:rFonts w:ascii="Times New Roman" w:eastAsia="Times New Roman" w:hAnsi="Times New Roman" w:cs="Times New Roman"/>
      <w:sz w:val="19"/>
      <w:szCs w:val="19"/>
      <w:shd w:val="clear" w:color="auto" w:fill="FFFFFF"/>
    </w:rPr>
  </w:style>
  <w:style w:type="paragraph" w:customStyle="1" w:styleId="Corpsdutexte0">
    <w:name w:val="Corps du texte"/>
    <w:basedOn w:val="Normal"/>
    <w:link w:val="Corpsdutexte"/>
    <w:rsid w:val="00CC6370"/>
    <w:pPr>
      <w:widowControl w:val="0"/>
      <w:shd w:val="clear" w:color="auto" w:fill="FFFFFF"/>
      <w:spacing w:before="480" w:after="240" w:line="269" w:lineRule="exact"/>
      <w:ind w:firstLine="720"/>
      <w:jc w:val="both"/>
    </w:pPr>
    <w:rPr>
      <w:sz w:val="19"/>
      <w:szCs w:val="19"/>
      <w:lang w:eastAsia="en-US"/>
    </w:rPr>
  </w:style>
  <w:style w:type="paragraph" w:customStyle="1" w:styleId="Normal1">
    <w:name w:val="Normal1"/>
    <w:rsid w:val="00CC6370"/>
    <w:pPr>
      <w:spacing w:after="0" w:line="240" w:lineRule="auto"/>
    </w:pPr>
    <w:rPr>
      <w:rFonts w:ascii="Times New Roman" w:eastAsia="Times New Roman" w:hAnsi="Times New Roman" w:cs="Times New Roman"/>
      <w:sz w:val="24"/>
      <w:szCs w:val="24"/>
      <w:lang w:eastAsia="fr-FR"/>
    </w:rPr>
  </w:style>
  <w:style w:type="paragraph" w:styleId="Textebrut">
    <w:name w:val="Plain Text"/>
    <w:basedOn w:val="Normal"/>
    <w:link w:val="TextebrutCar"/>
    <w:uiPriority w:val="99"/>
    <w:unhideWhenUsed/>
    <w:rsid w:val="00227DAE"/>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227DAE"/>
    <w:rPr>
      <w:rFonts w:ascii="Calibri" w:hAnsi="Calibri"/>
      <w:szCs w:val="21"/>
    </w:rPr>
  </w:style>
  <w:style w:type="character" w:customStyle="1" w:styleId="Mentionnonrsolue1">
    <w:name w:val="Mention non résolue1"/>
    <w:basedOn w:val="Policepardfaut"/>
    <w:uiPriority w:val="99"/>
    <w:semiHidden/>
    <w:unhideWhenUsed/>
    <w:rsid w:val="008D370E"/>
    <w:rPr>
      <w:color w:val="605E5C"/>
      <w:shd w:val="clear" w:color="auto" w:fill="E1DFDD"/>
    </w:rPr>
  </w:style>
  <w:style w:type="character" w:customStyle="1" w:styleId="UnresolvedMention">
    <w:name w:val="Unresolved Mention"/>
    <w:basedOn w:val="Policepardfaut"/>
    <w:uiPriority w:val="99"/>
    <w:semiHidden/>
    <w:unhideWhenUsed/>
    <w:rsid w:val="003B6BEA"/>
    <w:rPr>
      <w:color w:val="605E5C"/>
      <w:shd w:val="clear" w:color="auto" w:fill="E1DFDD"/>
    </w:rPr>
  </w:style>
  <w:style w:type="paragraph" w:customStyle="1" w:styleId="-lettresuiteorefpjgeda0">
    <w:name w:val="-lettresuiteorefpjgeda"/>
    <w:basedOn w:val="Normal"/>
    <w:rsid w:val="00E05D91"/>
    <w:pPr>
      <w:spacing w:before="100" w:beforeAutospacing="1" w:after="100" w:afterAutospacing="1"/>
    </w:pPr>
    <w:rPr>
      <w:rFonts w:eastAsia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240">
      <w:bodyDiv w:val="1"/>
      <w:marLeft w:val="0"/>
      <w:marRight w:val="0"/>
      <w:marTop w:val="0"/>
      <w:marBottom w:val="0"/>
      <w:divBdr>
        <w:top w:val="none" w:sz="0" w:space="0" w:color="auto"/>
        <w:left w:val="none" w:sz="0" w:space="0" w:color="auto"/>
        <w:bottom w:val="none" w:sz="0" w:space="0" w:color="auto"/>
        <w:right w:val="none" w:sz="0" w:space="0" w:color="auto"/>
      </w:divBdr>
    </w:div>
    <w:div w:id="23598659">
      <w:bodyDiv w:val="1"/>
      <w:marLeft w:val="0"/>
      <w:marRight w:val="0"/>
      <w:marTop w:val="0"/>
      <w:marBottom w:val="0"/>
      <w:divBdr>
        <w:top w:val="none" w:sz="0" w:space="0" w:color="auto"/>
        <w:left w:val="none" w:sz="0" w:space="0" w:color="auto"/>
        <w:bottom w:val="none" w:sz="0" w:space="0" w:color="auto"/>
        <w:right w:val="none" w:sz="0" w:space="0" w:color="auto"/>
      </w:divBdr>
    </w:div>
    <w:div w:id="27146237">
      <w:bodyDiv w:val="1"/>
      <w:marLeft w:val="0"/>
      <w:marRight w:val="0"/>
      <w:marTop w:val="0"/>
      <w:marBottom w:val="0"/>
      <w:divBdr>
        <w:top w:val="none" w:sz="0" w:space="0" w:color="auto"/>
        <w:left w:val="none" w:sz="0" w:space="0" w:color="auto"/>
        <w:bottom w:val="none" w:sz="0" w:space="0" w:color="auto"/>
        <w:right w:val="none" w:sz="0" w:space="0" w:color="auto"/>
      </w:divBdr>
    </w:div>
    <w:div w:id="30351137">
      <w:bodyDiv w:val="1"/>
      <w:marLeft w:val="0"/>
      <w:marRight w:val="0"/>
      <w:marTop w:val="0"/>
      <w:marBottom w:val="0"/>
      <w:divBdr>
        <w:top w:val="none" w:sz="0" w:space="0" w:color="auto"/>
        <w:left w:val="none" w:sz="0" w:space="0" w:color="auto"/>
        <w:bottom w:val="none" w:sz="0" w:space="0" w:color="auto"/>
        <w:right w:val="none" w:sz="0" w:space="0" w:color="auto"/>
      </w:divBdr>
    </w:div>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68042378">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77139318">
      <w:bodyDiv w:val="1"/>
      <w:marLeft w:val="0"/>
      <w:marRight w:val="0"/>
      <w:marTop w:val="0"/>
      <w:marBottom w:val="0"/>
      <w:divBdr>
        <w:top w:val="none" w:sz="0" w:space="0" w:color="auto"/>
        <w:left w:val="none" w:sz="0" w:space="0" w:color="auto"/>
        <w:bottom w:val="none" w:sz="0" w:space="0" w:color="auto"/>
        <w:right w:val="none" w:sz="0" w:space="0" w:color="auto"/>
      </w:divBdr>
    </w:div>
    <w:div w:id="107480614">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39613454">
      <w:bodyDiv w:val="1"/>
      <w:marLeft w:val="0"/>
      <w:marRight w:val="0"/>
      <w:marTop w:val="0"/>
      <w:marBottom w:val="0"/>
      <w:divBdr>
        <w:top w:val="none" w:sz="0" w:space="0" w:color="auto"/>
        <w:left w:val="none" w:sz="0" w:space="0" w:color="auto"/>
        <w:bottom w:val="none" w:sz="0" w:space="0" w:color="auto"/>
        <w:right w:val="none" w:sz="0" w:space="0" w:color="auto"/>
      </w:divBdr>
    </w:div>
    <w:div w:id="153298529">
      <w:bodyDiv w:val="1"/>
      <w:marLeft w:val="0"/>
      <w:marRight w:val="0"/>
      <w:marTop w:val="0"/>
      <w:marBottom w:val="0"/>
      <w:divBdr>
        <w:top w:val="none" w:sz="0" w:space="0" w:color="auto"/>
        <w:left w:val="none" w:sz="0" w:space="0" w:color="auto"/>
        <w:bottom w:val="none" w:sz="0" w:space="0" w:color="auto"/>
        <w:right w:val="none" w:sz="0" w:space="0" w:color="auto"/>
      </w:divBdr>
    </w:div>
    <w:div w:id="153378207">
      <w:bodyDiv w:val="1"/>
      <w:marLeft w:val="0"/>
      <w:marRight w:val="0"/>
      <w:marTop w:val="0"/>
      <w:marBottom w:val="0"/>
      <w:divBdr>
        <w:top w:val="none" w:sz="0" w:space="0" w:color="auto"/>
        <w:left w:val="none" w:sz="0" w:space="0" w:color="auto"/>
        <w:bottom w:val="none" w:sz="0" w:space="0" w:color="auto"/>
        <w:right w:val="none" w:sz="0" w:space="0" w:color="auto"/>
      </w:divBdr>
    </w:div>
    <w:div w:id="156699497">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198006304">
      <w:bodyDiv w:val="1"/>
      <w:marLeft w:val="0"/>
      <w:marRight w:val="0"/>
      <w:marTop w:val="0"/>
      <w:marBottom w:val="0"/>
      <w:divBdr>
        <w:top w:val="none" w:sz="0" w:space="0" w:color="auto"/>
        <w:left w:val="none" w:sz="0" w:space="0" w:color="auto"/>
        <w:bottom w:val="none" w:sz="0" w:space="0" w:color="auto"/>
        <w:right w:val="none" w:sz="0" w:space="0" w:color="auto"/>
      </w:divBdr>
    </w:div>
    <w:div w:id="21400393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55872037">
      <w:bodyDiv w:val="1"/>
      <w:marLeft w:val="0"/>
      <w:marRight w:val="0"/>
      <w:marTop w:val="0"/>
      <w:marBottom w:val="0"/>
      <w:divBdr>
        <w:top w:val="none" w:sz="0" w:space="0" w:color="auto"/>
        <w:left w:val="none" w:sz="0" w:space="0" w:color="auto"/>
        <w:bottom w:val="none" w:sz="0" w:space="0" w:color="auto"/>
        <w:right w:val="none" w:sz="0" w:space="0" w:color="auto"/>
      </w:divBdr>
    </w:div>
    <w:div w:id="257493491">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1035735">
      <w:bodyDiv w:val="1"/>
      <w:marLeft w:val="0"/>
      <w:marRight w:val="0"/>
      <w:marTop w:val="0"/>
      <w:marBottom w:val="0"/>
      <w:divBdr>
        <w:top w:val="none" w:sz="0" w:space="0" w:color="auto"/>
        <w:left w:val="none" w:sz="0" w:space="0" w:color="auto"/>
        <w:bottom w:val="none" w:sz="0" w:space="0" w:color="auto"/>
        <w:right w:val="none" w:sz="0" w:space="0" w:color="auto"/>
      </w:divBdr>
    </w:div>
    <w:div w:id="282543905">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44796363">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80591627">
      <w:bodyDiv w:val="1"/>
      <w:marLeft w:val="0"/>
      <w:marRight w:val="0"/>
      <w:marTop w:val="0"/>
      <w:marBottom w:val="0"/>
      <w:divBdr>
        <w:top w:val="none" w:sz="0" w:space="0" w:color="auto"/>
        <w:left w:val="none" w:sz="0" w:space="0" w:color="auto"/>
        <w:bottom w:val="none" w:sz="0" w:space="0" w:color="auto"/>
        <w:right w:val="none" w:sz="0" w:space="0" w:color="auto"/>
      </w:divBdr>
    </w:div>
    <w:div w:id="383873001">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362796">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34440916">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68085270">
      <w:bodyDiv w:val="1"/>
      <w:marLeft w:val="0"/>
      <w:marRight w:val="0"/>
      <w:marTop w:val="0"/>
      <w:marBottom w:val="0"/>
      <w:divBdr>
        <w:top w:val="none" w:sz="0" w:space="0" w:color="auto"/>
        <w:left w:val="none" w:sz="0" w:space="0" w:color="auto"/>
        <w:bottom w:val="none" w:sz="0" w:space="0" w:color="auto"/>
        <w:right w:val="none" w:sz="0" w:space="0" w:color="auto"/>
      </w:divBdr>
    </w:div>
    <w:div w:id="478690919">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495145490">
      <w:bodyDiv w:val="1"/>
      <w:marLeft w:val="0"/>
      <w:marRight w:val="0"/>
      <w:marTop w:val="0"/>
      <w:marBottom w:val="0"/>
      <w:divBdr>
        <w:top w:val="none" w:sz="0" w:space="0" w:color="auto"/>
        <w:left w:val="none" w:sz="0" w:space="0" w:color="auto"/>
        <w:bottom w:val="none" w:sz="0" w:space="0" w:color="auto"/>
        <w:right w:val="none" w:sz="0" w:space="0" w:color="auto"/>
      </w:divBdr>
    </w:div>
    <w:div w:id="516695557">
      <w:bodyDiv w:val="1"/>
      <w:marLeft w:val="0"/>
      <w:marRight w:val="0"/>
      <w:marTop w:val="0"/>
      <w:marBottom w:val="0"/>
      <w:divBdr>
        <w:top w:val="none" w:sz="0" w:space="0" w:color="auto"/>
        <w:left w:val="none" w:sz="0" w:space="0" w:color="auto"/>
        <w:bottom w:val="none" w:sz="0" w:space="0" w:color="auto"/>
        <w:right w:val="none" w:sz="0" w:space="0" w:color="auto"/>
      </w:divBdr>
    </w:div>
    <w:div w:id="536087316">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49418902">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15255438">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67712170">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34857338">
      <w:bodyDiv w:val="1"/>
      <w:marLeft w:val="0"/>
      <w:marRight w:val="0"/>
      <w:marTop w:val="0"/>
      <w:marBottom w:val="0"/>
      <w:divBdr>
        <w:top w:val="none" w:sz="0" w:space="0" w:color="auto"/>
        <w:left w:val="none" w:sz="0" w:space="0" w:color="auto"/>
        <w:bottom w:val="none" w:sz="0" w:space="0" w:color="auto"/>
        <w:right w:val="none" w:sz="0" w:space="0" w:color="auto"/>
      </w:divBdr>
    </w:div>
    <w:div w:id="741412818">
      <w:bodyDiv w:val="1"/>
      <w:marLeft w:val="0"/>
      <w:marRight w:val="0"/>
      <w:marTop w:val="0"/>
      <w:marBottom w:val="0"/>
      <w:divBdr>
        <w:top w:val="none" w:sz="0" w:space="0" w:color="auto"/>
        <w:left w:val="none" w:sz="0" w:space="0" w:color="auto"/>
        <w:bottom w:val="none" w:sz="0" w:space="0" w:color="auto"/>
        <w:right w:val="none" w:sz="0" w:space="0" w:color="auto"/>
      </w:divBdr>
    </w:div>
    <w:div w:id="754861377">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767652123">
      <w:bodyDiv w:val="1"/>
      <w:marLeft w:val="0"/>
      <w:marRight w:val="0"/>
      <w:marTop w:val="0"/>
      <w:marBottom w:val="0"/>
      <w:divBdr>
        <w:top w:val="none" w:sz="0" w:space="0" w:color="auto"/>
        <w:left w:val="none" w:sz="0" w:space="0" w:color="auto"/>
        <w:bottom w:val="none" w:sz="0" w:space="0" w:color="auto"/>
        <w:right w:val="none" w:sz="0" w:space="0" w:color="auto"/>
      </w:divBdr>
    </w:div>
    <w:div w:id="793329890">
      <w:bodyDiv w:val="1"/>
      <w:marLeft w:val="0"/>
      <w:marRight w:val="0"/>
      <w:marTop w:val="0"/>
      <w:marBottom w:val="0"/>
      <w:divBdr>
        <w:top w:val="none" w:sz="0" w:space="0" w:color="auto"/>
        <w:left w:val="none" w:sz="0" w:space="0" w:color="auto"/>
        <w:bottom w:val="none" w:sz="0" w:space="0" w:color="auto"/>
        <w:right w:val="none" w:sz="0" w:space="0" w:color="auto"/>
      </w:divBdr>
    </w:div>
    <w:div w:id="844170095">
      <w:bodyDiv w:val="1"/>
      <w:marLeft w:val="0"/>
      <w:marRight w:val="0"/>
      <w:marTop w:val="0"/>
      <w:marBottom w:val="0"/>
      <w:divBdr>
        <w:top w:val="none" w:sz="0" w:space="0" w:color="auto"/>
        <w:left w:val="none" w:sz="0" w:space="0" w:color="auto"/>
        <w:bottom w:val="none" w:sz="0" w:space="0" w:color="auto"/>
        <w:right w:val="none" w:sz="0" w:space="0" w:color="auto"/>
      </w:divBdr>
    </w:div>
    <w:div w:id="858086944">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74848198">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886641880">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5192123">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995113163">
      <w:bodyDiv w:val="1"/>
      <w:marLeft w:val="0"/>
      <w:marRight w:val="0"/>
      <w:marTop w:val="0"/>
      <w:marBottom w:val="0"/>
      <w:divBdr>
        <w:top w:val="none" w:sz="0" w:space="0" w:color="auto"/>
        <w:left w:val="none" w:sz="0" w:space="0" w:color="auto"/>
        <w:bottom w:val="none" w:sz="0" w:space="0" w:color="auto"/>
        <w:right w:val="none" w:sz="0" w:space="0" w:color="auto"/>
      </w:divBdr>
    </w:div>
    <w:div w:id="1041321166">
      <w:bodyDiv w:val="1"/>
      <w:marLeft w:val="0"/>
      <w:marRight w:val="0"/>
      <w:marTop w:val="0"/>
      <w:marBottom w:val="0"/>
      <w:divBdr>
        <w:top w:val="none" w:sz="0" w:space="0" w:color="auto"/>
        <w:left w:val="none" w:sz="0" w:space="0" w:color="auto"/>
        <w:bottom w:val="none" w:sz="0" w:space="0" w:color="auto"/>
        <w:right w:val="none" w:sz="0" w:space="0" w:color="auto"/>
      </w:divBdr>
    </w:div>
    <w:div w:id="1041856012">
      <w:bodyDiv w:val="1"/>
      <w:marLeft w:val="0"/>
      <w:marRight w:val="0"/>
      <w:marTop w:val="0"/>
      <w:marBottom w:val="0"/>
      <w:divBdr>
        <w:top w:val="none" w:sz="0" w:space="0" w:color="auto"/>
        <w:left w:val="none" w:sz="0" w:space="0" w:color="auto"/>
        <w:bottom w:val="none" w:sz="0" w:space="0" w:color="auto"/>
        <w:right w:val="none" w:sz="0" w:space="0" w:color="auto"/>
      </w:divBdr>
    </w:div>
    <w:div w:id="1080101988">
      <w:bodyDiv w:val="1"/>
      <w:marLeft w:val="0"/>
      <w:marRight w:val="0"/>
      <w:marTop w:val="0"/>
      <w:marBottom w:val="0"/>
      <w:divBdr>
        <w:top w:val="none" w:sz="0" w:space="0" w:color="auto"/>
        <w:left w:val="none" w:sz="0" w:space="0" w:color="auto"/>
        <w:bottom w:val="none" w:sz="0" w:space="0" w:color="auto"/>
        <w:right w:val="none" w:sz="0" w:space="0" w:color="auto"/>
      </w:divBdr>
    </w:div>
    <w:div w:id="1084106740">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188175135">
      <w:bodyDiv w:val="1"/>
      <w:marLeft w:val="0"/>
      <w:marRight w:val="0"/>
      <w:marTop w:val="0"/>
      <w:marBottom w:val="0"/>
      <w:divBdr>
        <w:top w:val="none" w:sz="0" w:space="0" w:color="auto"/>
        <w:left w:val="none" w:sz="0" w:space="0" w:color="auto"/>
        <w:bottom w:val="none" w:sz="0" w:space="0" w:color="auto"/>
        <w:right w:val="none" w:sz="0" w:space="0" w:color="auto"/>
      </w:divBdr>
    </w:div>
    <w:div w:id="1197696459">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38124984">
      <w:bodyDiv w:val="1"/>
      <w:marLeft w:val="0"/>
      <w:marRight w:val="0"/>
      <w:marTop w:val="0"/>
      <w:marBottom w:val="0"/>
      <w:divBdr>
        <w:top w:val="none" w:sz="0" w:space="0" w:color="auto"/>
        <w:left w:val="none" w:sz="0" w:space="0" w:color="auto"/>
        <w:bottom w:val="none" w:sz="0" w:space="0" w:color="auto"/>
        <w:right w:val="none" w:sz="0" w:space="0" w:color="auto"/>
      </w:divBdr>
    </w:div>
    <w:div w:id="1242250885">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16185406">
      <w:bodyDiv w:val="1"/>
      <w:marLeft w:val="0"/>
      <w:marRight w:val="0"/>
      <w:marTop w:val="0"/>
      <w:marBottom w:val="0"/>
      <w:divBdr>
        <w:top w:val="none" w:sz="0" w:space="0" w:color="auto"/>
        <w:left w:val="none" w:sz="0" w:space="0" w:color="auto"/>
        <w:bottom w:val="none" w:sz="0" w:space="0" w:color="auto"/>
        <w:right w:val="none" w:sz="0" w:space="0" w:color="auto"/>
      </w:divBdr>
    </w:div>
    <w:div w:id="1356269440">
      <w:bodyDiv w:val="1"/>
      <w:marLeft w:val="0"/>
      <w:marRight w:val="0"/>
      <w:marTop w:val="0"/>
      <w:marBottom w:val="0"/>
      <w:divBdr>
        <w:top w:val="none" w:sz="0" w:space="0" w:color="auto"/>
        <w:left w:val="none" w:sz="0" w:space="0" w:color="auto"/>
        <w:bottom w:val="none" w:sz="0" w:space="0" w:color="auto"/>
        <w:right w:val="none" w:sz="0" w:space="0" w:color="auto"/>
      </w:divBdr>
    </w:div>
    <w:div w:id="1364985160">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835549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33937471">
      <w:bodyDiv w:val="1"/>
      <w:marLeft w:val="0"/>
      <w:marRight w:val="0"/>
      <w:marTop w:val="0"/>
      <w:marBottom w:val="0"/>
      <w:divBdr>
        <w:top w:val="none" w:sz="0" w:space="0" w:color="auto"/>
        <w:left w:val="none" w:sz="0" w:space="0" w:color="auto"/>
        <w:bottom w:val="none" w:sz="0" w:space="0" w:color="auto"/>
        <w:right w:val="none" w:sz="0" w:space="0" w:color="auto"/>
      </w:divBdr>
    </w:div>
    <w:div w:id="1451122175">
      <w:bodyDiv w:val="1"/>
      <w:marLeft w:val="0"/>
      <w:marRight w:val="0"/>
      <w:marTop w:val="0"/>
      <w:marBottom w:val="0"/>
      <w:divBdr>
        <w:top w:val="none" w:sz="0" w:space="0" w:color="auto"/>
        <w:left w:val="none" w:sz="0" w:space="0" w:color="auto"/>
        <w:bottom w:val="none" w:sz="0" w:space="0" w:color="auto"/>
        <w:right w:val="none" w:sz="0" w:space="0" w:color="auto"/>
      </w:divBdr>
    </w:div>
    <w:div w:id="1451776235">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32256436">
      <w:bodyDiv w:val="1"/>
      <w:marLeft w:val="0"/>
      <w:marRight w:val="0"/>
      <w:marTop w:val="0"/>
      <w:marBottom w:val="0"/>
      <w:divBdr>
        <w:top w:val="none" w:sz="0" w:space="0" w:color="auto"/>
        <w:left w:val="none" w:sz="0" w:space="0" w:color="auto"/>
        <w:bottom w:val="none" w:sz="0" w:space="0" w:color="auto"/>
        <w:right w:val="none" w:sz="0" w:space="0" w:color="auto"/>
      </w:divBdr>
    </w:div>
    <w:div w:id="1537081444">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557717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580749783">
      <w:bodyDiv w:val="1"/>
      <w:marLeft w:val="0"/>
      <w:marRight w:val="0"/>
      <w:marTop w:val="0"/>
      <w:marBottom w:val="0"/>
      <w:divBdr>
        <w:top w:val="none" w:sz="0" w:space="0" w:color="auto"/>
        <w:left w:val="none" w:sz="0" w:space="0" w:color="auto"/>
        <w:bottom w:val="none" w:sz="0" w:space="0" w:color="auto"/>
        <w:right w:val="none" w:sz="0" w:space="0" w:color="auto"/>
      </w:divBdr>
    </w:div>
    <w:div w:id="1616205794">
      <w:bodyDiv w:val="1"/>
      <w:marLeft w:val="0"/>
      <w:marRight w:val="0"/>
      <w:marTop w:val="0"/>
      <w:marBottom w:val="0"/>
      <w:divBdr>
        <w:top w:val="none" w:sz="0" w:space="0" w:color="auto"/>
        <w:left w:val="none" w:sz="0" w:space="0" w:color="auto"/>
        <w:bottom w:val="none" w:sz="0" w:space="0" w:color="auto"/>
        <w:right w:val="none" w:sz="0" w:space="0" w:color="auto"/>
      </w:divBdr>
    </w:div>
    <w:div w:id="1619482794">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674644941">
      <w:bodyDiv w:val="1"/>
      <w:marLeft w:val="0"/>
      <w:marRight w:val="0"/>
      <w:marTop w:val="0"/>
      <w:marBottom w:val="0"/>
      <w:divBdr>
        <w:top w:val="none" w:sz="0" w:space="0" w:color="auto"/>
        <w:left w:val="none" w:sz="0" w:space="0" w:color="auto"/>
        <w:bottom w:val="none" w:sz="0" w:space="0" w:color="auto"/>
        <w:right w:val="none" w:sz="0" w:space="0" w:color="auto"/>
      </w:divBdr>
    </w:div>
    <w:div w:id="1690331189">
      <w:bodyDiv w:val="1"/>
      <w:marLeft w:val="0"/>
      <w:marRight w:val="0"/>
      <w:marTop w:val="0"/>
      <w:marBottom w:val="0"/>
      <w:divBdr>
        <w:top w:val="none" w:sz="0" w:space="0" w:color="auto"/>
        <w:left w:val="none" w:sz="0" w:space="0" w:color="auto"/>
        <w:bottom w:val="none" w:sz="0" w:space="0" w:color="auto"/>
        <w:right w:val="none" w:sz="0" w:space="0" w:color="auto"/>
      </w:divBdr>
    </w:div>
    <w:div w:id="1690795296">
      <w:bodyDiv w:val="1"/>
      <w:marLeft w:val="0"/>
      <w:marRight w:val="0"/>
      <w:marTop w:val="0"/>
      <w:marBottom w:val="0"/>
      <w:divBdr>
        <w:top w:val="none" w:sz="0" w:space="0" w:color="auto"/>
        <w:left w:val="none" w:sz="0" w:space="0" w:color="auto"/>
        <w:bottom w:val="none" w:sz="0" w:space="0" w:color="auto"/>
        <w:right w:val="none" w:sz="0" w:space="0" w:color="auto"/>
      </w:divBdr>
    </w:div>
    <w:div w:id="17233585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37587376">
      <w:bodyDiv w:val="1"/>
      <w:marLeft w:val="0"/>
      <w:marRight w:val="0"/>
      <w:marTop w:val="0"/>
      <w:marBottom w:val="0"/>
      <w:divBdr>
        <w:top w:val="none" w:sz="0" w:space="0" w:color="auto"/>
        <w:left w:val="none" w:sz="0" w:space="0" w:color="auto"/>
        <w:bottom w:val="none" w:sz="0" w:space="0" w:color="auto"/>
        <w:right w:val="none" w:sz="0" w:space="0" w:color="auto"/>
      </w:divBdr>
    </w:div>
    <w:div w:id="1743941163">
      <w:bodyDiv w:val="1"/>
      <w:marLeft w:val="0"/>
      <w:marRight w:val="0"/>
      <w:marTop w:val="0"/>
      <w:marBottom w:val="0"/>
      <w:divBdr>
        <w:top w:val="none" w:sz="0" w:space="0" w:color="auto"/>
        <w:left w:val="none" w:sz="0" w:space="0" w:color="auto"/>
        <w:bottom w:val="none" w:sz="0" w:space="0" w:color="auto"/>
        <w:right w:val="none" w:sz="0" w:space="0" w:color="auto"/>
      </w:divBdr>
    </w:div>
    <w:div w:id="1752506117">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59331871">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790203177">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24925955">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53718177">
      <w:bodyDiv w:val="1"/>
      <w:marLeft w:val="0"/>
      <w:marRight w:val="0"/>
      <w:marTop w:val="0"/>
      <w:marBottom w:val="0"/>
      <w:divBdr>
        <w:top w:val="none" w:sz="0" w:space="0" w:color="auto"/>
        <w:left w:val="none" w:sz="0" w:space="0" w:color="auto"/>
        <w:bottom w:val="none" w:sz="0" w:space="0" w:color="auto"/>
        <w:right w:val="none" w:sz="0" w:space="0" w:color="auto"/>
      </w:divBdr>
    </w:div>
    <w:div w:id="1857766432">
      <w:bodyDiv w:val="1"/>
      <w:marLeft w:val="0"/>
      <w:marRight w:val="0"/>
      <w:marTop w:val="0"/>
      <w:marBottom w:val="0"/>
      <w:divBdr>
        <w:top w:val="none" w:sz="0" w:space="0" w:color="auto"/>
        <w:left w:val="none" w:sz="0" w:space="0" w:color="auto"/>
        <w:bottom w:val="none" w:sz="0" w:space="0" w:color="auto"/>
        <w:right w:val="none" w:sz="0" w:space="0" w:color="auto"/>
      </w:divBdr>
    </w:div>
    <w:div w:id="1890527503">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896357371">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13999567">
      <w:bodyDiv w:val="1"/>
      <w:marLeft w:val="0"/>
      <w:marRight w:val="0"/>
      <w:marTop w:val="0"/>
      <w:marBottom w:val="0"/>
      <w:divBdr>
        <w:top w:val="none" w:sz="0" w:space="0" w:color="auto"/>
        <w:left w:val="none" w:sz="0" w:space="0" w:color="auto"/>
        <w:bottom w:val="none" w:sz="0" w:space="0" w:color="auto"/>
        <w:right w:val="none" w:sz="0" w:space="0" w:color="auto"/>
      </w:divBdr>
    </w:div>
    <w:div w:id="1915775507">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4074862">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1991596248">
      <w:bodyDiv w:val="1"/>
      <w:marLeft w:val="0"/>
      <w:marRight w:val="0"/>
      <w:marTop w:val="0"/>
      <w:marBottom w:val="0"/>
      <w:divBdr>
        <w:top w:val="none" w:sz="0" w:space="0" w:color="auto"/>
        <w:left w:val="none" w:sz="0" w:space="0" w:color="auto"/>
        <w:bottom w:val="none" w:sz="0" w:space="0" w:color="auto"/>
        <w:right w:val="none" w:sz="0" w:space="0" w:color="auto"/>
      </w:divBdr>
    </w:div>
    <w:div w:id="2001276612">
      <w:bodyDiv w:val="1"/>
      <w:marLeft w:val="0"/>
      <w:marRight w:val="0"/>
      <w:marTop w:val="0"/>
      <w:marBottom w:val="0"/>
      <w:divBdr>
        <w:top w:val="none" w:sz="0" w:space="0" w:color="auto"/>
        <w:left w:val="none" w:sz="0" w:space="0" w:color="auto"/>
        <w:bottom w:val="none" w:sz="0" w:space="0" w:color="auto"/>
        <w:right w:val="none" w:sz="0" w:space="0" w:color="auto"/>
      </w:divBdr>
    </w:div>
    <w:div w:id="2003042773">
      <w:bodyDiv w:val="1"/>
      <w:marLeft w:val="0"/>
      <w:marRight w:val="0"/>
      <w:marTop w:val="0"/>
      <w:marBottom w:val="0"/>
      <w:divBdr>
        <w:top w:val="none" w:sz="0" w:space="0" w:color="auto"/>
        <w:left w:val="none" w:sz="0" w:space="0" w:color="auto"/>
        <w:bottom w:val="none" w:sz="0" w:space="0" w:color="auto"/>
        <w:right w:val="none" w:sz="0" w:space="0" w:color="auto"/>
      </w:divBdr>
    </w:div>
    <w:div w:id="2003269296">
      <w:bodyDiv w:val="1"/>
      <w:marLeft w:val="0"/>
      <w:marRight w:val="0"/>
      <w:marTop w:val="0"/>
      <w:marBottom w:val="0"/>
      <w:divBdr>
        <w:top w:val="none" w:sz="0" w:space="0" w:color="auto"/>
        <w:left w:val="none" w:sz="0" w:space="0" w:color="auto"/>
        <w:bottom w:val="none" w:sz="0" w:space="0" w:color="auto"/>
        <w:right w:val="none" w:sz="0" w:space="0" w:color="auto"/>
      </w:divBdr>
    </w:div>
    <w:div w:id="2018267998">
      <w:bodyDiv w:val="1"/>
      <w:marLeft w:val="0"/>
      <w:marRight w:val="0"/>
      <w:marTop w:val="0"/>
      <w:marBottom w:val="0"/>
      <w:divBdr>
        <w:top w:val="none" w:sz="0" w:space="0" w:color="auto"/>
        <w:left w:val="none" w:sz="0" w:space="0" w:color="auto"/>
        <w:bottom w:val="none" w:sz="0" w:space="0" w:color="auto"/>
        <w:right w:val="none" w:sz="0" w:space="0" w:color="auto"/>
      </w:divBdr>
    </w:div>
    <w:div w:id="2043555743">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5353587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71154533">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089647736">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14549427">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CCD26-9FA9-4FB3-8194-D56544B5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2922</Words>
  <Characters>16076</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Katell KP. PERENNOU</dc:creator>
  <cp:lastModifiedBy>Thibault TM. MARAIS</cp:lastModifiedBy>
  <cp:revision>2</cp:revision>
  <cp:lastPrinted>2019-12-03T18:24:00Z</cp:lastPrinted>
  <dcterms:created xsi:type="dcterms:W3CDTF">2020-11-18T22:04:00Z</dcterms:created>
  <dcterms:modified xsi:type="dcterms:W3CDTF">2020-11-18T22:04:00Z</dcterms:modified>
</cp:coreProperties>
</file>