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06265" w14:textId="77777777" w:rsidR="00CE47CE" w:rsidRPr="00697DBB" w:rsidRDefault="00CE47CE" w:rsidP="00CE47CE">
      <w:pPr>
        <w:pStyle w:val="Sansinterligne"/>
        <w:rPr>
          <w:rFonts w:asciiTheme="majorHAnsi" w:hAnsiTheme="majorHAnsi"/>
          <w:lang w:eastAsia="fr-FR"/>
        </w:rPr>
      </w:pPr>
      <w:r w:rsidRPr="00697DBB">
        <w:rPr>
          <w:rFonts w:asciiTheme="majorHAnsi" w:hAnsiTheme="majorHAnsi"/>
          <w:noProof/>
          <w:lang w:eastAsia="fr-FR"/>
        </w:rPr>
        <w:drawing>
          <wp:anchor distT="0" distB="0" distL="114300" distR="114300" simplePos="0" relativeHeight="251659264" behindDoc="1" locked="0" layoutInCell="1" allowOverlap="1" wp14:anchorId="79385D0B" wp14:editId="025659D9">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7DBB">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45C18E35" wp14:editId="2D795FD3">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1A74E25C"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14:paraId="111C9687"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18E35"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1A74E25C"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14:paraId="111C9687"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7DBB">
        <w:rPr>
          <w:rFonts w:asciiTheme="majorHAnsi" w:hAnsiTheme="majorHAnsi"/>
          <w:lang w:eastAsia="fr-FR"/>
        </w:rPr>
        <w:tab/>
        <w:t xml:space="preserve">      </w:t>
      </w:r>
    </w:p>
    <w:p w14:paraId="019B7D82" w14:textId="77777777" w:rsidR="00CE47CE" w:rsidRPr="00697DBB" w:rsidRDefault="00CE47CE" w:rsidP="00CE47CE">
      <w:pPr>
        <w:jc w:val="center"/>
        <w:rPr>
          <w:rFonts w:asciiTheme="majorHAnsi" w:hAnsiTheme="majorHAnsi"/>
          <w:color w:val="993366"/>
        </w:rPr>
      </w:pPr>
    </w:p>
    <w:p w14:paraId="452A9C46" w14:textId="77777777" w:rsidR="00CE47CE" w:rsidRPr="00697DBB" w:rsidRDefault="00CE47CE" w:rsidP="00CE47CE">
      <w:pPr>
        <w:rPr>
          <w:rFonts w:asciiTheme="majorHAnsi" w:hAnsiTheme="majorHAnsi"/>
          <w:color w:val="993366"/>
        </w:rPr>
      </w:pPr>
    </w:p>
    <w:p w14:paraId="0EB9FE2E" w14:textId="77777777" w:rsidR="00CE47CE" w:rsidRPr="00697DBB" w:rsidRDefault="00CE47CE" w:rsidP="00CE47CE">
      <w:pPr>
        <w:rPr>
          <w:rFonts w:asciiTheme="majorHAnsi" w:hAnsiTheme="majorHAnsi"/>
          <w:color w:val="993366"/>
        </w:rPr>
      </w:pPr>
    </w:p>
    <w:p w14:paraId="1058D400" w14:textId="77777777" w:rsidR="00CE47CE" w:rsidRPr="00697DBB" w:rsidRDefault="00CE47CE" w:rsidP="00CE47CE">
      <w:pPr>
        <w:rPr>
          <w:rFonts w:asciiTheme="majorHAnsi" w:hAnsiTheme="majorHAnsi"/>
          <w:color w:val="993366"/>
        </w:rPr>
      </w:pPr>
    </w:p>
    <w:p w14:paraId="3AC9BAB3" w14:textId="77777777" w:rsidR="00CE47CE" w:rsidRPr="00697DBB" w:rsidRDefault="00CE47CE" w:rsidP="00CE47CE">
      <w:pPr>
        <w:tabs>
          <w:tab w:val="center" w:pos="4533"/>
          <w:tab w:val="left" w:pos="6544"/>
        </w:tabs>
        <w:rPr>
          <w:rFonts w:asciiTheme="majorHAnsi" w:hAnsiTheme="majorHAnsi"/>
          <w:u w:val="single"/>
        </w:rPr>
      </w:pPr>
      <w:r w:rsidRPr="00697DBB">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45DE098" wp14:editId="407DF0E0">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14:paraId="680C2F6E" w14:textId="77777777" w:rsidR="00CE47CE" w:rsidRPr="00697DBB" w:rsidRDefault="00CE47CE" w:rsidP="00CE47CE">
      <w:pPr>
        <w:tabs>
          <w:tab w:val="left" w:pos="3240"/>
        </w:tabs>
        <w:jc w:val="center"/>
        <w:rPr>
          <w:rFonts w:asciiTheme="majorHAnsi" w:hAnsiTheme="majorHAnsi" w:cs="Arial"/>
          <w:b/>
        </w:rPr>
      </w:pPr>
      <w:r w:rsidRPr="00697DBB">
        <w:rPr>
          <w:rFonts w:asciiTheme="majorHAnsi" w:hAnsiTheme="majorHAnsi" w:cs="Arial"/>
          <w:b/>
        </w:rPr>
        <w:t>BUREAU DE LA COMMUNICATION</w:t>
      </w:r>
    </w:p>
    <w:p w14:paraId="368476F6" w14:textId="51B05FB2" w:rsidR="00CE47CE" w:rsidRPr="00697DBB" w:rsidRDefault="007A7556" w:rsidP="00CE47CE">
      <w:pPr>
        <w:tabs>
          <w:tab w:val="left" w:pos="3240"/>
        </w:tabs>
        <w:jc w:val="center"/>
        <w:rPr>
          <w:rFonts w:asciiTheme="majorHAnsi" w:hAnsiTheme="majorHAnsi" w:cs="Arial"/>
          <w:b/>
          <w:i/>
        </w:rPr>
      </w:pPr>
      <w:r w:rsidRPr="00697DBB">
        <w:rPr>
          <w:rFonts w:asciiTheme="majorHAnsi" w:hAnsiTheme="majorHAnsi" w:cs="Arial"/>
          <w:b/>
          <w:i/>
        </w:rPr>
        <w:t xml:space="preserve">Mercredi </w:t>
      </w:r>
      <w:r w:rsidR="00BB6581">
        <w:rPr>
          <w:rFonts w:asciiTheme="majorHAnsi" w:hAnsiTheme="majorHAnsi" w:cs="Arial"/>
          <w:b/>
          <w:i/>
        </w:rPr>
        <w:t>14</w:t>
      </w:r>
      <w:r w:rsidR="00762278" w:rsidRPr="00697DBB">
        <w:rPr>
          <w:rFonts w:asciiTheme="majorHAnsi" w:hAnsiTheme="majorHAnsi" w:cs="Arial"/>
          <w:b/>
          <w:i/>
        </w:rPr>
        <w:t xml:space="preserve"> </w:t>
      </w:r>
      <w:r w:rsidR="00C902F3" w:rsidRPr="00697DBB">
        <w:rPr>
          <w:rFonts w:asciiTheme="majorHAnsi" w:hAnsiTheme="majorHAnsi" w:cs="Arial"/>
          <w:b/>
          <w:i/>
        </w:rPr>
        <w:t>octobre</w:t>
      </w:r>
      <w:r w:rsidRPr="00697DBB">
        <w:rPr>
          <w:rFonts w:asciiTheme="majorHAnsi" w:hAnsiTheme="majorHAnsi" w:cs="Arial"/>
          <w:b/>
          <w:i/>
        </w:rPr>
        <w:t xml:space="preserve"> </w:t>
      </w:r>
      <w:r w:rsidR="00087CFE" w:rsidRPr="00697DBB">
        <w:rPr>
          <w:rFonts w:asciiTheme="majorHAnsi" w:hAnsiTheme="majorHAnsi" w:cs="Arial"/>
          <w:b/>
          <w:i/>
        </w:rPr>
        <w:t>2020</w:t>
      </w:r>
    </w:p>
    <w:p w14:paraId="12D499B4" w14:textId="77777777" w:rsidR="00CE47CE" w:rsidRPr="00697DBB" w:rsidRDefault="00CE47CE" w:rsidP="00CE47CE">
      <w:pPr>
        <w:tabs>
          <w:tab w:val="left" w:pos="3240"/>
        </w:tabs>
        <w:jc w:val="center"/>
        <w:rPr>
          <w:rFonts w:asciiTheme="majorHAnsi" w:hAnsiTheme="majorHAnsi"/>
        </w:rPr>
      </w:pPr>
      <w:r w:rsidRPr="00697DBB">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3A8E8A0E" wp14:editId="09531C46">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14:paraId="01195C2C" w14:textId="77777777" w:rsidR="00CE47CE" w:rsidRPr="00697DBB" w:rsidRDefault="00CE47CE" w:rsidP="00CE47CE">
      <w:pPr>
        <w:tabs>
          <w:tab w:val="left" w:pos="3240"/>
        </w:tabs>
        <w:rPr>
          <w:rFonts w:asciiTheme="majorHAnsi" w:hAnsiTheme="majorHAnsi" w:cs="Arial"/>
          <w:b/>
          <w:i/>
        </w:rPr>
      </w:pPr>
    </w:p>
    <w:p w14:paraId="057759CE" w14:textId="5F349662" w:rsidR="00762278" w:rsidRPr="00697DBB" w:rsidRDefault="00CE47CE" w:rsidP="00697DBB">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7DBB">
        <w:rPr>
          <w:rFonts w:asciiTheme="majorHAnsi" w:hAnsiTheme="majorHAnsi"/>
          <w:b/>
        </w:rPr>
        <w:tab/>
        <w:t xml:space="preserve">Compte rendu du Conseil des ministres </w:t>
      </w:r>
    </w:p>
    <w:p w14:paraId="0A8A288D" w14:textId="77777777" w:rsidR="00697DBB" w:rsidRDefault="00697DBB" w:rsidP="00697DBB">
      <w:pPr>
        <w:pStyle w:val="-LettreObjetGEDA"/>
        <w:ind w:left="0" w:firstLine="0"/>
        <w:rPr>
          <w:rFonts w:ascii="Cambria" w:hAnsi="Cambria"/>
          <w:b/>
          <w:bCs/>
        </w:rPr>
      </w:pPr>
    </w:p>
    <w:p w14:paraId="53740035" w14:textId="77777777" w:rsidR="003A5FAD" w:rsidRDefault="003A5FAD" w:rsidP="003A5FAD">
      <w:pPr>
        <w:jc w:val="both"/>
        <w:rPr>
          <w:rFonts w:ascii="Cambria" w:hAnsi="Cambria"/>
          <w:b/>
          <w:bCs/>
          <w:lang w:eastAsia="fr-FR"/>
        </w:rPr>
      </w:pPr>
      <w:r w:rsidRPr="00C2790C">
        <w:rPr>
          <w:rFonts w:ascii="Cambria" w:hAnsi="Cambria"/>
          <w:b/>
          <w:bCs/>
          <w:lang w:eastAsia="fr-FR"/>
        </w:rPr>
        <w:t xml:space="preserve">Débat d’orientation </w:t>
      </w:r>
      <w:r>
        <w:rPr>
          <w:rFonts w:ascii="Cambria" w:hAnsi="Cambria"/>
          <w:b/>
          <w:bCs/>
          <w:lang w:eastAsia="fr-FR"/>
        </w:rPr>
        <w:t>budgétaire pour l’exercice 2021</w:t>
      </w:r>
    </w:p>
    <w:p w14:paraId="2438C507" w14:textId="77777777" w:rsidR="003A5FAD" w:rsidRPr="00C2790C" w:rsidRDefault="003A5FAD" w:rsidP="003A5FAD">
      <w:pPr>
        <w:jc w:val="both"/>
        <w:rPr>
          <w:rFonts w:ascii="Cambria" w:hAnsi="Cambria"/>
          <w:b/>
          <w:bCs/>
          <w:lang w:eastAsia="fr-FR"/>
        </w:rPr>
      </w:pPr>
    </w:p>
    <w:p w14:paraId="30EB53DE" w14:textId="6EFB461B" w:rsidR="003A5FAD" w:rsidRPr="00C2790C" w:rsidRDefault="00012846" w:rsidP="003A5FAD">
      <w:pPr>
        <w:widowControl w:val="0"/>
        <w:autoSpaceDE w:val="0"/>
        <w:autoSpaceDN w:val="0"/>
        <w:adjustRightInd w:val="0"/>
        <w:spacing w:before="120"/>
        <w:jc w:val="both"/>
        <w:rPr>
          <w:rFonts w:asciiTheme="majorHAnsi" w:hAnsiTheme="majorHAnsi"/>
          <w:lang w:eastAsia="fr-FR"/>
        </w:rPr>
      </w:pPr>
      <w:r>
        <w:rPr>
          <w:rFonts w:asciiTheme="majorHAnsi" w:hAnsiTheme="majorHAnsi"/>
          <w:lang w:eastAsia="fr-FR"/>
        </w:rPr>
        <w:t>Un débat d’orientation budgétaire</w:t>
      </w:r>
      <w:r w:rsidR="003A5FAD" w:rsidRPr="00C2790C">
        <w:rPr>
          <w:rFonts w:asciiTheme="majorHAnsi" w:hAnsiTheme="majorHAnsi"/>
          <w:lang w:eastAsia="fr-FR"/>
        </w:rPr>
        <w:t xml:space="preserve"> se tiendra prochainement à l’Assemblée de la Polynésie française. Ce rendez-vous sera l’occasion d’exposer les axes et priorités envisagés dans le cadre des orientations budgétaires fixées pour le prochain exercice au travers du rapport du gouvernement qui </w:t>
      </w:r>
      <w:r w:rsidR="003A5FAD">
        <w:rPr>
          <w:rFonts w:asciiTheme="majorHAnsi" w:hAnsiTheme="majorHAnsi"/>
          <w:lang w:eastAsia="fr-FR"/>
        </w:rPr>
        <w:t>a été établi</w:t>
      </w:r>
      <w:r w:rsidR="003A5FAD" w:rsidRPr="00C2790C">
        <w:rPr>
          <w:rFonts w:asciiTheme="majorHAnsi" w:hAnsiTheme="majorHAnsi"/>
          <w:lang w:eastAsia="fr-FR"/>
        </w:rPr>
        <w:t xml:space="preserve"> en deux tomes.</w:t>
      </w:r>
    </w:p>
    <w:p w14:paraId="4EFD3993" w14:textId="77777777" w:rsidR="003A5FAD" w:rsidRPr="00C2790C" w:rsidRDefault="003A5FAD" w:rsidP="003A5FAD">
      <w:pPr>
        <w:widowControl w:val="0"/>
        <w:autoSpaceDE w:val="0"/>
        <w:autoSpaceDN w:val="0"/>
        <w:adjustRightInd w:val="0"/>
        <w:spacing w:before="120"/>
        <w:jc w:val="both"/>
        <w:rPr>
          <w:rFonts w:asciiTheme="majorHAnsi" w:hAnsiTheme="majorHAnsi"/>
          <w:lang w:eastAsia="fr-FR"/>
        </w:rPr>
      </w:pPr>
      <w:r>
        <w:rPr>
          <w:rFonts w:asciiTheme="majorHAnsi" w:hAnsiTheme="majorHAnsi"/>
          <w:lang w:eastAsia="fr-FR"/>
        </w:rPr>
        <w:t>Le</w:t>
      </w:r>
      <w:r w:rsidRPr="00C2790C">
        <w:rPr>
          <w:rFonts w:asciiTheme="majorHAnsi" w:hAnsiTheme="majorHAnsi"/>
          <w:lang w:eastAsia="fr-FR"/>
        </w:rPr>
        <w:t xml:space="preserve"> premier tome </w:t>
      </w:r>
      <w:r>
        <w:rPr>
          <w:rFonts w:asciiTheme="majorHAnsi" w:hAnsiTheme="majorHAnsi"/>
          <w:lang w:eastAsia="fr-FR"/>
        </w:rPr>
        <w:t>sera</w:t>
      </w:r>
      <w:r w:rsidRPr="00C2790C">
        <w:rPr>
          <w:rFonts w:asciiTheme="majorHAnsi" w:hAnsiTheme="majorHAnsi"/>
          <w:lang w:eastAsia="fr-FR"/>
        </w:rPr>
        <w:t xml:space="preserve"> consacré à l’environnement économique (en termes de conjoncture et de perspectives), aux éléments de construction du budget (avec son niveau d’exécution à fin août 2020) et enfin aux orientations stratégiques et budgétaires retenues.</w:t>
      </w:r>
    </w:p>
    <w:p w14:paraId="639692A5" w14:textId="77777777" w:rsidR="003A5FAD" w:rsidRPr="00C2790C" w:rsidRDefault="003A5FAD" w:rsidP="003A5FAD">
      <w:pPr>
        <w:widowControl w:val="0"/>
        <w:autoSpaceDE w:val="0"/>
        <w:autoSpaceDN w:val="0"/>
        <w:adjustRightInd w:val="0"/>
        <w:spacing w:before="120"/>
        <w:jc w:val="both"/>
        <w:rPr>
          <w:rFonts w:asciiTheme="majorHAnsi" w:hAnsiTheme="majorHAnsi"/>
          <w:lang w:eastAsia="fr-FR"/>
        </w:rPr>
      </w:pPr>
      <w:r w:rsidRPr="00C2790C">
        <w:rPr>
          <w:rFonts w:asciiTheme="majorHAnsi" w:hAnsiTheme="majorHAnsi"/>
          <w:lang w:eastAsia="fr-FR"/>
        </w:rPr>
        <w:t xml:space="preserve">Ces dernières s’inscrivent dans la continuité des priorités du gouvernement et expriment en outre </w:t>
      </w:r>
      <w:r>
        <w:rPr>
          <w:rFonts w:asciiTheme="majorHAnsi" w:hAnsiTheme="majorHAnsi"/>
          <w:lang w:eastAsia="fr-FR"/>
        </w:rPr>
        <w:t>la</w:t>
      </w:r>
      <w:r w:rsidRPr="00C2790C">
        <w:rPr>
          <w:rFonts w:asciiTheme="majorHAnsi" w:hAnsiTheme="majorHAnsi"/>
          <w:lang w:eastAsia="fr-FR"/>
        </w:rPr>
        <w:t xml:space="preserve"> capacité </w:t>
      </w:r>
      <w:r>
        <w:rPr>
          <w:rFonts w:asciiTheme="majorHAnsi" w:hAnsiTheme="majorHAnsi"/>
          <w:lang w:eastAsia="fr-FR"/>
        </w:rPr>
        <w:t>du Pays à</w:t>
      </w:r>
      <w:r w:rsidRPr="00C2790C">
        <w:rPr>
          <w:rFonts w:asciiTheme="majorHAnsi" w:hAnsiTheme="majorHAnsi"/>
          <w:lang w:eastAsia="fr-FR"/>
        </w:rPr>
        <w:t xml:space="preserve"> </w:t>
      </w:r>
      <w:r>
        <w:rPr>
          <w:rFonts w:asciiTheme="majorHAnsi" w:hAnsiTheme="majorHAnsi"/>
          <w:lang w:eastAsia="fr-FR"/>
        </w:rPr>
        <w:t>s’</w:t>
      </w:r>
      <w:r w:rsidRPr="00C2790C">
        <w:rPr>
          <w:rFonts w:asciiTheme="majorHAnsi" w:hAnsiTheme="majorHAnsi"/>
          <w:lang w:eastAsia="fr-FR"/>
        </w:rPr>
        <w:t>adapter aux situations les plus difficiles, telle la crise actuelle liée à la Covid-19.</w:t>
      </w:r>
    </w:p>
    <w:p w14:paraId="2284A068" w14:textId="77777777" w:rsidR="003A5FAD" w:rsidRPr="00C2790C" w:rsidRDefault="003A5FAD" w:rsidP="003A5FAD">
      <w:pPr>
        <w:widowControl w:val="0"/>
        <w:autoSpaceDE w:val="0"/>
        <w:autoSpaceDN w:val="0"/>
        <w:adjustRightInd w:val="0"/>
        <w:spacing w:before="120"/>
        <w:jc w:val="both"/>
        <w:rPr>
          <w:rFonts w:asciiTheme="majorHAnsi" w:hAnsiTheme="majorHAnsi"/>
          <w:lang w:eastAsia="fr-FR"/>
        </w:rPr>
      </w:pPr>
      <w:r w:rsidRPr="00C2790C">
        <w:rPr>
          <w:rFonts w:asciiTheme="majorHAnsi" w:hAnsiTheme="majorHAnsi"/>
          <w:lang w:eastAsia="fr-FR"/>
        </w:rPr>
        <w:t>Le projet annuel de performance (PAP) constitue quant à lui le second tome dédié à la présentation des politiques publiques déclinées par mission et programme à l’instar du projet de budget qui sera ultérieurement remis à l'A</w:t>
      </w:r>
      <w:r>
        <w:rPr>
          <w:rFonts w:asciiTheme="majorHAnsi" w:hAnsiTheme="majorHAnsi"/>
          <w:lang w:eastAsia="fr-FR"/>
        </w:rPr>
        <w:t>ssemblée de la Polynésie française</w:t>
      </w:r>
      <w:r w:rsidRPr="00C2790C">
        <w:rPr>
          <w:rFonts w:asciiTheme="majorHAnsi" w:hAnsiTheme="majorHAnsi"/>
          <w:lang w:eastAsia="fr-FR"/>
        </w:rPr>
        <w:t>.</w:t>
      </w:r>
    </w:p>
    <w:p w14:paraId="550A6ECD" w14:textId="77777777" w:rsidR="003A5FAD" w:rsidRPr="00C2790C" w:rsidRDefault="003A5FAD" w:rsidP="003A5FAD">
      <w:pPr>
        <w:widowControl w:val="0"/>
        <w:autoSpaceDE w:val="0"/>
        <w:autoSpaceDN w:val="0"/>
        <w:adjustRightInd w:val="0"/>
        <w:spacing w:before="120"/>
        <w:jc w:val="both"/>
        <w:rPr>
          <w:rFonts w:asciiTheme="majorHAnsi" w:hAnsiTheme="majorHAnsi"/>
          <w:lang w:eastAsia="fr-FR"/>
        </w:rPr>
      </w:pPr>
      <w:r w:rsidRPr="00C2790C">
        <w:rPr>
          <w:rFonts w:asciiTheme="majorHAnsi" w:hAnsiTheme="majorHAnsi"/>
          <w:lang w:eastAsia="fr-FR"/>
        </w:rPr>
        <w:t xml:space="preserve">Depuis le mois de juillet, les différents ministères et services respectifs ont ainsi été mis à contribution pour l’élaboration de ce dernier tome et ce, dans un contexte singulier et difficile </w:t>
      </w:r>
      <w:r>
        <w:rPr>
          <w:rFonts w:asciiTheme="majorHAnsi" w:hAnsiTheme="majorHAnsi"/>
          <w:lang w:eastAsia="fr-FR"/>
        </w:rPr>
        <w:t xml:space="preserve">lié à la situation sanitaire, </w:t>
      </w:r>
      <w:r w:rsidRPr="00C2790C">
        <w:rPr>
          <w:rFonts w:asciiTheme="majorHAnsi" w:hAnsiTheme="majorHAnsi"/>
          <w:lang w:eastAsia="fr-FR"/>
        </w:rPr>
        <w:t xml:space="preserve">ne facilitant pas le travail d’accompagnement et </w:t>
      </w:r>
      <w:proofErr w:type="gramStart"/>
      <w:r w:rsidRPr="00C2790C">
        <w:rPr>
          <w:rFonts w:asciiTheme="majorHAnsi" w:hAnsiTheme="majorHAnsi"/>
          <w:lang w:eastAsia="fr-FR"/>
        </w:rPr>
        <w:t>d’assistance</w:t>
      </w:r>
      <w:proofErr w:type="gramEnd"/>
      <w:r w:rsidRPr="00C2790C">
        <w:rPr>
          <w:rFonts w:asciiTheme="majorHAnsi" w:hAnsiTheme="majorHAnsi"/>
          <w:lang w:eastAsia="fr-FR"/>
        </w:rPr>
        <w:t xml:space="preserve"> de la direction </w:t>
      </w:r>
      <w:r>
        <w:rPr>
          <w:rFonts w:asciiTheme="majorHAnsi" w:hAnsiTheme="majorHAnsi"/>
          <w:lang w:eastAsia="fr-FR"/>
        </w:rPr>
        <w:t>du budget et des finances.</w:t>
      </w:r>
    </w:p>
    <w:p w14:paraId="0C499115" w14:textId="77777777" w:rsidR="003A5FAD" w:rsidRDefault="003A5FAD" w:rsidP="003A5FAD">
      <w:pPr>
        <w:widowControl w:val="0"/>
        <w:autoSpaceDE w:val="0"/>
        <w:autoSpaceDN w:val="0"/>
        <w:adjustRightInd w:val="0"/>
        <w:spacing w:before="120"/>
        <w:jc w:val="both"/>
        <w:rPr>
          <w:rFonts w:asciiTheme="majorHAnsi" w:hAnsiTheme="majorHAnsi"/>
          <w:lang w:eastAsia="fr-FR"/>
        </w:rPr>
      </w:pPr>
      <w:r w:rsidRPr="00C2790C">
        <w:rPr>
          <w:rFonts w:asciiTheme="majorHAnsi" w:hAnsiTheme="majorHAnsi"/>
          <w:lang w:eastAsia="fr-FR"/>
        </w:rPr>
        <w:t>Les objectifs en termes de concision et de qualité de la production ont été maint</w:t>
      </w:r>
      <w:r>
        <w:rPr>
          <w:rFonts w:asciiTheme="majorHAnsi" w:hAnsiTheme="majorHAnsi"/>
          <w:lang w:eastAsia="fr-FR"/>
        </w:rPr>
        <w:t>enus. Le but est de pousser le P</w:t>
      </w:r>
      <w:r w:rsidRPr="00C2790C">
        <w:rPr>
          <w:rFonts w:asciiTheme="majorHAnsi" w:hAnsiTheme="majorHAnsi"/>
          <w:lang w:eastAsia="fr-FR"/>
        </w:rPr>
        <w:t xml:space="preserve">ays à renforcer et coordonner </w:t>
      </w:r>
      <w:r>
        <w:rPr>
          <w:rFonts w:asciiTheme="majorHAnsi" w:hAnsiTheme="majorHAnsi"/>
          <w:lang w:eastAsia="fr-FR"/>
        </w:rPr>
        <w:t>ses</w:t>
      </w:r>
      <w:r w:rsidRPr="00C2790C">
        <w:rPr>
          <w:rFonts w:asciiTheme="majorHAnsi" w:hAnsiTheme="majorHAnsi"/>
          <w:lang w:eastAsia="fr-FR"/>
        </w:rPr>
        <w:t xml:space="preserve"> actions pour </w:t>
      </w:r>
      <w:r>
        <w:rPr>
          <w:rFonts w:asciiTheme="majorHAnsi" w:hAnsiTheme="majorHAnsi"/>
          <w:lang w:eastAsia="fr-FR"/>
        </w:rPr>
        <w:t xml:space="preserve">une </w:t>
      </w:r>
      <w:r w:rsidRPr="00C2790C">
        <w:rPr>
          <w:rFonts w:asciiTheme="majorHAnsi" w:hAnsiTheme="majorHAnsi"/>
          <w:lang w:eastAsia="fr-FR"/>
        </w:rPr>
        <w:t xml:space="preserve">Polynésie solidaire, équitable et plus résiliente </w:t>
      </w:r>
      <w:r>
        <w:rPr>
          <w:rFonts w:asciiTheme="majorHAnsi" w:hAnsiTheme="majorHAnsi"/>
          <w:lang w:eastAsia="fr-FR"/>
        </w:rPr>
        <w:t>en s’appuyant sur une</w:t>
      </w:r>
      <w:r w:rsidRPr="00C2790C">
        <w:rPr>
          <w:rFonts w:asciiTheme="majorHAnsi" w:hAnsiTheme="majorHAnsi"/>
          <w:lang w:eastAsia="fr-FR"/>
        </w:rPr>
        <w:t xml:space="preserve"> administration </w:t>
      </w:r>
      <w:r>
        <w:rPr>
          <w:rFonts w:asciiTheme="majorHAnsi" w:hAnsiTheme="majorHAnsi"/>
          <w:lang w:eastAsia="fr-FR"/>
        </w:rPr>
        <w:t xml:space="preserve">qui se doit d’être </w:t>
      </w:r>
      <w:r w:rsidRPr="00C2790C">
        <w:rPr>
          <w:rFonts w:asciiTheme="majorHAnsi" w:hAnsiTheme="majorHAnsi"/>
          <w:lang w:eastAsia="fr-FR"/>
        </w:rPr>
        <w:t>toujours plus performante.</w:t>
      </w:r>
    </w:p>
    <w:p w14:paraId="7D4F879A" w14:textId="77777777" w:rsidR="003A5FAD" w:rsidRPr="001F3CDB" w:rsidRDefault="003A5FAD" w:rsidP="003A5FAD">
      <w:pPr>
        <w:widowControl w:val="0"/>
        <w:autoSpaceDE w:val="0"/>
        <w:autoSpaceDN w:val="0"/>
        <w:adjustRightInd w:val="0"/>
        <w:spacing w:before="120"/>
        <w:jc w:val="both"/>
        <w:rPr>
          <w:rFonts w:ascii="Cambria" w:hAnsi="Cambria"/>
          <w:lang w:eastAsia="fr-FR"/>
        </w:rPr>
      </w:pPr>
    </w:p>
    <w:p w14:paraId="6F1208E4" w14:textId="77777777" w:rsidR="003A5FAD" w:rsidRPr="001F3CDB" w:rsidRDefault="003A5FAD" w:rsidP="003A5FAD">
      <w:pPr>
        <w:pStyle w:val="-LettreObjetGEDA"/>
        <w:tabs>
          <w:tab w:val="left" w:pos="709"/>
        </w:tabs>
        <w:spacing w:before="0"/>
        <w:ind w:left="0" w:firstLine="0"/>
        <w:rPr>
          <w:rFonts w:ascii="Cambria" w:hAnsi="Cambria"/>
          <w:b/>
          <w:noProof w:val="0"/>
        </w:rPr>
      </w:pPr>
      <w:r w:rsidRPr="001F3CDB">
        <w:rPr>
          <w:rFonts w:ascii="Cambria" w:hAnsi="Cambria"/>
          <w:b/>
          <w:noProof w:val="0"/>
        </w:rPr>
        <w:t>Mise à jour de la Contribution Déterminée au niveau National de la Polynésie française (CDN) et lancement de la nouvelle démarche Plan Climat Air Energie (PCAE)</w:t>
      </w:r>
    </w:p>
    <w:p w14:paraId="21EC0D0A" w14:textId="77777777" w:rsidR="003A5FAD" w:rsidRPr="001F3CDB" w:rsidRDefault="003A5FAD" w:rsidP="003A5FAD">
      <w:pPr>
        <w:widowControl w:val="0"/>
        <w:autoSpaceDE w:val="0"/>
        <w:autoSpaceDN w:val="0"/>
        <w:adjustRightInd w:val="0"/>
        <w:spacing w:before="120"/>
        <w:jc w:val="both"/>
        <w:rPr>
          <w:rFonts w:ascii="Cambria" w:hAnsi="Cambria"/>
          <w:lang w:eastAsia="fr-FR"/>
        </w:rPr>
      </w:pPr>
    </w:p>
    <w:p w14:paraId="77BCF5FF" w14:textId="77777777" w:rsidR="003A5FAD" w:rsidRPr="001F3CDB" w:rsidRDefault="003A5FAD" w:rsidP="003A5FAD">
      <w:pPr>
        <w:pStyle w:val="Notedebasdepage"/>
        <w:jc w:val="both"/>
        <w:rPr>
          <w:rFonts w:ascii="Cambria" w:hAnsi="Cambria" w:cstheme="majorHAnsi"/>
          <w:sz w:val="24"/>
        </w:rPr>
      </w:pPr>
      <w:r w:rsidRPr="001F3CDB">
        <w:rPr>
          <w:rFonts w:ascii="Cambria" w:hAnsi="Cambria" w:cstheme="majorHAnsi"/>
          <w:sz w:val="24"/>
        </w:rPr>
        <w:t xml:space="preserve">Lors de la COP 21 du 12 décembre 2015 à Paris, les Parties à la Convention-Cadre des Nations Unies sur les Changements Climatiques (CCNUCC) sont parvenues à un accord historique pour lutter contre le changement climatique et pour accélérer et intensifier les </w:t>
      </w:r>
      <w:r w:rsidRPr="001F3CDB">
        <w:rPr>
          <w:rFonts w:ascii="Cambria" w:hAnsi="Cambria" w:cstheme="majorHAnsi"/>
          <w:sz w:val="24"/>
        </w:rPr>
        <w:lastRenderedPageBreak/>
        <w:t>actions et les investissements nécessaires à un avenir durable à faible intensité de carbone.</w:t>
      </w:r>
    </w:p>
    <w:p w14:paraId="27362EC6" w14:textId="77777777" w:rsidR="003A5FAD" w:rsidRPr="001F3CDB" w:rsidRDefault="003A5FAD" w:rsidP="003A5FAD">
      <w:pPr>
        <w:pStyle w:val="-LettreTexteGEDA"/>
        <w:ind w:firstLine="0"/>
        <w:rPr>
          <w:rFonts w:ascii="Cambria" w:hAnsi="Cambria" w:cstheme="majorHAnsi"/>
          <w:szCs w:val="24"/>
        </w:rPr>
      </w:pPr>
      <w:r w:rsidRPr="001F3CDB">
        <w:rPr>
          <w:rFonts w:ascii="Cambria" w:hAnsi="Cambria" w:cstheme="majorHAnsi"/>
          <w:szCs w:val="24"/>
        </w:rPr>
        <w:t xml:space="preserve">L'objectif central de l'Accord de Paris est de renforcer la réponse mondiale à la menace du changement climatique en maintenant l'augmentation de la température mondiale à un niveau bien inférieur à 2 degrés celsius par rapport aux niveaux préindustriels et de poursuivre les efforts pour limiter encore davantage l'augmentation de la température à 1,5 degré celsius. </w:t>
      </w:r>
    </w:p>
    <w:p w14:paraId="64AD3493" w14:textId="77777777" w:rsidR="003A5FAD" w:rsidRPr="001F3CDB" w:rsidRDefault="003A5FAD" w:rsidP="003A5FAD">
      <w:pPr>
        <w:pStyle w:val="-LettreTexteGEDA"/>
        <w:ind w:firstLine="0"/>
        <w:rPr>
          <w:rFonts w:ascii="Cambria" w:hAnsi="Cambria" w:cstheme="majorHAnsi"/>
          <w:szCs w:val="24"/>
        </w:rPr>
      </w:pPr>
      <w:r w:rsidRPr="001F3CDB">
        <w:rPr>
          <w:rFonts w:ascii="Cambria" w:hAnsi="Cambria" w:cstheme="majorHAnsi"/>
          <w:szCs w:val="24"/>
        </w:rPr>
        <w:t>Compte-tenu de sa vulnérabilité aux conséquences du changement climatique, la Polynésie française s’est largement mobilisée pour porter la voix des îles du Pacifique à l’occasion de la COP 21. Plusieurs possibilités de participation à l’Accord de Paris s’offraient à la Polynésie française. L’option retenue a été, en 2016, le dépôt par la France d’une contribution spécifique à la réduction des émissions de gaz à effet de serre (GES) de la Polynésie française. Le Président de la Polynésie française a donc adressé à la ministre des Outre-Mer, en septembre 2016, la contribution polynésienne à la CDN française.</w:t>
      </w:r>
    </w:p>
    <w:p w14:paraId="63C6D2A7" w14:textId="77777777" w:rsidR="003A5FAD" w:rsidRPr="001F3CDB" w:rsidRDefault="003A5FAD" w:rsidP="003A5FAD">
      <w:pPr>
        <w:pStyle w:val="-LettreTexteGEDA"/>
        <w:ind w:firstLine="0"/>
        <w:rPr>
          <w:rFonts w:ascii="Cambria" w:hAnsi="Cambria" w:cstheme="majorHAnsi"/>
          <w:szCs w:val="24"/>
        </w:rPr>
      </w:pPr>
      <w:r w:rsidRPr="001F3CDB">
        <w:rPr>
          <w:rFonts w:ascii="Cambria" w:hAnsi="Cambria" w:cstheme="majorHAnsi"/>
          <w:szCs w:val="24"/>
        </w:rPr>
        <w:t xml:space="preserve">En septembre 2019, l’État a sollicité une actualisation de la CDN polynésienne en cohérence avec les règles adoptées à la COP 24 en décembre 2018 par la communauté internationale quant à l’application de l’Accord de Paris. Cette CDN actualisée devra ainsi couvrir tous les GES rapportés dans les inventaires et l’ensemble des secteurs tout en incluant les informations garantissant la clarté, la transparence et la compréhension (ICTU) de leur contribution. </w:t>
      </w:r>
    </w:p>
    <w:p w14:paraId="5D8C360B" w14:textId="77777777" w:rsidR="003A5FAD" w:rsidRPr="001F3CDB" w:rsidRDefault="003A5FAD" w:rsidP="003A5FAD">
      <w:pPr>
        <w:pStyle w:val="-LettreTexteGEDA"/>
        <w:ind w:firstLine="0"/>
        <w:rPr>
          <w:rFonts w:ascii="Cambria" w:hAnsi="Cambria" w:cstheme="majorHAnsi"/>
          <w:szCs w:val="24"/>
        </w:rPr>
      </w:pPr>
      <w:r w:rsidRPr="001F3CDB">
        <w:rPr>
          <w:rFonts w:ascii="Cambria" w:hAnsi="Cambria" w:cstheme="majorHAnsi"/>
          <w:szCs w:val="24"/>
        </w:rPr>
        <w:t xml:space="preserve">Le service en charge des énergies a donc mené les travaux relatifs à la réalisation d’un inventaire des émissions de GES servant aux engagements internationaux. Cet inventaire concerne toutes les émissions de GES territoriales dégagées sur le territoire de la Polynésie française, à savoir celles de l’énergie consommée, des déchets traités, de l’agriculture et de l’élevage, ainsi que des transports routiers, maritimes et aériens inter-îles. </w:t>
      </w:r>
    </w:p>
    <w:p w14:paraId="67023AFB" w14:textId="77777777" w:rsidR="003A5FAD" w:rsidRPr="001F3CDB" w:rsidRDefault="003A5FAD" w:rsidP="003A5FAD">
      <w:pPr>
        <w:widowControl w:val="0"/>
        <w:autoSpaceDE w:val="0"/>
        <w:autoSpaceDN w:val="0"/>
        <w:adjustRightInd w:val="0"/>
        <w:spacing w:before="120"/>
        <w:jc w:val="both"/>
        <w:rPr>
          <w:rFonts w:ascii="Cambria" w:hAnsi="Cambria" w:cstheme="majorHAnsi"/>
        </w:rPr>
      </w:pPr>
      <w:r w:rsidRPr="001F3CDB">
        <w:rPr>
          <w:rFonts w:ascii="Cambria" w:hAnsi="Cambria" w:cstheme="majorHAnsi"/>
        </w:rPr>
        <w:t>Sur la base de cet inventaire, une étude de définition des scénarios de réduction des émissions de gaz à effet de serre a été réalisée pour la Polynésie française. Un groupe de travail regroupant le ministère des Finances et de l’économie, en charge de l’énergie, ainsi que le ministère du Logement et de l’aménagement, en charge des transports interinsulaires, le ministère des Grands travaux, en charge des transports terrestres, ainsi que le ministère de la Culture, de l’environnement, en charge de la jeunesse, des sports et de l’artisanat, a été constitué afin de discuter des différents scénarios et de leurs impacts sur les feuilles de route respectives de ces ministères. Dans ce cadre, l’organisation du 1</w:t>
      </w:r>
      <w:r w:rsidRPr="001F3CDB">
        <w:rPr>
          <w:rFonts w:ascii="Cambria" w:hAnsi="Cambria" w:cstheme="majorHAnsi"/>
          <w:vertAlign w:val="superscript"/>
        </w:rPr>
        <w:t>er</w:t>
      </w:r>
      <w:r w:rsidRPr="001F3CDB">
        <w:rPr>
          <w:rFonts w:ascii="Cambria" w:hAnsi="Cambria" w:cstheme="majorHAnsi"/>
        </w:rPr>
        <w:t xml:space="preserve"> Forum de la transition énergétique est ainsi prévue pour le premier semestre de 2021.</w:t>
      </w:r>
    </w:p>
    <w:p w14:paraId="5B9D9A1B" w14:textId="77777777" w:rsidR="003A5FAD" w:rsidRDefault="003A5FAD" w:rsidP="003A5FAD">
      <w:pPr>
        <w:widowControl w:val="0"/>
        <w:autoSpaceDE w:val="0"/>
        <w:autoSpaceDN w:val="0"/>
        <w:adjustRightInd w:val="0"/>
        <w:spacing w:before="120"/>
        <w:jc w:val="both"/>
        <w:rPr>
          <w:rFonts w:ascii="Cambria" w:hAnsi="Cambria"/>
          <w:b/>
          <w:bCs/>
        </w:rPr>
      </w:pPr>
    </w:p>
    <w:p w14:paraId="482DDF5D" w14:textId="77777777" w:rsidR="003A5FAD" w:rsidRDefault="003A5FAD" w:rsidP="003A5FAD">
      <w:pPr>
        <w:pStyle w:val="-LettreSuiteORefPJGEDA"/>
        <w:ind w:left="0"/>
        <w:rPr>
          <w:rFonts w:ascii="Cambria" w:hAnsi="Cambria"/>
          <w:b/>
          <w:bCs/>
        </w:rPr>
      </w:pPr>
    </w:p>
    <w:p w14:paraId="22DEDFA8" w14:textId="77777777" w:rsidR="003A5FAD" w:rsidRDefault="003A5FAD" w:rsidP="003A5FAD">
      <w:pPr>
        <w:pStyle w:val="-LettreSuiteORefPJGEDA"/>
        <w:ind w:left="0"/>
        <w:rPr>
          <w:rFonts w:ascii="Cambria" w:hAnsi="Cambria"/>
          <w:b/>
          <w:bCs/>
        </w:rPr>
      </w:pPr>
      <w:r>
        <w:rPr>
          <w:rFonts w:ascii="Cambria" w:hAnsi="Cambria"/>
          <w:b/>
          <w:bCs/>
        </w:rPr>
        <w:t>Indice des prix: baisse de 0,9% sur douze mois</w:t>
      </w:r>
    </w:p>
    <w:p w14:paraId="5B3706F2" w14:textId="77777777" w:rsidR="003A5FAD" w:rsidRPr="00C2790C" w:rsidRDefault="003A5FAD" w:rsidP="003A5FAD">
      <w:pPr>
        <w:pStyle w:val="-LettreSuiteORefPJGEDA"/>
        <w:ind w:left="0"/>
        <w:rPr>
          <w:rFonts w:ascii="Cambria" w:hAnsi="Cambria"/>
          <w:b/>
          <w:bCs/>
        </w:rPr>
      </w:pPr>
    </w:p>
    <w:p w14:paraId="691266BA" w14:textId="77777777" w:rsidR="003A5FAD" w:rsidRPr="009E1D35" w:rsidRDefault="003A5FAD" w:rsidP="003A5FAD">
      <w:pPr>
        <w:pStyle w:val="-LettreTexteGEDA"/>
        <w:spacing w:after="120"/>
        <w:ind w:firstLine="0"/>
        <w:rPr>
          <w:rFonts w:ascii="Cambria" w:hAnsi="Cambria"/>
          <w:bCs/>
          <w:szCs w:val="24"/>
        </w:rPr>
      </w:pPr>
      <w:r w:rsidRPr="009E1D35">
        <w:rPr>
          <w:rFonts w:ascii="Cambria" w:hAnsi="Cambria"/>
          <w:bCs/>
          <w:szCs w:val="24"/>
        </w:rPr>
        <w:t xml:space="preserve">En septembre 2020, l'indice des prix à la consommation augmente de 0,1 % et s'établit à 98,99, essentiellement en raison de la hausse des prix de 1,9 % dans la division Ameublement, équipement ménager et entretien courant de la maison. Contrairement à la tendance générale, les prix de la division Transports baissent de 0,3 %. Sur douze mois, l'indice général des prix à la consommation baisse de 0,9 %. L’indice ouvrier augmente de 0,2 % en septembre 2020. Il baisse de 0,8 % en glissement sur douze mois. L'indice </w:t>
      </w:r>
      <w:r w:rsidRPr="009E1D35">
        <w:rPr>
          <w:rFonts w:ascii="Cambria" w:hAnsi="Cambria"/>
          <w:bCs/>
          <w:szCs w:val="24"/>
        </w:rPr>
        <w:lastRenderedPageBreak/>
        <w:t>général hors Transport aérien international augmente de 0,3 % en septembre 2020 et diminue de 0,8 % en glissement sur douze mois.</w:t>
      </w:r>
    </w:p>
    <w:p w14:paraId="01FBCE3B" w14:textId="77777777" w:rsidR="003A5FAD" w:rsidRPr="009E1D35" w:rsidRDefault="003A5FAD" w:rsidP="003A5FAD">
      <w:pPr>
        <w:pStyle w:val="-LettreTexteGEDA"/>
        <w:spacing w:before="0" w:after="120"/>
        <w:ind w:firstLine="0"/>
        <w:rPr>
          <w:rFonts w:ascii="Cambria" w:hAnsi="Cambria"/>
          <w:szCs w:val="24"/>
        </w:rPr>
      </w:pPr>
      <w:r w:rsidRPr="009E1D35">
        <w:rPr>
          <w:rFonts w:ascii="Cambria" w:hAnsi="Cambria"/>
          <w:szCs w:val="24"/>
        </w:rPr>
        <w:t>Les prix dans la division Ameublement, équipement ménager et entretien courant de la maison augmentent de 1,9 % en septembre 2020. Cette évolution est essentiellement liée à la hausse de 6,3 % des prix des Services domestiques et autres services pour l'habitation. En glissement sur douze mois, les prix dans cette division baissent de 1,5 %.</w:t>
      </w:r>
    </w:p>
    <w:p w14:paraId="34236D0C" w14:textId="77777777" w:rsidR="003A5FAD" w:rsidRPr="009E1D35" w:rsidRDefault="003A5FAD" w:rsidP="003A5FAD">
      <w:pPr>
        <w:pStyle w:val="-LettreTexteGEDA"/>
        <w:spacing w:before="0" w:after="120"/>
        <w:ind w:firstLine="0"/>
        <w:rPr>
          <w:rFonts w:ascii="Cambria" w:hAnsi="Cambria"/>
          <w:szCs w:val="24"/>
        </w:rPr>
      </w:pPr>
      <w:r w:rsidRPr="009E1D35">
        <w:rPr>
          <w:rFonts w:ascii="Cambria" w:hAnsi="Cambria"/>
          <w:szCs w:val="24"/>
        </w:rPr>
        <w:t>Les prix dans la division Transports baissent de 0,3 % en septembre 2020. Cette évolution est liée à la baisse de 3,2 % des prix du transport aérien de voyageurs. En glissement sur douze mois, les prix dans cette division augmentent de 3,6 %.</w:t>
      </w:r>
      <w:r w:rsidRPr="009E1D35">
        <w:rPr>
          <w:rFonts w:ascii="Cambria" w:hAnsi="Cambria"/>
          <w:szCs w:val="24"/>
        </w:rPr>
        <w:tab/>
      </w:r>
    </w:p>
    <w:p w14:paraId="4E1B475E" w14:textId="77777777" w:rsidR="003A5FAD" w:rsidRPr="009E1D35" w:rsidRDefault="003A5FAD" w:rsidP="003A5FAD">
      <w:pPr>
        <w:pStyle w:val="-LettreTexteGEDA"/>
        <w:spacing w:before="360"/>
        <w:ind w:firstLine="0"/>
        <w:rPr>
          <w:rFonts w:ascii="Cambria" w:hAnsi="Cambria"/>
          <w:bCs/>
          <w:szCs w:val="24"/>
        </w:rPr>
      </w:pPr>
      <w:r w:rsidRPr="009E1D35">
        <w:rPr>
          <w:rFonts w:ascii="Cambria" w:hAnsi="Cambria"/>
          <w:bCs/>
          <w:szCs w:val="24"/>
        </w:rPr>
        <w:t xml:space="preserve">Quant </w:t>
      </w:r>
      <w:r>
        <w:rPr>
          <w:rFonts w:ascii="Cambria" w:hAnsi="Cambria"/>
          <w:bCs/>
          <w:szCs w:val="24"/>
        </w:rPr>
        <w:t xml:space="preserve">au secteur </w:t>
      </w:r>
      <w:r w:rsidRPr="009E1D35">
        <w:rPr>
          <w:rFonts w:ascii="Cambria" w:hAnsi="Cambria"/>
          <w:bCs/>
          <w:szCs w:val="24"/>
        </w:rPr>
        <w:t>du Bâtiment et des Travaux Publics (BTP), il augmente de 0,9 % et s'établit à 109,88. Cette évolution est principalement liée à l'augmentation de 2,0 % des prix des matériaux de construction, notamment à travers les hausses de 9,8 % du prix du bitume, de 2,1 % du prix du ciment et de 1,9 % des prix des matériaux végétaux. Sur douze mois, l'index général du Bâtiment et Travaux publics augmente de 1,0 %.</w:t>
      </w:r>
    </w:p>
    <w:p w14:paraId="078DC21C" w14:textId="77777777" w:rsidR="003A5FAD" w:rsidRPr="00913031" w:rsidRDefault="003A5FAD" w:rsidP="003A5FAD">
      <w:pPr>
        <w:pStyle w:val="-LettreTexteGEDA"/>
        <w:spacing w:before="240"/>
        <w:ind w:firstLine="0"/>
        <w:rPr>
          <w:rFonts w:ascii="Cambria" w:hAnsi="Cambria"/>
          <w:szCs w:val="24"/>
        </w:rPr>
      </w:pPr>
      <w:r w:rsidRPr="009E1D35">
        <w:rPr>
          <w:rFonts w:ascii="Cambria" w:hAnsi="Cambria"/>
          <w:szCs w:val="24"/>
        </w:rPr>
        <w:t>Dans le Bâtiment, l'index du Gros Œuvre est stable et celui du Second Œuvre augmente de 0,1 %. Sur douze mois, l'index général du Bâtiment est en hausse de 1,4 %.</w:t>
      </w:r>
      <w:r>
        <w:rPr>
          <w:rFonts w:ascii="Cambria" w:hAnsi="Cambria"/>
          <w:szCs w:val="24"/>
        </w:rPr>
        <w:t xml:space="preserve"> </w:t>
      </w:r>
      <w:r w:rsidRPr="009E1D35">
        <w:rPr>
          <w:rFonts w:ascii="Cambria" w:hAnsi="Cambria"/>
          <w:szCs w:val="24"/>
        </w:rPr>
        <w:t>Dans les Travaux Publics, l'index du Génie Civil augmente de 2,2 % et celui des Travaux Spécialisés augmente de 0,1 %. Sur douze mois, l'index général des Travaux Publics est en hausse de 0,6 %.</w:t>
      </w:r>
    </w:p>
    <w:p w14:paraId="645C614B" w14:textId="77777777" w:rsidR="003A5FAD" w:rsidRPr="009E1D35" w:rsidRDefault="003A5FAD" w:rsidP="003A5FAD">
      <w:pPr>
        <w:pStyle w:val="-LettreTexteGEDA"/>
        <w:spacing w:before="0"/>
        <w:ind w:firstLine="0"/>
        <w:rPr>
          <w:rFonts w:ascii="Cambria" w:hAnsi="Cambria"/>
          <w:noProof w:val="0"/>
          <w:szCs w:val="24"/>
          <w:highlight w:val="yellow"/>
        </w:rPr>
      </w:pPr>
    </w:p>
    <w:p w14:paraId="470D7222" w14:textId="77777777" w:rsidR="003A5FAD" w:rsidRPr="009E1D35" w:rsidRDefault="003A5FAD" w:rsidP="003A5FAD">
      <w:pPr>
        <w:pStyle w:val="-LettreSuiteORefPJGEDA"/>
        <w:spacing w:after="120"/>
        <w:ind w:left="0"/>
        <w:rPr>
          <w:rFonts w:ascii="Cambria" w:hAnsi="Cambria"/>
          <w:szCs w:val="24"/>
        </w:rPr>
      </w:pPr>
      <w:r w:rsidRPr="009E1D35">
        <w:rPr>
          <w:rFonts w:ascii="Cambria" w:hAnsi="Cambria"/>
          <w:szCs w:val="24"/>
        </w:rPr>
        <w:t>Pour les index hybrides, ils prennent les valeurs suivantes (base 100 en décembre 2010) :</w:t>
      </w:r>
    </w:p>
    <w:tbl>
      <w:tblPr>
        <w:tblW w:w="96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65"/>
        <w:gridCol w:w="1276"/>
        <w:gridCol w:w="1309"/>
        <w:gridCol w:w="1384"/>
      </w:tblGrid>
      <w:tr w:rsidR="003A5FAD" w:rsidRPr="009E1D35" w14:paraId="7EBC299F" w14:textId="77777777" w:rsidTr="00426B73">
        <w:trPr>
          <w:trHeight w:val="315"/>
        </w:trPr>
        <w:tc>
          <w:tcPr>
            <w:tcW w:w="5665" w:type="dxa"/>
            <w:vMerge w:val="restart"/>
            <w:tcBorders>
              <w:top w:val="dotted" w:sz="4" w:space="0" w:color="auto"/>
              <w:left w:val="dotted" w:sz="4" w:space="0" w:color="auto"/>
              <w:bottom w:val="dotted" w:sz="4" w:space="0" w:color="auto"/>
              <w:right w:val="dotted" w:sz="4" w:space="0" w:color="auto"/>
            </w:tcBorders>
            <w:noWrap/>
            <w:vAlign w:val="center"/>
            <w:hideMark/>
          </w:tcPr>
          <w:p w14:paraId="69E04DCD" w14:textId="77777777" w:rsidR="003A5FAD" w:rsidRPr="009E1D35" w:rsidRDefault="003A5FAD" w:rsidP="00426B73">
            <w:pPr>
              <w:rPr>
                <w:rFonts w:ascii="Cambria" w:hAnsi="Cambria"/>
                <w:b/>
                <w:color w:val="000000"/>
              </w:rPr>
            </w:pPr>
            <w:r w:rsidRPr="009E1D35">
              <w:rPr>
                <w:rFonts w:ascii="Cambria" w:hAnsi="Cambria"/>
                <w:b/>
                <w:color w:val="000000"/>
              </w:rPr>
              <w:t>Index</w:t>
            </w:r>
          </w:p>
        </w:tc>
        <w:tc>
          <w:tcPr>
            <w:tcW w:w="1276" w:type="dxa"/>
            <w:vMerge w:val="restart"/>
            <w:tcBorders>
              <w:top w:val="dotted" w:sz="4" w:space="0" w:color="auto"/>
              <w:left w:val="dotted" w:sz="4" w:space="0" w:color="auto"/>
              <w:bottom w:val="dotted" w:sz="4" w:space="0" w:color="auto"/>
              <w:right w:val="dotted" w:sz="4" w:space="0" w:color="auto"/>
            </w:tcBorders>
            <w:noWrap/>
            <w:vAlign w:val="center"/>
            <w:hideMark/>
          </w:tcPr>
          <w:p w14:paraId="5D15AE4D" w14:textId="77777777" w:rsidR="003A5FAD" w:rsidRPr="009E1D35" w:rsidRDefault="003A5FAD" w:rsidP="00426B73">
            <w:pPr>
              <w:jc w:val="center"/>
              <w:rPr>
                <w:rFonts w:ascii="Cambria" w:hAnsi="Cambria"/>
                <w:b/>
                <w:color w:val="000000"/>
              </w:rPr>
            </w:pPr>
            <w:r w:rsidRPr="009E1D35">
              <w:rPr>
                <w:rFonts w:ascii="Cambria" w:hAnsi="Cambria"/>
                <w:b/>
                <w:color w:val="000000"/>
              </w:rPr>
              <w:t>Valeur</w:t>
            </w:r>
          </w:p>
        </w:tc>
        <w:tc>
          <w:tcPr>
            <w:tcW w:w="2693" w:type="dxa"/>
            <w:gridSpan w:val="2"/>
            <w:tcBorders>
              <w:top w:val="dotted" w:sz="4" w:space="0" w:color="auto"/>
              <w:left w:val="dotted" w:sz="4" w:space="0" w:color="auto"/>
              <w:bottom w:val="dotted" w:sz="4" w:space="0" w:color="auto"/>
              <w:right w:val="dotted" w:sz="4" w:space="0" w:color="auto"/>
            </w:tcBorders>
            <w:noWrap/>
            <w:vAlign w:val="center"/>
            <w:hideMark/>
          </w:tcPr>
          <w:p w14:paraId="23CCB157" w14:textId="77777777" w:rsidR="003A5FAD" w:rsidRPr="009E1D35" w:rsidRDefault="003A5FAD" w:rsidP="00426B73">
            <w:pPr>
              <w:jc w:val="center"/>
              <w:rPr>
                <w:rFonts w:ascii="Cambria" w:hAnsi="Cambria"/>
                <w:b/>
                <w:color w:val="000000"/>
              </w:rPr>
            </w:pPr>
            <w:r w:rsidRPr="009E1D35">
              <w:rPr>
                <w:rFonts w:ascii="Cambria" w:hAnsi="Cambria"/>
                <w:b/>
                <w:color w:val="000000"/>
              </w:rPr>
              <w:t>Variations en %</w:t>
            </w:r>
          </w:p>
        </w:tc>
      </w:tr>
      <w:tr w:rsidR="003A5FAD" w:rsidRPr="009E1D35" w14:paraId="0B9CCE15" w14:textId="77777777" w:rsidTr="00426B73">
        <w:trPr>
          <w:trHeight w:val="315"/>
        </w:trPr>
        <w:tc>
          <w:tcPr>
            <w:tcW w:w="0" w:type="auto"/>
            <w:vMerge/>
            <w:tcBorders>
              <w:top w:val="dotted" w:sz="4" w:space="0" w:color="auto"/>
              <w:left w:val="dotted" w:sz="4" w:space="0" w:color="auto"/>
              <w:bottom w:val="dotted" w:sz="4" w:space="0" w:color="auto"/>
              <w:right w:val="dotted" w:sz="4" w:space="0" w:color="auto"/>
            </w:tcBorders>
            <w:vAlign w:val="center"/>
            <w:hideMark/>
          </w:tcPr>
          <w:p w14:paraId="1395C2DC" w14:textId="77777777" w:rsidR="003A5FAD" w:rsidRPr="009E1D35" w:rsidRDefault="003A5FAD" w:rsidP="00426B73">
            <w:pPr>
              <w:rPr>
                <w:rFonts w:ascii="Cambria" w:hAnsi="Cambria"/>
                <w:b/>
                <w:color w:val="00000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73611C67" w14:textId="77777777" w:rsidR="003A5FAD" w:rsidRPr="009E1D35" w:rsidRDefault="003A5FAD" w:rsidP="00426B73">
            <w:pPr>
              <w:rPr>
                <w:rFonts w:ascii="Cambria" w:hAnsi="Cambria"/>
                <w:b/>
                <w:color w:val="000000"/>
              </w:rPr>
            </w:pP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6F8B9B3E" w14:textId="77777777" w:rsidR="003A5FAD" w:rsidRPr="009E1D35" w:rsidRDefault="003A5FAD" w:rsidP="00426B73">
            <w:pPr>
              <w:jc w:val="center"/>
              <w:rPr>
                <w:rFonts w:ascii="Cambria" w:hAnsi="Cambria"/>
                <w:b/>
                <w:color w:val="000000"/>
              </w:rPr>
            </w:pPr>
            <w:r w:rsidRPr="009E1D35">
              <w:rPr>
                <w:rFonts w:ascii="Cambria" w:hAnsi="Cambria"/>
                <w:b/>
                <w:color w:val="000000"/>
              </w:rPr>
              <w:t>Mensuelle</w:t>
            </w:r>
          </w:p>
        </w:tc>
        <w:tc>
          <w:tcPr>
            <w:tcW w:w="1384" w:type="dxa"/>
            <w:tcBorders>
              <w:top w:val="dotted" w:sz="4" w:space="0" w:color="auto"/>
              <w:left w:val="dotted" w:sz="4" w:space="0" w:color="auto"/>
              <w:bottom w:val="dotted" w:sz="4" w:space="0" w:color="auto"/>
              <w:right w:val="dotted" w:sz="4" w:space="0" w:color="auto"/>
            </w:tcBorders>
            <w:vAlign w:val="center"/>
            <w:hideMark/>
          </w:tcPr>
          <w:p w14:paraId="59CF953B" w14:textId="77777777" w:rsidR="003A5FAD" w:rsidRPr="009E1D35" w:rsidRDefault="003A5FAD" w:rsidP="00426B73">
            <w:pPr>
              <w:jc w:val="center"/>
              <w:rPr>
                <w:rFonts w:ascii="Cambria" w:hAnsi="Cambria"/>
                <w:b/>
                <w:color w:val="000000"/>
              </w:rPr>
            </w:pPr>
            <w:r w:rsidRPr="009E1D35">
              <w:rPr>
                <w:rFonts w:ascii="Cambria" w:hAnsi="Cambria"/>
                <w:b/>
                <w:color w:val="000000"/>
              </w:rPr>
              <w:t>Sur 12 mois</w:t>
            </w:r>
          </w:p>
        </w:tc>
      </w:tr>
      <w:tr w:rsidR="003A5FAD" w:rsidRPr="009E1D35" w14:paraId="232B6520" w14:textId="77777777" w:rsidTr="00426B7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199AA059" w14:textId="77777777" w:rsidR="003A5FAD" w:rsidRPr="009E1D35" w:rsidRDefault="003A5FAD" w:rsidP="00426B73">
            <w:pPr>
              <w:rPr>
                <w:rFonts w:ascii="Cambria" w:hAnsi="Cambria"/>
                <w:color w:val="000000"/>
              </w:rPr>
            </w:pPr>
            <w:r w:rsidRPr="009E1D35">
              <w:rPr>
                <w:rFonts w:ascii="Cambria" w:hAnsi="Cambria"/>
                <w:color w:val="000000"/>
              </w:rPr>
              <w:t>Gardiennage</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5C0629F5" w14:textId="77777777" w:rsidR="003A5FAD" w:rsidRPr="009E1D35" w:rsidRDefault="003A5FAD" w:rsidP="00426B73">
            <w:pPr>
              <w:jc w:val="center"/>
              <w:rPr>
                <w:rFonts w:ascii="Cambria" w:hAnsi="Cambria"/>
                <w:color w:val="000000"/>
              </w:rPr>
            </w:pPr>
            <w:r w:rsidRPr="009E1D35">
              <w:rPr>
                <w:rFonts w:ascii="Cambria" w:hAnsi="Cambria"/>
                <w:color w:val="000000"/>
              </w:rPr>
              <w:t>115,72</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73847B9C" w14:textId="77777777" w:rsidR="003A5FAD" w:rsidRPr="009E1D35" w:rsidRDefault="003A5FAD" w:rsidP="00426B73">
            <w:pPr>
              <w:jc w:val="center"/>
              <w:rPr>
                <w:rFonts w:ascii="Cambria" w:hAnsi="Cambria"/>
                <w:color w:val="000000"/>
              </w:rPr>
            </w:pPr>
            <w:r w:rsidRPr="009E1D35">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3C87072F" w14:textId="77777777" w:rsidR="003A5FAD" w:rsidRPr="009E1D35" w:rsidRDefault="003A5FAD" w:rsidP="00426B73">
            <w:pPr>
              <w:jc w:val="center"/>
              <w:rPr>
                <w:rFonts w:ascii="Cambria" w:hAnsi="Cambria"/>
                <w:color w:val="000000"/>
              </w:rPr>
            </w:pPr>
            <w:r w:rsidRPr="009E1D35">
              <w:rPr>
                <w:rFonts w:ascii="Cambria" w:hAnsi="Cambria"/>
                <w:color w:val="000000"/>
              </w:rPr>
              <w:t>0,8</w:t>
            </w:r>
          </w:p>
        </w:tc>
      </w:tr>
      <w:tr w:rsidR="003A5FAD" w:rsidRPr="009E1D35" w14:paraId="1448C61D" w14:textId="77777777" w:rsidTr="00426B7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52D3484D" w14:textId="77777777" w:rsidR="003A5FAD" w:rsidRPr="009E1D35" w:rsidRDefault="003A5FAD" w:rsidP="00426B73">
            <w:pPr>
              <w:rPr>
                <w:rFonts w:ascii="Cambria" w:hAnsi="Cambria"/>
                <w:color w:val="000000"/>
              </w:rPr>
            </w:pPr>
            <w:r w:rsidRPr="009E1D35">
              <w:rPr>
                <w:rFonts w:ascii="Cambria" w:hAnsi="Cambria"/>
                <w:color w:val="000000"/>
              </w:rPr>
              <w:t>Sûreté</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0E899D59" w14:textId="77777777" w:rsidR="003A5FAD" w:rsidRPr="009E1D35" w:rsidRDefault="003A5FAD" w:rsidP="00426B73">
            <w:pPr>
              <w:jc w:val="center"/>
              <w:rPr>
                <w:rFonts w:ascii="Cambria" w:hAnsi="Cambria"/>
                <w:color w:val="000000"/>
              </w:rPr>
            </w:pPr>
            <w:r w:rsidRPr="009E1D35">
              <w:rPr>
                <w:rFonts w:ascii="Cambria" w:hAnsi="Cambria"/>
                <w:color w:val="000000"/>
              </w:rPr>
              <w:t>110,86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50661DF9" w14:textId="77777777" w:rsidR="003A5FAD" w:rsidRPr="009E1D35" w:rsidRDefault="003A5FAD" w:rsidP="00426B73">
            <w:pPr>
              <w:jc w:val="center"/>
              <w:rPr>
                <w:rFonts w:ascii="Cambria" w:hAnsi="Cambria"/>
                <w:color w:val="000000"/>
              </w:rPr>
            </w:pPr>
            <w:r w:rsidRPr="009E1D35">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7898AD99" w14:textId="77777777" w:rsidR="003A5FAD" w:rsidRPr="009E1D35" w:rsidRDefault="003A5FAD" w:rsidP="00426B73">
            <w:pPr>
              <w:jc w:val="center"/>
              <w:rPr>
                <w:rFonts w:ascii="Cambria" w:hAnsi="Cambria"/>
                <w:color w:val="000000"/>
              </w:rPr>
            </w:pPr>
            <w:r w:rsidRPr="009E1D35">
              <w:rPr>
                <w:rFonts w:ascii="Cambria" w:hAnsi="Cambria"/>
                <w:color w:val="000000"/>
              </w:rPr>
              <w:t>0,8</w:t>
            </w:r>
          </w:p>
        </w:tc>
      </w:tr>
      <w:tr w:rsidR="003A5FAD" w:rsidRPr="009E1D35" w14:paraId="3DFEEDAB" w14:textId="77777777" w:rsidTr="00426B7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46E50001" w14:textId="77777777" w:rsidR="003A5FAD" w:rsidRPr="009E1D35" w:rsidRDefault="003A5FAD" w:rsidP="00426B73">
            <w:pPr>
              <w:rPr>
                <w:rFonts w:ascii="Cambria" w:hAnsi="Cambria"/>
                <w:color w:val="000000"/>
              </w:rPr>
            </w:pPr>
            <w:r w:rsidRPr="009E1D35">
              <w:rPr>
                <w:rFonts w:ascii="Cambria" w:hAnsi="Cambria"/>
                <w:color w:val="000000"/>
              </w:rPr>
              <w:t>Véhicules Légers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5A3E0C6A" w14:textId="77777777" w:rsidR="003A5FAD" w:rsidRPr="009E1D35" w:rsidRDefault="003A5FAD" w:rsidP="00426B73">
            <w:pPr>
              <w:jc w:val="center"/>
              <w:rPr>
                <w:rFonts w:ascii="Cambria" w:hAnsi="Cambria"/>
                <w:color w:val="000000"/>
              </w:rPr>
            </w:pPr>
            <w:r w:rsidRPr="009E1D35">
              <w:rPr>
                <w:rFonts w:ascii="Cambria" w:hAnsi="Cambria"/>
                <w:color w:val="000000"/>
              </w:rPr>
              <w:t>111,44</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196F277C" w14:textId="77777777" w:rsidR="003A5FAD" w:rsidRPr="009E1D35" w:rsidRDefault="003A5FAD" w:rsidP="00426B73">
            <w:pPr>
              <w:jc w:val="center"/>
              <w:rPr>
                <w:rFonts w:ascii="Cambria" w:hAnsi="Cambria"/>
                <w:color w:val="000000"/>
              </w:rPr>
            </w:pPr>
            <w:r w:rsidRPr="009E1D35">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584A85E1" w14:textId="77777777" w:rsidR="003A5FAD" w:rsidRPr="009E1D35" w:rsidRDefault="003A5FAD" w:rsidP="00426B73">
            <w:pPr>
              <w:jc w:val="center"/>
              <w:rPr>
                <w:rFonts w:ascii="Cambria" w:hAnsi="Cambria"/>
                <w:color w:val="000000"/>
              </w:rPr>
            </w:pPr>
            <w:r w:rsidRPr="009E1D35">
              <w:rPr>
                <w:rFonts w:ascii="Cambria" w:hAnsi="Cambria"/>
                <w:color w:val="000000"/>
              </w:rPr>
              <w:t>0,3</w:t>
            </w:r>
          </w:p>
        </w:tc>
      </w:tr>
      <w:tr w:rsidR="003A5FAD" w:rsidRPr="009E1D35" w14:paraId="4EB58010" w14:textId="77777777" w:rsidTr="00426B7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77F0864B" w14:textId="77777777" w:rsidR="003A5FAD" w:rsidRPr="009E1D35" w:rsidRDefault="003A5FAD" w:rsidP="00426B73">
            <w:pPr>
              <w:rPr>
                <w:rFonts w:ascii="Cambria" w:hAnsi="Cambria"/>
                <w:color w:val="000000"/>
              </w:rPr>
            </w:pPr>
            <w:r w:rsidRPr="009E1D35">
              <w:rPr>
                <w:rFonts w:ascii="Cambria" w:hAnsi="Cambria"/>
                <w:color w:val="000000"/>
              </w:rPr>
              <w:t>Véhicules de Chantier</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615CEEE5" w14:textId="77777777" w:rsidR="003A5FAD" w:rsidRPr="009E1D35" w:rsidRDefault="003A5FAD" w:rsidP="00426B73">
            <w:pPr>
              <w:jc w:val="center"/>
              <w:rPr>
                <w:rFonts w:ascii="Cambria" w:hAnsi="Cambria"/>
                <w:color w:val="000000"/>
              </w:rPr>
            </w:pPr>
            <w:r w:rsidRPr="009E1D35">
              <w:rPr>
                <w:rFonts w:ascii="Cambria" w:hAnsi="Cambria"/>
                <w:color w:val="000000"/>
              </w:rPr>
              <w:t>105,27</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4545A693" w14:textId="77777777" w:rsidR="003A5FAD" w:rsidRPr="009E1D35" w:rsidRDefault="003A5FAD" w:rsidP="00426B73">
            <w:pPr>
              <w:jc w:val="center"/>
              <w:rPr>
                <w:rFonts w:ascii="Cambria" w:hAnsi="Cambria"/>
                <w:color w:val="000000"/>
              </w:rPr>
            </w:pPr>
            <w:r w:rsidRPr="009E1D35">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1C143803" w14:textId="77777777" w:rsidR="003A5FAD" w:rsidRPr="009E1D35" w:rsidRDefault="003A5FAD" w:rsidP="00426B73">
            <w:pPr>
              <w:jc w:val="center"/>
              <w:rPr>
                <w:rFonts w:ascii="Cambria" w:hAnsi="Cambria"/>
                <w:color w:val="000000"/>
              </w:rPr>
            </w:pPr>
            <w:r w:rsidRPr="009E1D35">
              <w:rPr>
                <w:rFonts w:ascii="Cambria" w:hAnsi="Cambria"/>
                <w:color w:val="000000"/>
              </w:rPr>
              <w:t>-0,1</w:t>
            </w:r>
          </w:p>
        </w:tc>
      </w:tr>
      <w:tr w:rsidR="003A5FAD" w:rsidRPr="009E1D35" w14:paraId="03DFE2E1" w14:textId="77777777" w:rsidTr="00426B7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23FECFC3" w14:textId="77777777" w:rsidR="003A5FAD" w:rsidRPr="009E1D35" w:rsidRDefault="003A5FAD" w:rsidP="00426B73">
            <w:pPr>
              <w:rPr>
                <w:rFonts w:ascii="Cambria" w:hAnsi="Cambria"/>
                <w:color w:val="000000"/>
              </w:rPr>
            </w:pPr>
            <w:r w:rsidRPr="009E1D35">
              <w:rPr>
                <w:rFonts w:ascii="Cambria" w:hAnsi="Cambria"/>
                <w:color w:val="000000"/>
              </w:rPr>
              <w:t>Construction navale en aluminium</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01753F8A" w14:textId="77777777" w:rsidR="003A5FAD" w:rsidRPr="009E1D35" w:rsidRDefault="003A5FAD" w:rsidP="00426B73">
            <w:pPr>
              <w:jc w:val="center"/>
              <w:rPr>
                <w:rFonts w:ascii="Cambria" w:hAnsi="Cambria"/>
                <w:color w:val="000000"/>
              </w:rPr>
            </w:pPr>
            <w:r w:rsidRPr="009E1D35">
              <w:rPr>
                <w:rFonts w:ascii="Cambria" w:hAnsi="Cambria"/>
                <w:color w:val="000000"/>
              </w:rPr>
              <w:t>121,69</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0A13407E" w14:textId="77777777" w:rsidR="003A5FAD" w:rsidRPr="009E1D35" w:rsidRDefault="003A5FAD" w:rsidP="00426B73">
            <w:pPr>
              <w:jc w:val="center"/>
              <w:rPr>
                <w:rFonts w:ascii="Cambria" w:hAnsi="Cambria"/>
                <w:color w:val="000000"/>
              </w:rPr>
            </w:pPr>
            <w:r w:rsidRPr="009E1D35">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1F9DCD76" w14:textId="77777777" w:rsidR="003A5FAD" w:rsidRPr="009E1D35" w:rsidRDefault="003A5FAD" w:rsidP="00426B73">
            <w:pPr>
              <w:jc w:val="center"/>
              <w:rPr>
                <w:rFonts w:ascii="Cambria" w:hAnsi="Cambria"/>
                <w:color w:val="000000"/>
              </w:rPr>
            </w:pPr>
            <w:r w:rsidRPr="009E1D35">
              <w:rPr>
                <w:rFonts w:ascii="Cambria" w:hAnsi="Cambria"/>
                <w:color w:val="000000"/>
              </w:rPr>
              <w:t>0,7</w:t>
            </w:r>
          </w:p>
        </w:tc>
      </w:tr>
      <w:tr w:rsidR="003A5FAD" w:rsidRPr="009E1D35" w14:paraId="7B80B49F" w14:textId="77777777" w:rsidTr="00426B7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3F0F73A5" w14:textId="77777777" w:rsidR="003A5FAD" w:rsidRPr="009E1D35" w:rsidRDefault="003A5FAD" w:rsidP="00426B73">
            <w:pPr>
              <w:rPr>
                <w:rFonts w:ascii="Cambria" w:hAnsi="Cambria"/>
                <w:color w:val="000000"/>
              </w:rPr>
            </w:pPr>
            <w:r w:rsidRPr="009E1D35">
              <w:rPr>
                <w:rFonts w:ascii="Cambria" w:hAnsi="Cambria"/>
                <w:color w:val="000000"/>
              </w:rPr>
              <w:t>Fourniture de pièces détachées pour navires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4ED44EFB" w14:textId="77777777" w:rsidR="003A5FAD" w:rsidRPr="009E1D35" w:rsidRDefault="003A5FAD" w:rsidP="00426B73">
            <w:pPr>
              <w:jc w:val="center"/>
              <w:rPr>
                <w:rFonts w:ascii="Cambria" w:hAnsi="Cambria"/>
                <w:color w:val="000000"/>
              </w:rPr>
            </w:pPr>
            <w:r w:rsidRPr="009E1D35">
              <w:rPr>
                <w:rFonts w:ascii="Cambria" w:hAnsi="Cambria"/>
                <w:color w:val="000000"/>
              </w:rPr>
              <w:t>110,06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41E6C0A9" w14:textId="77777777" w:rsidR="003A5FAD" w:rsidRPr="009E1D35" w:rsidRDefault="003A5FAD" w:rsidP="00426B73">
            <w:pPr>
              <w:jc w:val="center"/>
              <w:rPr>
                <w:rFonts w:ascii="Cambria" w:hAnsi="Cambria"/>
                <w:color w:val="000000"/>
              </w:rPr>
            </w:pPr>
            <w:r w:rsidRPr="009E1D35">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4C79E631" w14:textId="77777777" w:rsidR="003A5FAD" w:rsidRPr="009E1D35" w:rsidRDefault="003A5FAD" w:rsidP="00426B73">
            <w:pPr>
              <w:jc w:val="center"/>
              <w:rPr>
                <w:rFonts w:ascii="Cambria" w:hAnsi="Cambria"/>
                <w:color w:val="000000"/>
              </w:rPr>
            </w:pPr>
            <w:r w:rsidRPr="009E1D35">
              <w:rPr>
                <w:rFonts w:ascii="Cambria" w:hAnsi="Cambria"/>
                <w:color w:val="000000"/>
              </w:rPr>
              <w:t>-</w:t>
            </w:r>
          </w:p>
        </w:tc>
      </w:tr>
      <w:tr w:rsidR="003A5FAD" w:rsidRPr="009E1D35" w14:paraId="1655B4CB" w14:textId="77777777" w:rsidTr="00426B7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139E3B44" w14:textId="77777777" w:rsidR="003A5FAD" w:rsidRPr="009E1D35" w:rsidRDefault="003A5FAD" w:rsidP="00426B73">
            <w:pPr>
              <w:rPr>
                <w:rFonts w:ascii="Cambria" w:hAnsi="Cambria"/>
                <w:color w:val="000000"/>
              </w:rPr>
            </w:pPr>
            <w:r w:rsidRPr="009E1D35">
              <w:rPr>
                <w:rFonts w:ascii="Cambria" w:hAnsi="Cambria"/>
                <w:color w:val="000000"/>
              </w:rPr>
              <w:t>Index des Transports Publics Terrestres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38544ACA" w14:textId="77777777" w:rsidR="003A5FAD" w:rsidRPr="009E1D35" w:rsidRDefault="003A5FAD" w:rsidP="00426B73">
            <w:pPr>
              <w:jc w:val="center"/>
              <w:rPr>
                <w:rFonts w:ascii="Cambria" w:hAnsi="Cambria"/>
                <w:color w:val="000000"/>
              </w:rPr>
            </w:pPr>
            <w:r w:rsidRPr="009E1D35">
              <w:rPr>
                <w:rFonts w:ascii="Cambria" w:hAnsi="Cambria"/>
                <w:color w:val="000000"/>
              </w:rPr>
              <w:t>105,42</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14C5EBDF" w14:textId="77777777" w:rsidR="003A5FAD" w:rsidRPr="009E1D35" w:rsidRDefault="003A5FAD" w:rsidP="00426B73">
            <w:pPr>
              <w:jc w:val="center"/>
              <w:rPr>
                <w:rFonts w:ascii="Cambria" w:hAnsi="Cambria"/>
                <w:color w:val="000000"/>
              </w:rPr>
            </w:pPr>
            <w:r w:rsidRPr="009E1D35">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07F67E3E" w14:textId="77777777" w:rsidR="003A5FAD" w:rsidRPr="009E1D35" w:rsidRDefault="003A5FAD" w:rsidP="00426B73">
            <w:pPr>
              <w:jc w:val="center"/>
              <w:rPr>
                <w:rFonts w:ascii="Cambria" w:hAnsi="Cambria"/>
                <w:color w:val="000000"/>
              </w:rPr>
            </w:pPr>
            <w:r w:rsidRPr="009E1D35">
              <w:rPr>
                <w:rFonts w:ascii="Cambria" w:hAnsi="Cambria"/>
                <w:color w:val="000000"/>
              </w:rPr>
              <w:t>-2,7</w:t>
            </w:r>
          </w:p>
        </w:tc>
      </w:tr>
      <w:tr w:rsidR="003A5FAD" w:rsidRPr="009E1D35" w14:paraId="322B0EA6" w14:textId="77777777" w:rsidTr="00426B7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71057FEC" w14:textId="77777777" w:rsidR="003A5FAD" w:rsidRPr="009E1D35" w:rsidRDefault="003A5FAD" w:rsidP="00426B73">
            <w:pPr>
              <w:rPr>
                <w:rFonts w:ascii="Cambria" w:hAnsi="Cambria"/>
                <w:color w:val="000000"/>
              </w:rPr>
            </w:pPr>
            <w:r w:rsidRPr="009E1D35">
              <w:rPr>
                <w:rFonts w:ascii="Cambria" w:hAnsi="Cambria"/>
                <w:color w:val="000000"/>
              </w:rPr>
              <w:t>Index des Assurances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7B097911" w14:textId="77777777" w:rsidR="003A5FAD" w:rsidRPr="009E1D35" w:rsidRDefault="003A5FAD" w:rsidP="00426B73">
            <w:pPr>
              <w:jc w:val="center"/>
              <w:rPr>
                <w:rFonts w:ascii="Cambria" w:hAnsi="Cambria"/>
                <w:color w:val="000000"/>
              </w:rPr>
            </w:pPr>
            <w:r w:rsidRPr="009E1D35">
              <w:rPr>
                <w:rFonts w:ascii="Cambria" w:hAnsi="Cambria"/>
                <w:color w:val="000000"/>
              </w:rPr>
              <w:t>102,88</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35767697" w14:textId="77777777" w:rsidR="003A5FAD" w:rsidRPr="009E1D35" w:rsidRDefault="003A5FAD" w:rsidP="00426B73">
            <w:pPr>
              <w:jc w:val="center"/>
              <w:rPr>
                <w:rFonts w:ascii="Cambria" w:hAnsi="Cambria"/>
                <w:color w:val="000000"/>
              </w:rPr>
            </w:pPr>
            <w:r w:rsidRPr="009E1D35">
              <w:rPr>
                <w:rFonts w:ascii="Cambria" w:hAnsi="Cambria"/>
                <w:color w:val="000000"/>
              </w:rPr>
              <w:t>0,3</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1CB04A9C" w14:textId="77777777" w:rsidR="003A5FAD" w:rsidRPr="009E1D35" w:rsidRDefault="003A5FAD" w:rsidP="00426B73">
            <w:pPr>
              <w:jc w:val="center"/>
              <w:rPr>
                <w:rFonts w:ascii="Cambria" w:hAnsi="Cambria"/>
                <w:color w:val="000000"/>
              </w:rPr>
            </w:pPr>
            <w:r w:rsidRPr="009E1D35">
              <w:rPr>
                <w:rFonts w:ascii="Cambria" w:hAnsi="Cambria"/>
                <w:color w:val="000000"/>
              </w:rPr>
              <w:t>0,3</w:t>
            </w:r>
          </w:p>
        </w:tc>
      </w:tr>
      <w:tr w:rsidR="003A5FAD" w:rsidRPr="009E1D35" w14:paraId="4A593497" w14:textId="77777777" w:rsidTr="00426B7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38DDD730" w14:textId="77777777" w:rsidR="003A5FAD" w:rsidRPr="009E1D35" w:rsidRDefault="003A5FAD" w:rsidP="00426B73">
            <w:pPr>
              <w:rPr>
                <w:rFonts w:ascii="Cambria" w:hAnsi="Cambria"/>
                <w:color w:val="000000"/>
              </w:rPr>
            </w:pPr>
            <w:r w:rsidRPr="009E1D35">
              <w:rPr>
                <w:rFonts w:ascii="Cambria" w:hAnsi="Cambria"/>
                <w:color w:val="000000"/>
              </w:rPr>
              <w:t>Index du Transport Aérien International</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319520F5" w14:textId="77777777" w:rsidR="003A5FAD" w:rsidRPr="009E1D35" w:rsidRDefault="003A5FAD" w:rsidP="00426B73">
            <w:pPr>
              <w:jc w:val="center"/>
              <w:rPr>
                <w:rFonts w:ascii="Cambria" w:hAnsi="Cambria"/>
                <w:color w:val="000000"/>
              </w:rPr>
            </w:pPr>
            <w:r w:rsidRPr="009E1D35">
              <w:rPr>
                <w:rFonts w:ascii="Cambria" w:hAnsi="Cambria"/>
                <w:color w:val="000000"/>
              </w:rPr>
              <w:t>95,69</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411E2CA6" w14:textId="77777777" w:rsidR="003A5FAD" w:rsidRPr="009E1D35" w:rsidRDefault="003A5FAD" w:rsidP="00426B73">
            <w:pPr>
              <w:jc w:val="center"/>
              <w:rPr>
                <w:rFonts w:ascii="Cambria" w:hAnsi="Cambria"/>
                <w:color w:val="000000"/>
              </w:rPr>
            </w:pPr>
            <w:r w:rsidRPr="009E1D35">
              <w:rPr>
                <w:rFonts w:ascii="Cambria" w:hAnsi="Cambria"/>
                <w:color w:val="000000"/>
              </w:rPr>
              <w:t>1,3</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3DA3A762" w14:textId="77777777" w:rsidR="003A5FAD" w:rsidRPr="009E1D35" w:rsidRDefault="003A5FAD" w:rsidP="00426B73">
            <w:pPr>
              <w:jc w:val="center"/>
              <w:rPr>
                <w:rFonts w:ascii="Cambria" w:hAnsi="Cambria"/>
                <w:color w:val="000000"/>
              </w:rPr>
            </w:pPr>
            <w:r w:rsidRPr="009E1D35">
              <w:rPr>
                <w:rFonts w:ascii="Cambria" w:hAnsi="Cambria"/>
                <w:color w:val="000000"/>
              </w:rPr>
              <w:t>0,2</w:t>
            </w:r>
          </w:p>
        </w:tc>
      </w:tr>
    </w:tbl>
    <w:p w14:paraId="5B436476" w14:textId="77777777" w:rsidR="003A5FAD" w:rsidRPr="009E1D35" w:rsidRDefault="003A5FAD" w:rsidP="003A5FAD">
      <w:pPr>
        <w:rPr>
          <w:rFonts w:ascii="Cambria" w:hAnsi="Cambria"/>
        </w:rPr>
      </w:pPr>
    </w:p>
    <w:p w14:paraId="76542260" w14:textId="77777777" w:rsidR="00BB6581" w:rsidRPr="00BB6581" w:rsidRDefault="00BB6581" w:rsidP="00BB6581">
      <w:pPr>
        <w:rPr>
          <w:lang w:eastAsia="fr-FR"/>
        </w:rPr>
      </w:pPr>
    </w:p>
    <w:p w14:paraId="5CBC93D5" w14:textId="77777777" w:rsidR="003A5FAD" w:rsidRPr="00907F67" w:rsidRDefault="003A5FAD" w:rsidP="003A5FAD">
      <w:pPr>
        <w:pStyle w:val="-LettreObjetGEDA"/>
        <w:ind w:left="0" w:firstLine="0"/>
        <w:rPr>
          <w:rFonts w:asciiTheme="majorHAnsi" w:hAnsiTheme="majorHAnsi"/>
          <w:b/>
        </w:rPr>
      </w:pPr>
      <w:r w:rsidRPr="00342087">
        <w:rPr>
          <w:rFonts w:asciiTheme="majorHAnsi" w:hAnsiTheme="majorHAnsi"/>
          <w:b/>
        </w:rPr>
        <w:t>Subventions en faveur de douze associations de jeunesse et trois fédérations sportives</w:t>
      </w:r>
      <w:r w:rsidRPr="00907F67">
        <w:rPr>
          <w:rFonts w:asciiTheme="majorHAnsi" w:hAnsiTheme="majorHAnsi"/>
          <w:b/>
        </w:rPr>
        <w:t xml:space="preserve"> </w:t>
      </w:r>
    </w:p>
    <w:p w14:paraId="49803A87" w14:textId="77777777" w:rsidR="003A5FAD" w:rsidRPr="00342087" w:rsidRDefault="003A5FAD" w:rsidP="003A5FAD">
      <w:pPr>
        <w:pStyle w:val="-LettreObjetGEDA"/>
        <w:ind w:left="0" w:firstLine="0"/>
        <w:rPr>
          <w:rFonts w:asciiTheme="majorHAnsi" w:hAnsiTheme="majorHAnsi"/>
          <w:bCs/>
        </w:rPr>
      </w:pPr>
      <w:r w:rsidRPr="00342087">
        <w:rPr>
          <w:rFonts w:asciiTheme="majorHAnsi" w:hAnsiTheme="majorHAnsi"/>
          <w:bCs/>
        </w:rPr>
        <w:t xml:space="preserve">Sur proposition </w:t>
      </w:r>
      <w:r w:rsidRPr="00907F67">
        <w:rPr>
          <w:rFonts w:asciiTheme="majorHAnsi" w:hAnsiTheme="majorHAnsi"/>
          <w:bCs/>
        </w:rPr>
        <w:t>du</w:t>
      </w:r>
      <w:r w:rsidRPr="00342087">
        <w:rPr>
          <w:rFonts w:asciiTheme="majorHAnsi" w:hAnsiTheme="majorHAnsi"/>
          <w:bCs/>
        </w:rPr>
        <w:t xml:space="preserve"> </w:t>
      </w:r>
      <w:r>
        <w:rPr>
          <w:rFonts w:asciiTheme="majorHAnsi" w:hAnsiTheme="majorHAnsi"/>
          <w:bCs/>
        </w:rPr>
        <w:t>m</w:t>
      </w:r>
      <w:r w:rsidRPr="00342087">
        <w:rPr>
          <w:rFonts w:asciiTheme="majorHAnsi" w:hAnsiTheme="majorHAnsi"/>
          <w:bCs/>
        </w:rPr>
        <w:t>inistre en charge de</w:t>
      </w:r>
      <w:r w:rsidRPr="00907F67">
        <w:rPr>
          <w:rFonts w:asciiTheme="majorHAnsi" w:hAnsiTheme="majorHAnsi"/>
          <w:bCs/>
        </w:rPr>
        <w:t xml:space="preserve"> la</w:t>
      </w:r>
      <w:r>
        <w:rPr>
          <w:rFonts w:asciiTheme="majorHAnsi" w:hAnsiTheme="majorHAnsi"/>
          <w:bCs/>
        </w:rPr>
        <w:t xml:space="preserve"> J</w:t>
      </w:r>
      <w:r w:rsidRPr="00342087">
        <w:rPr>
          <w:rFonts w:asciiTheme="majorHAnsi" w:hAnsiTheme="majorHAnsi"/>
          <w:bCs/>
        </w:rPr>
        <w:t xml:space="preserve">eunesse et des sports, le Conseil des </w:t>
      </w:r>
      <w:r>
        <w:rPr>
          <w:rFonts w:asciiTheme="majorHAnsi" w:hAnsiTheme="majorHAnsi"/>
          <w:bCs/>
        </w:rPr>
        <w:t>m</w:t>
      </w:r>
      <w:r w:rsidRPr="00342087">
        <w:rPr>
          <w:rFonts w:asciiTheme="majorHAnsi" w:hAnsiTheme="majorHAnsi"/>
          <w:bCs/>
        </w:rPr>
        <w:t>inistres a adopté l'octroi de subventions pour un montant de 53 166 000 F</w:t>
      </w:r>
      <w:r w:rsidRPr="00907F67">
        <w:rPr>
          <w:rFonts w:asciiTheme="majorHAnsi" w:hAnsiTheme="majorHAnsi"/>
          <w:bCs/>
        </w:rPr>
        <w:t>cfp</w:t>
      </w:r>
      <w:r w:rsidRPr="00342087">
        <w:rPr>
          <w:rFonts w:asciiTheme="majorHAnsi" w:hAnsiTheme="majorHAnsi"/>
          <w:bCs/>
        </w:rPr>
        <w:t>, en faveur :</w:t>
      </w:r>
    </w:p>
    <w:p w14:paraId="57523950" w14:textId="77777777" w:rsidR="003A5FAD" w:rsidRPr="00907F67" w:rsidRDefault="003A5FAD" w:rsidP="003A5FAD">
      <w:pPr>
        <w:pStyle w:val="-LettreObjetGEDA"/>
        <w:numPr>
          <w:ilvl w:val="0"/>
          <w:numId w:val="24"/>
        </w:numPr>
        <w:rPr>
          <w:rFonts w:asciiTheme="majorHAnsi" w:hAnsiTheme="majorHAnsi"/>
          <w:bCs/>
        </w:rPr>
      </w:pPr>
      <w:r w:rsidRPr="00342087">
        <w:rPr>
          <w:rFonts w:asciiTheme="majorHAnsi" w:hAnsiTheme="majorHAnsi"/>
          <w:bCs/>
        </w:rPr>
        <w:t>de douze associations de jeunesse, après avis du comité technique de la Jeunesse et de l’éducation populaire</w:t>
      </w:r>
      <w:r>
        <w:rPr>
          <w:rFonts w:asciiTheme="majorHAnsi" w:hAnsiTheme="majorHAnsi"/>
          <w:bCs/>
        </w:rPr>
        <w:t>,</w:t>
      </w:r>
      <w:r w:rsidRPr="00342087">
        <w:rPr>
          <w:rFonts w:asciiTheme="majorHAnsi" w:hAnsiTheme="majorHAnsi"/>
          <w:bCs/>
        </w:rPr>
        <w:t xml:space="preserve"> sur la base de critères relatifs notamment au développement </w:t>
      </w:r>
      <w:r w:rsidRPr="00342087">
        <w:rPr>
          <w:rFonts w:asciiTheme="majorHAnsi" w:hAnsiTheme="majorHAnsi"/>
          <w:bCs/>
        </w:rPr>
        <w:lastRenderedPageBreak/>
        <w:t>d’actions qui participent à l’intégration des jeunes au sein de la société civile, à la mobilisation des jeunes sur certains projets ou encore au développement d’initiatives permettant le rayonnement de la Polynésie :</w:t>
      </w:r>
      <w:r w:rsidRPr="00907F67">
        <w:rPr>
          <w:rFonts w:asciiTheme="majorHAnsi" w:hAnsiTheme="majorHAnsi"/>
          <w:bCs/>
        </w:rPr>
        <w:t xml:space="preserve"> </w:t>
      </w:r>
    </w:p>
    <w:p w14:paraId="086D9DF7" w14:textId="77777777" w:rsidR="003A5FAD" w:rsidRPr="00342087" w:rsidRDefault="003A5FAD" w:rsidP="003A5FAD">
      <w:pPr>
        <w:pStyle w:val="-LettreObjetGEDA"/>
        <w:ind w:left="708" w:firstLine="0"/>
        <w:rPr>
          <w:rFonts w:asciiTheme="majorHAnsi" w:hAnsiTheme="majorHAnsi"/>
          <w:bCs/>
        </w:rPr>
      </w:pPr>
      <w:r w:rsidRPr="00342087">
        <w:rPr>
          <w:rFonts w:asciiTheme="majorHAnsi" w:hAnsiTheme="majorHAnsi"/>
          <w:bCs/>
        </w:rPr>
        <w:t>Unions Chrétiennes des Jeunes Gens de l’Eglise Protestante Maohi, Eclaireurs et éclaireuses unionistes de l’Eglise Protestante Maohi en Polynésie française, Comité Quartier Hotuarea, association Fa’a ruperupe, Scouts et Guides de Polynésie française, Comité Protestant des Ecoles du Dimanche, CPCV Organisme Protestant de Formation, Union Territoriale de la Fédération Sportive et Culturelle de France, Mouvement Eucharistique des jeunes, Arii Heiva Rau, Fédération des Œuvres Laïques de Polynésie française et association Territoriale des CEMEA de Polynésie.</w:t>
      </w:r>
    </w:p>
    <w:p w14:paraId="7051AF6B" w14:textId="77777777" w:rsidR="003A5FAD" w:rsidRPr="00907F67" w:rsidRDefault="003A5FAD" w:rsidP="003A5FAD">
      <w:pPr>
        <w:pStyle w:val="-LettreObjetGEDA"/>
        <w:numPr>
          <w:ilvl w:val="0"/>
          <w:numId w:val="24"/>
        </w:numPr>
        <w:rPr>
          <w:rFonts w:asciiTheme="majorHAnsi" w:hAnsiTheme="majorHAnsi"/>
          <w:bCs/>
        </w:rPr>
      </w:pPr>
      <w:r w:rsidRPr="00342087">
        <w:rPr>
          <w:rFonts w:asciiTheme="majorHAnsi" w:hAnsiTheme="majorHAnsi"/>
          <w:bCs/>
        </w:rPr>
        <w:t>et trois fédér</w:t>
      </w:r>
      <w:r>
        <w:rPr>
          <w:rFonts w:asciiTheme="majorHAnsi" w:hAnsiTheme="majorHAnsi"/>
          <w:bCs/>
        </w:rPr>
        <w:t>ations sportives,</w:t>
      </w:r>
      <w:r w:rsidRPr="00342087">
        <w:rPr>
          <w:rFonts w:asciiTheme="majorHAnsi" w:hAnsiTheme="majorHAnsi"/>
          <w:bCs/>
        </w:rPr>
        <w:t xml:space="preserve"> après avis de la commission du sport sur la base des critères relatifs notamment à la gestion administrative d’une structure fédérale, au développement de la pratique sportive en fonction du nombre de licenciés, des catégories engagées et de la présence sportive dans les archipels, à la mise en place d’actions de formation en faveur des cadres et des dirigeants ou encore au développement de la</w:t>
      </w:r>
      <w:r>
        <w:rPr>
          <w:rFonts w:asciiTheme="majorHAnsi" w:hAnsiTheme="majorHAnsi"/>
          <w:bCs/>
        </w:rPr>
        <w:t xml:space="preserve"> pratique de haut niveau etc</w:t>
      </w:r>
      <w:r w:rsidRPr="00342087">
        <w:rPr>
          <w:rFonts w:asciiTheme="majorHAnsi" w:hAnsiTheme="majorHAnsi"/>
          <w:bCs/>
        </w:rPr>
        <w:t>:</w:t>
      </w:r>
    </w:p>
    <w:p w14:paraId="08C39FE6" w14:textId="77777777" w:rsidR="003A5FAD" w:rsidRPr="00907F67" w:rsidRDefault="003A5FAD" w:rsidP="003A5FAD">
      <w:pPr>
        <w:ind w:left="708"/>
        <w:jc w:val="both"/>
        <w:rPr>
          <w:rFonts w:asciiTheme="majorHAnsi" w:hAnsiTheme="majorHAnsi"/>
          <w:lang w:eastAsia="fr-FR"/>
        </w:rPr>
      </w:pPr>
    </w:p>
    <w:p w14:paraId="53D9F021" w14:textId="77777777" w:rsidR="003A5FAD" w:rsidRPr="00342087" w:rsidRDefault="003A5FAD" w:rsidP="003A5FAD">
      <w:pPr>
        <w:ind w:left="708"/>
        <w:jc w:val="both"/>
        <w:rPr>
          <w:rFonts w:asciiTheme="majorHAnsi" w:hAnsiTheme="majorHAnsi"/>
          <w:bCs/>
        </w:rPr>
      </w:pPr>
      <w:r w:rsidRPr="00342087">
        <w:rPr>
          <w:rFonts w:asciiTheme="majorHAnsi" w:hAnsiTheme="majorHAnsi"/>
          <w:bCs/>
        </w:rPr>
        <w:t>Fédération Polynésienne de Golf, Fédération polynésienne d’</w:t>
      </w:r>
      <w:r w:rsidRPr="00907F67">
        <w:rPr>
          <w:rFonts w:asciiTheme="majorHAnsi" w:hAnsiTheme="majorHAnsi"/>
          <w:bCs/>
        </w:rPr>
        <w:t>Aïkido</w:t>
      </w:r>
      <w:r w:rsidRPr="00342087">
        <w:rPr>
          <w:rFonts w:asciiTheme="majorHAnsi" w:hAnsiTheme="majorHAnsi"/>
          <w:bCs/>
        </w:rPr>
        <w:t xml:space="preserve"> et Fédération</w:t>
      </w:r>
      <w:r w:rsidRPr="00907F67">
        <w:rPr>
          <w:rFonts w:asciiTheme="majorHAnsi" w:hAnsiTheme="majorHAnsi"/>
          <w:bCs/>
        </w:rPr>
        <w:t xml:space="preserve"> </w:t>
      </w:r>
      <w:r w:rsidRPr="00342087">
        <w:rPr>
          <w:rFonts w:asciiTheme="majorHAnsi" w:hAnsiTheme="majorHAnsi"/>
          <w:bCs/>
        </w:rPr>
        <w:t>de Motocyclisme de Polynésie française.</w:t>
      </w:r>
    </w:p>
    <w:p w14:paraId="6057EE18" w14:textId="77777777" w:rsidR="003A5FAD" w:rsidRPr="00907F67" w:rsidRDefault="003A5FAD" w:rsidP="003A5FAD">
      <w:pPr>
        <w:ind w:left="708"/>
        <w:jc w:val="both"/>
        <w:rPr>
          <w:rFonts w:asciiTheme="majorHAnsi" w:hAnsiTheme="majorHAnsi"/>
          <w:lang w:eastAsia="fr-FR"/>
        </w:rPr>
      </w:pPr>
    </w:p>
    <w:p w14:paraId="156E1837" w14:textId="77777777" w:rsidR="002F0A4A" w:rsidRDefault="002F0A4A" w:rsidP="00BB6581">
      <w:pPr>
        <w:pStyle w:val="-LettreTexteGEDA"/>
        <w:ind w:firstLine="0"/>
        <w:rPr>
          <w:rFonts w:ascii="Cambria" w:hAnsi="Cambria"/>
        </w:rPr>
      </w:pPr>
    </w:p>
    <w:p w14:paraId="11B9D2E5" w14:textId="416542A2" w:rsidR="002F0A4A" w:rsidRPr="002F0A4A" w:rsidRDefault="002F0A4A" w:rsidP="002F0A4A">
      <w:pPr>
        <w:pStyle w:val="-LettreTexteGEDA"/>
        <w:ind w:firstLine="0"/>
        <w:rPr>
          <w:rFonts w:ascii="Cambria" w:hAnsi="Cambria"/>
          <w:b/>
          <w:noProof w:val="0"/>
          <w:szCs w:val="24"/>
        </w:rPr>
      </w:pPr>
      <w:r w:rsidRPr="002F0A4A">
        <w:rPr>
          <w:rFonts w:ascii="Cambria" w:hAnsi="Cambria"/>
          <w:b/>
          <w:noProof w:val="0"/>
          <w:szCs w:val="24"/>
        </w:rPr>
        <w:t>Arrê</w:t>
      </w:r>
      <w:r>
        <w:rPr>
          <w:rFonts w:ascii="Cambria" w:hAnsi="Cambria"/>
          <w:b/>
          <w:noProof w:val="0"/>
          <w:szCs w:val="24"/>
        </w:rPr>
        <w:t>tés d’application de la loi du P</w:t>
      </w:r>
      <w:r w:rsidRPr="002F0A4A">
        <w:rPr>
          <w:rFonts w:ascii="Cambria" w:hAnsi="Cambria"/>
          <w:b/>
          <w:noProof w:val="0"/>
          <w:szCs w:val="24"/>
        </w:rPr>
        <w:t>ays relative à l’exercice de la profession de manipulateur d’électroradiologie médicale</w:t>
      </w:r>
    </w:p>
    <w:p w14:paraId="64BA1452" w14:textId="77777777" w:rsidR="002F0A4A" w:rsidRDefault="002F0A4A" w:rsidP="002F0A4A">
      <w:pPr>
        <w:pStyle w:val="-LettreTexteGEDA"/>
        <w:ind w:firstLine="0"/>
        <w:rPr>
          <w:rFonts w:ascii="Cambria" w:hAnsi="Cambria"/>
          <w:b/>
          <w:noProof w:val="0"/>
          <w:szCs w:val="24"/>
        </w:rPr>
      </w:pPr>
    </w:p>
    <w:p w14:paraId="3D83B626" w14:textId="50BC9276" w:rsidR="002F0A4A" w:rsidRPr="002F0A4A" w:rsidRDefault="002F0A4A" w:rsidP="002F0A4A">
      <w:pPr>
        <w:pStyle w:val="-LettreTexteGEDA"/>
        <w:ind w:firstLine="0"/>
        <w:rPr>
          <w:rFonts w:ascii="Cambria" w:hAnsi="Cambria"/>
          <w:noProof w:val="0"/>
          <w:szCs w:val="24"/>
        </w:rPr>
      </w:pPr>
      <w:r w:rsidRPr="002F0A4A">
        <w:rPr>
          <w:rFonts w:ascii="Cambria" w:hAnsi="Cambria"/>
          <w:noProof w:val="0"/>
          <w:szCs w:val="24"/>
        </w:rPr>
        <w:t xml:space="preserve">Le </w:t>
      </w:r>
      <w:r>
        <w:rPr>
          <w:rFonts w:ascii="Cambria" w:hAnsi="Cambria"/>
          <w:noProof w:val="0"/>
          <w:szCs w:val="24"/>
        </w:rPr>
        <w:t>C</w:t>
      </w:r>
      <w:r w:rsidRPr="002F0A4A">
        <w:rPr>
          <w:rFonts w:ascii="Cambria" w:hAnsi="Cambria"/>
          <w:noProof w:val="0"/>
          <w:szCs w:val="24"/>
        </w:rPr>
        <w:t xml:space="preserve">onseil des ministres a adopté un arrêté, en application de la </w:t>
      </w:r>
      <w:r>
        <w:rPr>
          <w:rFonts w:ascii="Cambria" w:hAnsi="Cambria"/>
          <w:noProof w:val="0"/>
          <w:szCs w:val="24"/>
        </w:rPr>
        <w:t xml:space="preserve">loi du Pays </w:t>
      </w:r>
      <w:r w:rsidRPr="002F0A4A">
        <w:rPr>
          <w:rFonts w:ascii="Cambria" w:hAnsi="Cambria"/>
          <w:noProof w:val="0"/>
          <w:szCs w:val="24"/>
        </w:rPr>
        <w:t>du 17 septembre 2020 définissant les actes pouvant être réalisés par un manipulateur d’électroradiologie médicale, ainsi que les conditions de réalisation.</w:t>
      </w:r>
    </w:p>
    <w:p w14:paraId="00EFA647" w14:textId="083690B2" w:rsidR="002F0A4A" w:rsidRPr="002F0A4A" w:rsidRDefault="002F0A4A" w:rsidP="002F0A4A">
      <w:pPr>
        <w:pStyle w:val="-LettreTexteGEDA"/>
        <w:ind w:firstLine="0"/>
        <w:rPr>
          <w:rFonts w:ascii="Cambria" w:hAnsi="Cambria"/>
          <w:noProof w:val="0"/>
          <w:szCs w:val="24"/>
        </w:rPr>
      </w:pPr>
      <w:r w:rsidRPr="002F0A4A">
        <w:rPr>
          <w:rFonts w:ascii="Cambria" w:hAnsi="Cambria"/>
          <w:noProof w:val="0"/>
          <w:szCs w:val="24"/>
        </w:rPr>
        <w:t xml:space="preserve">L’arrêté distingue </w:t>
      </w:r>
      <w:r>
        <w:rPr>
          <w:rFonts w:ascii="Cambria" w:hAnsi="Cambria"/>
          <w:noProof w:val="0"/>
          <w:szCs w:val="24"/>
        </w:rPr>
        <w:t xml:space="preserve">trois </w:t>
      </w:r>
      <w:r w:rsidRPr="002F0A4A">
        <w:rPr>
          <w:rFonts w:ascii="Cambria" w:hAnsi="Cambria"/>
          <w:noProof w:val="0"/>
          <w:szCs w:val="24"/>
        </w:rPr>
        <w:t>catégories précises d’actes réalisables par le manipulateur, selon les risques et la complexité, toujours exercés sous la responsabilité du médecin de la spécialité concernée (imagerie, radiothérapie, médecine isotopique etc.), et toujours sur prescription médicale :</w:t>
      </w:r>
    </w:p>
    <w:p w14:paraId="04CA9670" w14:textId="77777777" w:rsidR="002F0A4A" w:rsidRPr="002F0A4A" w:rsidRDefault="002F0A4A" w:rsidP="002F0A4A">
      <w:pPr>
        <w:pStyle w:val="-LettreTexteGEDA"/>
        <w:numPr>
          <w:ilvl w:val="0"/>
          <w:numId w:val="23"/>
        </w:numPr>
        <w:rPr>
          <w:rFonts w:ascii="Cambria" w:hAnsi="Cambria"/>
          <w:noProof w:val="0"/>
          <w:szCs w:val="24"/>
        </w:rPr>
      </w:pPr>
      <w:r w:rsidRPr="002F0A4A">
        <w:rPr>
          <w:rFonts w:ascii="Cambria" w:hAnsi="Cambria"/>
          <w:noProof w:val="0"/>
          <w:szCs w:val="24"/>
        </w:rPr>
        <w:t>les actes sans risque pouvant être réalisés en dehors de la présence du médecin de la spécialité concernée ;</w:t>
      </w:r>
    </w:p>
    <w:p w14:paraId="6AF9F358" w14:textId="77777777" w:rsidR="002F0A4A" w:rsidRPr="002F0A4A" w:rsidRDefault="002F0A4A" w:rsidP="002F0A4A">
      <w:pPr>
        <w:pStyle w:val="-LettreTexteGEDA"/>
        <w:numPr>
          <w:ilvl w:val="0"/>
          <w:numId w:val="23"/>
        </w:numPr>
        <w:rPr>
          <w:rFonts w:ascii="Cambria" w:hAnsi="Cambria"/>
          <w:noProof w:val="0"/>
          <w:szCs w:val="24"/>
        </w:rPr>
      </w:pPr>
      <w:r w:rsidRPr="002F0A4A">
        <w:rPr>
          <w:rFonts w:ascii="Cambria" w:hAnsi="Cambria"/>
          <w:noProof w:val="0"/>
          <w:szCs w:val="24"/>
        </w:rPr>
        <w:t>les actes à risque modéré pouvant être réalisés en dehors de la présence du médecin de la spécialité concernée, mais à la condition qu’un médecin puisse intervenir à tout moment ;</w:t>
      </w:r>
    </w:p>
    <w:p w14:paraId="11F96633" w14:textId="77777777" w:rsidR="002F0A4A" w:rsidRPr="002F0A4A" w:rsidRDefault="002F0A4A" w:rsidP="002F0A4A">
      <w:pPr>
        <w:pStyle w:val="-LettreTexteGEDA"/>
        <w:numPr>
          <w:ilvl w:val="0"/>
          <w:numId w:val="23"/>
        </w:numPr>
        <w:rPr>
          <w:rFonts w:ascii="Cambria" w:hAnsi="Cambria"/>
          <w:noProof w:val="0"/>
          <w:szCs w:val="24"/>
        </w:rPr>
      </w:pPr>
      <w:r w:rsidRPr="002F0A4A">
        <w:rPr>
          <w:rFonts w:ascii="Cambria" w:hAnsi="Cambria"/>
          <w:noProof w:val="0"/>
          <w:szCs w:val="24"/>
        </w:rPr>
        <w:t>les actes à risque élevé ne pouvant être réalisés qu’en présence du médecin de la spécialité concernée.</w:t>
      </w:r>
    </w:p>
    <w:p w14:paraId="27D2640F" w14:textId="77777777" w:rsidR="002F0A4A" w:rsidRPr="002F0A4A" w:rsidRDefault="002F0A4A" w:rsidP="002F0A4A">
      <w:pPr>
        <w:pStyle w:val="-LettreTexteGEDA"/>
        <w:ind w:firstLine="0"/>
        <w:rPr>
          <w:rFonts w:ascii="Cambria" w:hAnsi="Cambria"/>
          <w:noProof w:val="0"/>
          <w:szCs w:val="24"/>
        </w:rPr>
      </w:pPr>
      <w:r w:rsidRPr="002F0A4A">
        <w:rPr>
          <w:rFonts w:ascii="Cambria" w:hAnsi="Cambria"/>
          <w:noProof w:val="0"/>
          <w:szCs w:val="24"/>
        </w:rPr>
        <w:t xml:space="preserve">Les enjeux liés à l’imagerie médicale et en particulier à la </w:t>
      </w:r>
      <w:proofErr w:type="spellStart"/>
      <w:r w:rsidRPr="002F0A4A">
        <w:rPr>
          <w:rFonts w:ascii="Cambria" w:hAnsi="Cambria"/>
          <w:noProof w:val="0"/>
          <w:szCs w:val="24"/>
        </w:rPr>
        <w:t>téléradiologie</w:t>
      </w:r>
      <w:proofErr w:type="spellEnd"/>
      <w:r w:rsidRPr="002F0A4A">
        <w:rPr>
          <w:rFonts w:ascii="Cambria" w:hAnsi="Cambria"/>
          <w:noProof w:val="0"/>
          <w:szCs w:val="24"/>
        </w:rPr>
        <w:t xml:space="preserve"> sont importants et ont été pris en compte. L’arrêté permet en particulier la réalisation des scanners injectés à distance, sans la présence sur place du radiologue. En cas d’absence de radiologue dans les établissements hospitaliers périphériques, les scanners pourront </w:t>
      </w:r>
      <w:r w:rsidRPr="002F0A4A">
        <w:rPr>
          <w:rFonts w:ascii="Cambria" w:hAnsi="Cambria"/>
          <w:noProof w:val="0"/>
          <w:szCs w:val="24"/>
        </w:rPr>
        <w:lastRenderedPageBreak/>
        <w:t>cependant être réalisés sur place (</w:t>
      </w:r>
      <w:proofErr w:type="spellStart"/>
      <w:r w:rsidRPr="002F0A4A">
        <w:rPr>
          <w:rFonts w:ascii="Cambria" w:hAnsi="Cambria"/>
          <w:noProof w:val="0"/>
          <w:szCs w:val="24"/>
        </w:rPr>
        <w:t>Uturoa</w:t>
      </w:r>
      <w:proofErr w:type="spellEnd"/>
      <w:r w:rsidRPr="002F0A4A">
        <w:rPr>
          <w:rFonts w:ascii="Cambria" w:hAnsi="Cambria"/>
          <w:noProof w:val="0"/>
          <w:szCs w:val="24"/>
        </w:rPr>
        <w:t xml:space="preserve"> ou </w:t>
      </w:r>
      <w:proofErr w:type="spellStart"/>
      <w:r w:rsidRPr="002F0A4A">
        <w:rPr>
          <w:rFonts w:ascii="Cambria" w:hAnsi="Cambria"/>
          <w:noProof w:val="0"/>
          <w:szCs w:val="24"/>
        </w:rPr>
        <w:t>Taiohae</w:t>
      </w:r>
      <w:proofErr w:type="spellEnd"/>
      <w:r w:rsidRPr="002F0A4A">
        <w:rPr>
          <w:rFonts w:ascii="Cambria" w:hAnsi="Cambria"/>
          <w:noProof w:val="0"/>
          <w:szCs w:val="24"/>
        </w:rPr>
        <w:t xml:space="preserve">) et être interprétés au </w:t>
      </w:r>
      <w:r w:rsidRPr="002F0A4A">
        <w:rPr>
          <w:rFonts w:ascii="Cambria" w:hAnsi="Cambria"/>
          <w:szCs w:val="24"/>
        </w:rPr>
        <w:t>Centre hospitalier de la Polynésie française</w:t>
      </w:r>
      <w:r w:rsidRPr="002F0A4A">
        <w:rPr>
          <w:rFonts w:ascii="Cambria" w:hAnsi="Cambria"/>
          <w:noProof w:val="0"/>
          <w:szCs w:val="24"/>
        </w:rPr>
        <w:t>.</w:t>
      </w:r>
    </w:p>
    <w:p w14:paraId="3BA3B093" w14:textId="77777777" w:rsidR="002F0A4A" w:rsidRPr="002F0A4A" w:rsidRDefault="002F0A4A" w:rsidP="00BB6581">
      <w:pPr>
        <w:pStyle w:val="-LettreTexteGEDA"/>
        <w:ind w:firstLine="0"/>
        <w:rPr>
          <w:rFonts w:ascii="Cambria" w:hAnsi="Cambria"/>
          <w:szCs w:val="24"/>
        </w:rPr>
      </w:pPr>
    </w:p>
    <w:p w14:paraId="2D4814EE" w14:textId="07AADA2C" w:rsidR="002F0A4A" w:rsidRPr="002F0A4A" w:rsidRDefault="002F0A4A" w:rsidP="002F0A4A">
      <w:pPr>
        <w:rPr>
          <w:rFonts w:ascii="Cambria" w:hAnsi="Cambria"/>
          <w:b/>
        </w:rPr>
      </w:pPr>
      <w:r w:rsidRPr="002F0A4A">
        <w:rPr>
          <w:rFonts w:ascii="Cambria" w:hAnsi="Cambria"/>
          <w:b/>
          <w:noProof/>
          <w:lang w:eastAsia="fr-FR"/>
        </w:rPr>
        <w:t xml:space="preserve">Santé: </w:t>
      </w:r>
      <w:r w:rsidRPr="002F0A4A">
        <w:rPr>
          <w:rFonts w:ascii="Cambria" w:hAnsi="Cambria"/>
          <w:b/>
        </w:rPr>
        <w:t>subventions de fonctionnement en faveur de dix associations</w:t>
      </w:r>
    </w:p>
    <w:p w14:paraId="4157BED2" w14:textId="77777777" w:rsidR="002F0A4A" w:rsidRPr="002F0A4A" w:rsidRDefault="002F0A4A" w:rsidP="002F0A4A">
      <w:pPr>
        <w:jc w:val="center"/>
        <w:rPr>
          <w:rFonts w:ascii="Cambria" w:hAnsi="Cambria"/>
          <w:b/>
        </w:rPr>
      </w:pPr>
    </w:p>
    <w:p w14:paraId="03A03B86" w14:textId="554E84BD" w:rsidR="002F0A4A" w:rsidRPr="002F0A4A" w:rsidRDefault="002F0A4A" w:rsidP="002F0A4A">
      <w:pPr>
        <w:rPr>
          <w:rFonts w:ascii="Cambria" w:hAnsi="Cambria"/>
        </w:rPr>
      </w:pPr>
      <w:r w:rsidRPr="002F0A4A">
        <w:rPr>
          <w:rFonts w:ascii="Cambria" w:hAnsi="Cambria"/>
        </w:rPr>
        <w:t xml:space="preserve">Le </w:t>
      </w:r>
      <w:r>
        <w:rPr>
          <w:rFonts w:ascii="Cambria" w:hAnsi="Cambria"/>
        </w:rPr>
        <w:t>C</w:t>
      </w:r>
      <w:r w:rsidRPr="002F0A4A">
        <w:rPr>
          <w:rFonts w:ascii="Cambria" w:hAnsi="Cambria"/>
        </w:rPr>
        <w:t xml:space="preserve">onseil des </w:t>
      </w:r>
      <w:r>
        <w:rPr>
          <w:rFonts w:ascii="Cambria" w:hAnsi="Cambria"/>
        </w:rPr>
        <w:t>m</w:t>
      </w:r>
      <w:r w:rsidRPr="002F0A4A">
        <w:rPr>
          <w:rFonts w:ascii="Cambria" w:hAnsi="Cambria"/>
        </w:rPr>
        <w:t xml:space="preserve">inistres a octroyé des subventions de fonctionnement à dix associations, </w:t>
      </w:r>
      <w:r w:rsidR="00B76029">
        <w:rPr>
          <w:rFonts w:ascii="Cambria" w:hAnsi="Cambria"/>
        </w:rPr>
        <w:t>selon les modalités suivantes</w:t>
      </w:r>
      <w:r w:rsidRPr="002F0A4A">
        <w:rPr>
          <w:rFonts w:ascii="Cambria" w:hAnsi="Cambria"/>
        </w:rPr>
        <w:t>:</w:t>
      </w:r>
    </w:p>
    <w:p w14:paraId="35182F70" w14:textId="07EF6F8D" w:rsidR="002F0A4A" w:rsidRPr="002F0A4A" w:rsidRDefault="00B76029" w:rsidP="002F0A4A">
      <w:pPr>
        <w:pStyle w:val="-LettreTexteGEDA"/>
        <w:numPr>
          <w:ilvl w:val="0"/>
          <w:numId w:val="13"/>
        </w:numPr>
        <w:tabs>
          <w:tab w:val="clear" w:pos="1211"/>
        </w:tabs>
        <w:ind w:left="1134" w:hanging="283"/>
        <w:textAlignment w:val="auto"/>
        <w:rPr>
          <w:rFonts w:ascii="Cambria" w:hAnsi="Cambria"/>
          <w:noProof w:val="0"/>
          <w:szCs w:val="24"/>
        </w:rPr>
      </w:pPr>
      <w:r>
        <w:rPr>
          <w:rFonts w:ascii="Cambria" w:hAnsi="Cambria"/>
          <w:noProof w:val="0"/>
          <w:szCs w:val="24"/>
        </w:rPr>
        <w:t xml:space="preserve">1 million </w:t>
      </w:r>
      <w:proofErr w:type="spellStart"/>
      <w:r>
        <w:rPr>
          <w:rFonts w:ascii="Cambria" w:hAnsi="Cambria"/>
          <w:noProof w:val="0"/>
          <w:szCs w:val="24"/>
        </w:rPr>
        <w:t>Fcfp</w:t>
      </w:r>
      <w:proofErr w:type="spellEnd"/>
      <w:r w:rsidR="002F0A4A" w:rsidRPr="002F0A4A">
        <w:rPr>
          <w:rFonts w:ascii="Cambria" w:hAnsi="Cambria"/>
          <w:noProof w:val="0"/>
          <w:szCs w:val="24"/>
        </w:rPr>
        <w:t xml:space="preserve"> en faveur de l’association </w:t>
      </w:r>
      <w:r w:rsidR="002F0A4A" w:rsidRPr="002F0A4A">
        <w:rPr>
          <w:rFonts w:ascii="Cambria" w:hAnsi="Cambria"/>
          <w:szCs w:val="24"/>
        </w:rPr>
        <w:t>Union du Sport Scolaire Polynésien - USSP</w:t>
      </w:r>
      <w:r w:rsidR="002F0A4A" w:rsidRPr="002F0A4A">
        <w:rPr>
          <w:rFonts w:ascii="Cambria" w:hAnsi="Cambria"/>
          <w:noProof w:val="0"/>
          <w:szCs w:val="24"/>
        </w:rPr>
        <w:t xml:space="preserve"> pour </w:t>
      </w:r>
      <w:r w:rsidR="002F0A4A" w:rsidRPr="002F0A4A">
        <w:rPr>
          <w:rFonts w:ascii="Cambria" w:hAnsi="Cambria"/>
          <w:szCs w:val="24"/>
        </w:rPr>
        <w:t>l’organisation du programme intitulé « Challenge bien dans mon corps » au titre de l’exercice 2020</w:t>
      </w:r>
      <w:r w:rsidR="002F0A4A" w:rsidRPr="002F0A4A">
        <w:rPr>
          <w:rFonts w:ascii="Cambria" w:hAnsi="Cambria"/>
          <w:noProof w:val="0"/>
          <w:szCs w:val="24"/>
        </w:rPr>
        <w:t> ;</w:t>
      </w:r>
    </w:p>
    <w:p w14:paraId="7BE0B885" w14:textId="4A8AAA57" w:rsidR="002F0A4A" w:rsidRPr="002F0A4A" w:rsidRDefault="00B76029" w:rsidP="002F0A4A">
      <w:pPr>
        <w:pStyle w:val="-LettreTexteGEDA"/>
        <w:numPr>
          <w:ilvl w:val="0"/>
          <w:numId w:val="13"/>
        </w:numPr>
        <w:tabs>
          <w:tab w:val="clear" w:pos="1211"/>
        </w:tabs>
        <w:ind w:left="1134" w:hanging="283"/>
        <w:textAlignment w:val="auto"/>
        <w:rPr>
          <w:rFonts w:ascii="Cambria" w:hAnsi="Cambria"/>
          <w:noProof w:val="0"/>
          <w:szCs w:val="24"/>
        </w:rPr>
      </w:pPr>
      <w:r>
        <w:rPr>
          <w:rFonts w:ascii="Cambria" w:hAnsi="Cambria"/>
          <w:noProof w:val="0"/>
          <w:szCs w:val="24"/>
        </w:rPr>
        <w:t xml:space="preserve">1 million </w:t>
      </w:r>
      <w:proofErr w:type="spellStart"/>
      <w:r>
        <w:rPr>
          <w:rFonts w:ascii="Cambria" w:hAnsi="Cambria"/>
          <w:noProof w:val="0"/>
          <w:szCs w:val="24"/>
        </w:rPr>
        <w:t>Fcfp</w:t>
      </w:r>
      <w:proofErr w:type="spellEnd"/>
      <w:r>
        <w:rPr>
          <w:rFonts w:ascii="Cambria" w:hAnsi="Cambria"/>
          <w:noProof w:val="0"/>
          <w:szCs w:val="24"/>
        </w:rPr>
        <w:t xml:space="preserve"> </w:t>
      </w:r>
      <w:r w:rsidR="002F0A4A" w:rsidRPr="002F0A4A">
        <w:rPr>
          <w:rFonts w:ascii="Cambria" w:hAnsi="Cambria"/>
          <w:noProof w:val="0"/>
          <w:szCs w:val="24"/>
        </w:rPr>
        <w:t xml:space="preserve">en faveur de l’association </w:t>
      </w:r>
      <w:r w:rsidR="002F0A4A" w:rsidRPr="002F0A4A">
        <w:rPr>
          <w:rFonts w:ascii="Cambria" w:hAnsi="Cambria"/>
          <w:szCs w:val="24"/>
        </w:rPr>
        <w:t>Union du Sport Scolaire Polynésien - USSP</w:t>
      </w:r>
      <w:r w:rsidR="002F0A4A" w:rsidRPr="002F0A4A">
        <w:rPr>
          <w:rFonts w:ascii="Cambria" w:hAnsi="Cambria"/>
          <w:noProof w:val="0"/>
          <w:szCs w:val="24"/>
        </w:rPr>
        <w:t xml:space="preserve"> pour </w:t>
      </w:r>
      <w:r w:rsidR="002F0A4A" w:rsidRPr="002F0A4A">
        <w:rPr>
          <w:rFonts w:ascii="Cambria" w:hAnsi="Cambria"/>
          <w:szCs w:val="24"/>
        </w:rPr>
        <w:t>l’organisation du programme intitulé « Marche pour ta santé » au titre de l’exercice 2020</w:t>
      </w:r>
      <w:r w:rsidR="002F0A4A" w:rsidRPr="002F0A4A">
        <w:rPr>
          <w:rFonts w:ascii="Cambria" w:hAnsi="Cambria"/>
          <w:noProof w:val="0"/>
          <w:szCs w:val="24"/>
        </w:rPr>
        <w:t> ;</w:t>
      </w:r>
    </w:p>
    <w:p w14:paraId="7713C88A" w14:textId="08455054" w:rsidR="002F0A4A" w:rsidRPr="002F0A4A" w:rsidRDefault="00B76029" w:rsidP="002F0A4A">
      <w:pPr>
        <w:pStyle w:val="-LettreTexteGEDA"/>
        <w:numPr>
          <w:ilvl w:val="0"/>
          <w:numId w:val="13"/>
        </w:numPr>
        <w:tabs>
          <w:tab w:val="clear" w:pos="1211"/>
        </w:tabs>
        <w:ind w:left="1134" w:hanging="283"/>
        <w:textAlignment w:val="auto"/>
        <w:rPr>
          <w:rFonts w:ascii="Cambria" w:hAnsi="Cambria"/>
          <w:noProof w:val="0"/>
          <w:szCs w:val="24"/>
        </w:rPr>
      </w:pPr>
      <w:r>
        <w:rPr>
          <w:rFonts w:ascii="Cambria" w:hAnsi="Cambria"/>
          <w:noProof w:val="0"/>
          <w:szCs w:val="24"/>
        </w:rPr>
        <w:t xml:space="preserve">3,5 millions </w:t>
      </w:r>
      <w:proofErr w:type="spellStart"/>
      <w:r>
        <w:rPr>
          <w:rFonts w:ascii="Cambria" w:hAnsi="Cambria"/>
          <w:noProof w:val="0"/>
          <w:szCs w:val="24"/>
        </w:rPr>
        <w:t>Fcfp</w:t>
      </w:r>
      <w:proofErr w:type="spellEnd"/>
      <w:r w:rsidR="002F0A4A" w:rsidRPr="002F0A4A">
        <w:rPr>
          <w:rFonts w:ascii="Cambria" w:hAnsi="Cambria"/>
          <w:noProof w:val="0"/>
          <w:szCs w:val="24"/>
        </w:rPr>
        <w:t xml:space="preserve"> en faveur de l’association </w:t>
      </w:r>
      <w:r w:rsidR="002F0A4A" w:rsidRPr="002F0A4A">
        <w:rPr>
          <w:rFonts w:ascii="Cambria" w:hAnsi="Cambria"/>
          <w:szCs w:val="24"/>
        </w:rPr>
        <w:t>Union du Sport Scolaire Polynésien - USSP</w:t>
      </w:r>
      <w:r w:rsidR="002F0A4A" w:rsidRPr="002F0A4A">
        <w:rPr>
          <w:rFonts w:ascii="Cambria" w:hAnsi="Cambria"/>
          <w:noProof w:val="0"/>
          <w:szCs w:val="24"/>
        </w:rPr>
        <w:t xml:space="preserve"> pour </w:t>
      </w:r>
      <w:r w:rsidR="002F0A4A" w:rsidRPr="002F0A4A">
        <w:rPr>
          <w:rFonts w:ascii="Cambria" w:hAnsi="Cambria"/>
          <w:szCs w:val="24"/>
        </w:rPr>
        <w:t>l’activité générale des associations sportives scolaires et rencontres inter-établissements</w:t>
      </w:r>
      <w:r w:rsidR="002F0A4A" w:rsidRPr="002F0A4A">
        <w:rPr>
          <w:rFonts w:ascii="Cambria" w:hAnsi="Cambria"/>
          <w:noProof w:val="0"/>
          <w:szCs w:val="24"/>
        </w:rPr>
        <w:t> ;</w:t>
      </w:r>
    </w:p>
    <w:p w14:paraId="4D014AA5" w14:textId="11D352FF" w:rsidR="002F0A4A" w:rsidRPr="002F0A4A" w:rsidRDefault="00B76029" w:rsidP="002F0A4A">
      <w:pPr>
        <w:pStyle w:val="-LettreTexteGEDA"/>
        <w:numPr>
          <w:ilvl w:val="0"/>
          <w:numId w:val="13"/>
        </w:numPr>
        <w:tabs>
          <w:tab w:val="clear" w:pos="1211"/>
        </w:tabs>
        <w:ind w:left="1134" w:hanging="283"/>
        <w:textAlignment w:val="auto"/>
        <w:rPr>
          <w:rFonts w:ascii="Cambria" w:hAnsi="Cambria"/>
          <w:noProof w:val="0"/>
          <w:szCs w:val="24"/>
        </w:rPr>
      </w:pPr>
      <w:r>
        <w:rPr>
          <w:rFonts w:ascii="Cambria" w:hAnsi="Cambria"/>
          <w:noProof w:val="0"/>
          <w:szCs w:val="24"/>
        </w:rPr>
        <w:t xml:space="preserve">8 millions </w:t>
      </w:r>
      <w:proofErr w:type="spellStart"/>
      <w:r>
        <w:rPr>
          <w:rFonts w:ascii="Cambria" w:hAnsi="Cambria"/>
          <w:noProof w:val="0"/>
          <w:szCs w:val="24"/>
        </w:rPr>
        <w:t>Fcfp</w:t>
      </w:r>
      <w:proofErr w:type="spellEnd"/>
      <w:r w:rsidR="002F0A4A" w:rsidRPr="002F0A4A">
        <w:rPr>
          <w:rFonts w:ascii="Cambria" w:hAnsi="Cambria"/>
          <w:noProof w:val="0"/>
          <w:szCs w:val="24"/>
        </w:rPr>
        <w:t xml:space="preserve"> en faveur de la Fédération tahitienne de natation pour la mise en œuvre de son projet de piscine mobile « </w:t>
      </w:r>
      <w:proofErr w:type="spellStart"/>
      <w:r w:rsidR="002F0A4A" w:rsidRPr="002F0A4A">
        <w:rPr>
          <w:rFonts w:ascii="Cambria" w:hAnsi="Cambria"/>
          <w:noProof w:val="0"/>
          <w:szCs w:val="24"/>
        </w:rPr>
        <w:t>Vai</w:t>
      </w:r>
      <w:proofErr w:type="spellEnd"/>
      <w:r w:rsidR="002F0A4A" w:rsidRPr="002F0A4A">
        <w:rPr>
          <w:rFonts w:ascii="Cambria" w:hAnsi="Cambria"/>
          <w:noProof w:val="0"/>
          <w:szCs w:val="24"/>
        </w:rPr>
        <w:t xml:space="preserve"> </w:t>
      </w:r>
      <w:proofErr w:type="spellStart"/>
      <w:r w:rsidR="002F0A4A" w:rsidRPr="002F0A4A">
        <w:rPr>
          <w:rFonts w:ascii="Cambria" w:hAnsi="Cambria"/>
          <w:noProof w:val="0"/>
          <w:szCs w:val="24"/>
        </w:rPr>
        <w:t>Mane’e</w:t>
      </w:r>
      <w:proofErr w:type="spellEnd"/>
      <w:r w:rsidR="002F0A4A" w:rsidRPr="002F0A4A">
        <w:rPr>
          <w:rFonts w:ascii="Cambria" w:hAnsi="Cambria"/>
          <w:noProof w:val="0"/>
          <w:szCs w:val="24"/>
        </w:rPr>
        <w:t> »pour l’année scolaire 2020-2021.</w:t>
      </w:r>
    </w:p>
    <w:p w14:paraId="4599872A" w14:textId="1D9734E3" w:rsidR="002F0A4A" w:rsidRPr="002F0A4A" w:rsidRDefault="002F0A4A" w:rsidP="002F0A4A">
      <w:pPr>
        <w:pStyle w:val="-LettreTexteGEDA"/>
        <w:numPr>
          <w:ilvl w:val="0"/>
          <w:numId w:val="13"/>
        </w:numPr>
        <w:tabs>
          <w:tab w:val="clear" w:pos="1211"/>
        </w:tabs>
        <w:ind w:left="1134" w:hanging="283"/>
        <w:textAlignment w:val="auto"/>
        <w:rPr>
          <w:rFonts w:ascii="Cambria" w:hAnsi="Cambria"/>
          <w:noProof w:val="0"/>
          <w:szCs w:val="24"/>
        </w:rPr>
      </w:pPr>
      <w:r w:rsidRPr="002F0A4A">
        <w:rPr>
          <w:rFonts w:ascii="Cambria" w:hAnsi="Cambria"/>
          <w:noProof w:val="0"/>
          <w:szCs w:val="24"/>
        </w:rPr>
        <w:t>4 356 546  </w:t>
      </w:r>
      <w:proofErr w:type="spellStart"/>
      <w:r w:rsidRPr="002F0A4A">
        <w:rPr>
          <w:rFonts w:ascii="Cambria" w:hAnsi="Cambria"/>
          <w:noProof w:val="0"/>
          <w:szCs w:val="24"/>
        </w:rPr>
        <w:t>F</w:t>
      </w:r>
      <w:r w:rsidR="00B76029">
        <w:rPr>
          <w:rFonts w:ascii="Cambria" w:hAnsi="Cambria"/>
          <w:noProof w:val="0"/>
          <w:szCs w:val="24"/>
        </w:rPr>
        <w:t>cfp</w:t>
      </w:r>
      <w:proofErr w:type="spellEnd"/>
      <w:r w:rsidR="00B76029">
        <w:rPr>
          <w:rFonts w:ascii="Cambria" w:hAnsi="Cambria"/>
          <w:noProof w:val="0"/>
          <w:szCs w:val="24"/>
        </w:rPr>
        <w:t xml:space="preserve"> </w:t>
      </w:r>
      <w:r w:rsidRPr="002F0A4A">
        <w:rPr>
          <w:rFonts w:ascii="Cambria" w:hAnsi="Cambria"/>
          <w:noProof w:val="0"/>
          <w:szCs w:val="24"/>
        </w:rPr>
        <w:t>en faveur de l’association Les petits princes d’</w:t>
      </w:r>
      <w:proofErr w:type="spellStart"/>
      <w:r w:rsidRPr="002F0A4A">
        <w:rPr>
          <w:rFonts w:ascii="Cambria" w:hAnsi="Cambria"/>
          <w:noProof w:val="0"/>
          <w:szCs w:val="24"/>
        </w:rPr>
        <w:t>Aimeho</w:t>
      </w:r>
      <w:proofErr w:type="spellEnd"/>
      <w:r w:rsidRPr="002F0A4A">
        <w:rPr>
          <w:rFonts w:ascii="Cambria" w:hAnsi="Cambria"/>
          <w:noProof w:val="0"/>
          <w:szCs w:val="24"/>
        </w:rPr>
        <w:t>, pour l’activité générale des « Ecoles en santé » au titre de l’exercice 2020.</w:t>
      </w:r>
    </w:p>
    <w:p w14:paraId="2DE32D53" w14:textId="77777777" w:rsidR="002F0A4A" w:rsidRPr="002F0A4A" w:rsidRDefault="002F0A4A" w:rsidP="002F0A4A">
      <w:pPr>
        <w:pStyle w:val="-LettreTexteGEDA"/>
        <w:numPr>
          <w:ilvl w:val="0"/>
          <w:numId w:val="13"/>
        </w:numPr>
        <w:tabs>
          <w:tab w:val="clear" w:pos="1211"/>
        </w:tabs>
        <w:ind w:left="1134" w:hanging="283"/>
        <w:rPr>
          <w:rFonts w:ascii="Cambria" w:hAnsi="Cambria"/>
          <w:noProof w:val="0"/>
          <w:szCs w:val="24"/>
        </w:rPr>
      </w:pPr>
      <w:r w:rsidRPr="002F0A4A">
        <w:rPr>
          <w:rFonts w:ascii="Cambria" w:hAnsi="Cambria"/>
          <w:noProof w:val="0"/>
          <w:szCs w:val="24"/>
        </w:rPr>
        <w:t xml:space="preserve">un montant de trois cent quarante mille francs (340 000  F CFP) en faveur de la Fédération d’Athlétisme de Polynésie française pour </w:t>
      </w:r>
      <w:r w:rsidRPr="002F0A4A">
        <w:rPr>
          <w:rFonts w:ascii="Cambria" w:hAnsi="Cambria"/>
          <w:szCs w:val="24"/>
        </w:rPr>
        <w:t>la mise en œuvre du programme intitulé « Tuaro tuiau tauira’a » au titre de l’exercice 2020</w:t>
      </w:r>
      <w:r w:rsidRPr="002F0A4A">
        <w:rPr>
          <w:rFonts w:ascii="Cambria" w:hAnsi="Cambria"/>
          <w:noProof w:val="0"/>
          <w:szCs w:val="24"/>
        </w:rPr>
        <w:t> ;</w:t>
      </w:r>
    </w:p>
    <w:p w14:paraId="7F4EA589" w14:textId="25EF762F" w:rsidR="002F0A4A" w:rsidRPr="002F0A4A" w:rsidRDefault="00B76029" w:rsidP="002F0A4A">
      <w:pPr>
        <w:pStyle w:val="-LettreTexteGEDA"/>
        <w:numPr>
          <w:ilvl w:val="0"/>
          <w:numId w:val="13"/>
        </w:numPr>
        <w:tabs>
          <w:tab w:val="clear" w:pos="1211"/>
        </w:tabs>
        <w:ind w:left="1134" w:hanging="283"/>
        <w:rPr>
          <w:rFonts w:ascii="Cambria" w:hAnsi="Cambria"/>
          <w:noProof w:val="0"/>
          <w:szCs w:val="24"/>
        </w:rPr>
      </w:pPr>
      <w:r>
        <w:rPr>
          <w:rFonts w:ascii="Cambria" w:hAnsi="Cambria"/>
          <w:noProof w:val="0"/>
          <w:szCs w:val="24"/>
        </w:rPr>
        <w:t>695 450 </w:t>
      </w:r>
      <w:proofErr w:type="spellStart"/>
      <w:r w:rsidR="002F0A4A" w:rsidRPr="002F0A4A">
        <w:rPr>
          <w:rFonts w:ascii="Cambria" w:hAnsi="Cambria"/>
          <w:noProof w:val="0"/>
          <w:szCs w:val="24"/>
        </w:rPr>
        <w:t>F</w:t>
      </w:r>
      <w:r>
        <w:rPr>
          <w:rFonts w:ascii="Cambria" w:hAnsi="Cambria"/>
          <w:noProof w:val="0"/>
          <w:szCs w:val="24"/>
        </w:rPr>
        <w:t>cfp</w:t>
      </w:r>
      <w:proofErr w:type="spellEnd"/>
      <w:r>
        <w:rPr>
          <w:rFonts w:ascii="Cambria" w:hAnsi="Cambria"/>
          <w:noProof w:val="0"/>
          <w:szCs w:val="24"/>
        </w:rPr>
        <w:t xml:space="preserve"> </w:t>
      </w:r>
      <w:r w:rsidR="002F0A4A" w:rsidRPr="002F0A4A">
        <w:rPr>
          <w:rFonts w:ascii="Cambria" w:hAnsi="Cambria"/>
          <w:noProof w:val="0"/>
          <w:szCs w:val="24"/>
        </w:rPr>
        <w:t xml:space="preserve">en faveur de l’association </w:t>
      </w:r>
      <w:r w:rsidR="002F0A4A" w:rsidRPr="002F0A4A">
        <w:rPr>
          <w:rFonts w:ascii="Cambria" w:hAnsi="Cambria"/>
          <w:szCs w:val="24"/>
        </w:rPr>
        <w:t>Team Moorea 1</w:t>
      </w:r>
      <w:r w:rsidR="002F0A4A" w:rsidRPr="002F0A4A">
        <w:rPr>
          <w:rFonts w:ascii="Cambria" w:hAnsi="Cambria"/>
          <w:noProof w:val="0"/>
          <w:szCs w:val="24"/>
        </w:rPr>
        <w:t xml:space="preserve"> pour </w:t>
      </w:r>
      <w:r w:rsidR="002F0A4A" w:rsidRPr="002F0A4A">
        <w:rPr>
          <w:rFonts w:ascii="Cambria" w:hAnsi="Cambria"/>
          <w:szCs w:val="24"/>
        </w:rPr>
        <w:t>l’organisation d’un programme de lutte contre les addictions et la délinquence au titre de l’exercice 2020</w:t>
      </w:r>
      <w:r w:rsidR="002F0A4A" w:rsidRPr="002F0A4A">
        <w:rPr>
          <w:rFonts w:ascii="Cambria" w:hAnsi="Cambria"/>
          <w:noProof w:val="0"/>
          <w:szCs w:val="24"/>
        </w:rPr>
        <w:t> ;</w:t>
      </w:r>
    </w:p>
    <w:p w14:paraId="0731778D" w14:textId="5E9EC047" w:rsidR="002F0A4A" w:rsidRPr="002F0A4A" w:rsidRDefault="00B76029" w:rsidP="002F0A4A">
      <w:pPr>
        <w:pStyle w:val="-LettreTexteGEDA"/>
        <w:numPr>
          <w:ilvl w:val="0"/>
          <w:numId w:val="13"/>
        </w:numPr>
        <w:tabs>
          <w:tab w:val="clear" w:pos="1211"/>
        </w:tabs>
        <w:ind w:left="1134" w:hanging="283"/>
        <w:rPr>
          <w:rFonts w:ascii="Cambria" w:hAnsi="Cambria"/>
          <w:noProof w:val="0"/>
          <w:szCs w:val="24"/>
        </w:rPr>
      </w:pPr>
      <w:r>
        <w:rPr>
          <w:rFonts w:ascii="Cambria" w:hAnsi="Cambria"/>
          <w:noProof w:val="0"/>
          <w:szCs w:val="24"/>
        </w:rPr>
        <w:t>570 000  </w:t>
      </w:r>
      <w:proofErr w:type="spellStart"/>
      <w:r>
        <w:rPr>
          <w:rFonts w:ascii="Cambria" w:hAnsi="Cambria"/>
          <w:noProof w:val="0"/>
          <w:szCs w:val="24"/>
        </w:rPr>
        <w:t>Fcfp</w:t>
      </w:r>
      <w:proofErr w:type="spellEnd"/>
      <w:r w:rsidR="002F0A4A" w:rsidRPr="002F0A4A">
        <w:rPr>
          <w:rFonts w:ascii="Cambria" w:hAnsi="Cambria"/>
          <w:noProof w:val="0"/>
          <w:szCs w:val="24"/>
        </w:rPr>
        <w:t xml:space="preserve"> en faveur de la Fédération polynésienne de lutte, arts martiaux mixtes, </w:t>
      </w:r>
      <w:proofErr w:type="spellStart"/>
      <w:r w:rsidR="002F0A4A" w:rsidRPr="002F0A4A">
        <w:rPr>
          <w:rFonts w:ascii="Cambria" w:hAnsi="Cambria"/>
          <w:noProof w:val="0"/>
          <w:szCs w:val="24"/>
        </w:rPr>
        <w:t>jiu</w:t>
      </w:r>
      <w:proofErr w:type="spellEnd"/>
      <w:r w:rsidR="002F0A4A" w:rsidRPr="002F0A4A">
        <w:rPr>
          <w:rFonts w:ascii="Cambria" w:hAnsi="Cambria"/>
          <w:noProof w:val="0"/>
          <w:szCs w:val="24"/>
        </w:rPr>
        <w:t xml:space="preserve"> </w:t>
      </w:r>
      <w:proofErr w:type="spellStart"/>
      <w:r w:rsidR="002F0A4A" w:rsidRPr="002F0A4A">
        <w:rPr>
          <w:rFonts w:ascii="Cambria" w:hAnsi="Cambria"/>
          <w:noProof w:val="0"/>
          <w:szCs w:val="24"/>
        </w:rPr>
        <w:t>jitsu</w:t>
      </w:r>
      <w:proofErr w:type="spellEnd"/>
      <w:r w:rsidR="002F0A4A" w:rsidRPr="002F0A4A">
        <w:rPr>
          <w:rFonts w:ascii="Cambria" w:hAnsi="Cambria"/>
          <w:noProof w:val="0"/>
          <w:szCs w:val="24"/>
        </w:rPr>
        <w:t xml:space="preserve"> et disciplines associées pour </w:t>
      </w:r>
      <w:r w:rsidR="002F0A4A" w:rsidRPr="002F0A4A">
        <w:rPr>
          <w:rFonts w:ascii="Cambria" w:hAnsi="Cambria"/>
          <w:szCs w:val="24"/>
        </w:rPr>
        <w:t>la mise en œuvre d’un programme de lutte contre les addictions au titre de l’exercice 2020</w:t>
      </w:r>
      <w:r w:rsidR="002F0A4A" w:rsidRPr="002F0A4A">
        <w:rPr>
          <w:rFonts w:ascii="Cambria" w:hAnsi="Cambria"/>
          <w:noProof w:val="0"/>
          <w:szCs w:val="24"/>
        </w:rPr>
        <w:t> ;</w:t>
      </w:r>
    </w:p>
    <w:p w14:paraId="0FC41C97" w14:textId="2DC322FC" w:rsidR="002F0A4A" w:rsidRPr="002F0A4A" w:rsidRDefault="002F0A4A" w:rsidP="002F0A4A">
      <w:pPr>
        <w:pStyle w:val="-LettreTexteGEDA"/>
        <w:numPr>
          <w:ilvl w:val="0"/>
          <w:numId w:val="13"/>
        </w:numPr>
        <w:tabs>
          <w:tab w:val="clear" w:pos="1211"/>
        </w:tabs>
        <w:ind w:left="1134" w:hanging="283"/>
        <w:rPr>
          <w:rFonts w:ascii="Cambria" w:hAnsi="Cambria"/>
          <w:noProof w:val="0"/>
          <w:szCs w:val="24"/>
        </w:rPr>
      </w:pPr>
      <w:r w:rsidRPr="002F0A4A">
        <w:rPr>
          <w:rFonts w:ascii="Cambria" w:hAnsi="Cambria"/>
          <w:noProof w:val="0"/>
          <w:szCs w:val="24"/>
        </w:rPr>
        <w:t xml:space="preserve">2 625 000 </w:t>
      </w:r>
      <w:proofErr w:type="spellStart"/>
      <w:r w:rsidRPr="002F0A4A">
        <w:rPr>
          <w:rFonts w:ascii="Cambria" w:hAnsi="Cambria"/>
          <w:noProof w:val="0"/>
          <w:szCs w:val="24"/>
        </w:rPr>
        <w:t>F</w:t>
      </w:r>
      <w:r w:rsidR="00B76029">
        <w:rPr>
          <w:rFonts w:ascii="Cambria" w:hAnsi="Cambria"/>
          <w:noProof w:val="0"/>
          <w:szCs w:val="24"/>
        </w:rPr>
        <w:t>cfp</w:t>
      </w:r>
      <w:proofErr w:type="spellEnd"/>
      <w:r w:rsidR="00B76029">
        <w:rPr>
          <w:rFonts w:ascii="Cambria" w:hAnsi="Cambria"/>
          <w:noProof w:val="0"/>
          <w:szCs w:val="24"/>
        </w:rPr>
        <w:t xml:space="preserve"> </w:t>
      </w:r>
      <w:r w:rsidRPr="002F0A4A">
        <w:rPr>
          <w:rFonts w:ascii="Cambria" w:hAnsi="Cambria"/>
          <w:noProof w:val="0"/>
          <w:szCs w:val="24"/>
        </w:rPr>
        <w:t xml:space="preserve">en faveur de l’association </w:t>
      </w:r>
      <w:proofErr w:type="spellStart"/>
      <w:r w:rsidRPr="002F0A4A">
        <w:rPr>
          <w:rFonts w:ascii="Cambria" w:hAnsi="Cambria"/>
          <w:noProof w:val="0"/>
          <w:szCs w:val="24"/>
        </w:rPr>
        <w:t>A</w:t>
      </w:r>
      <w:r w:rsidR="00B76029">
        <w:rPr>
          <w:rFonts w:ascii="Cambria" w:hAnsi="Cambria"/>
          <w:noProof w:val="0"/>
          <w:szCs w:val="24"/>
        </w:rPr>
        <w:t>pair</w:t>
      </w:r>
      <w:proofErr w:type="spellEnd"/>
      <w:r w:rsidRPr="002F0A4A">
        <w:rPr>
          <w:rFonts w:ascii="Cambria" w:hAnsi="Cambria"/>
          <w:noProof w:val="0"/>
          <w:szCs w:val="24"/>
        </w:rPr>
        <w:t xml:space="preserve"> </w:t>
      </w:r>
      <w:proofErr w:type="spellStart"/>
      <w:r w:rsidRPr="002F0A4A">
        <w:rPr>
          <w:rFonts w:ascii="Cambria" w:hAnsi="Cambria"/>
          <w:noProof w:val="0"/>
          <w:szCs w:val="24"/>
        </w:rPr>
        <w:t>A</w:t>
      </w:r>
      <w:r w:rsidR="00B76029">
        <w:rPr>
          <w:rFonts w:ascii="Cambria" w:hAnsi="Cambria"/>
          <w:noProof w:val="0"/>
          <w:szCs w:val="24"/>
        </w:rPr>
        <w:t>purad</w:t>
      </w:r>
      <w:proofErr w:type="spellEnd"/>
      <w:r w:rsidRPr="002F0A4A">
        <w:rPr>
          <w:rFonts w:ascii="Cambria" w:hAnsi="Cambria"/>
          <w:noProof w:val="0"/>
          <w:szCs w:val="24"/>
        </w:rPr>
        <w:t xml:space="preserve"> </w:t>
      </w:r>
      <w:r w:rsidRPr="002F0A4A">
        <w:rPr>
          <w:rFonts w:ascii="Cambria" w:hAnsi="Cambria"/>
          <w:szCs w:val="24"/>
        </w:rPr>
        <w:t>pour l’organisation du programme intitulé « E</w:t>
      </w:r>
      <w:r w:rsidR="00B76029">
        <w:rPr>
          <w:rFonts w:ascii="Cambria" w:hAnsi="Cambria"/>
          <w:szCs w:val="24"/>
        </w:rPr>
        <w:t>a</w:t>
      </w:r>
      <w:r w:rsidRPr="002F0A4A">
        <w:rPr>
          <w:rFonts w:ascii="Cambria" w:hAnsi="Cambria"/>
          <w:szCs w:val="24"/>
        </w:rPr>
        <w:t>’T</w:t>
      </w:r>
      <w:r w:rsidR="00B76029">
        <w:rPr>
          <w:rFonts w:ascii="Cambria" w:hAnsi="Cambria"/>
          <w:szCs w:val="24"/>
        </w:rPr>
        <w:t>uaro</w:t>
      </w:r>
      <w:r w:rsidRPr="002F0A4A">
        <w:rPr>
          <w:rFonts w:ascii="Cambria" w:hAnsi="Cambria"/>
          <w:szCs w:val="24"/>
        </w:rPr>
        <w:t>, sport en unité de dialyse » ;</w:t>
      </w:r>
    </w:p>
    <w:p w14:paraId="71898174" w14:textId="6FA16C89" w:rsidR="002F0A4A" w:rsidRPr="002F0A4A" w:rsidRDefault="00B76029" w:rsidP="002F0A4A">
      <w:pPr>
        <w:pStyle w:val="-LettreTexteGEDA"/>
        <w:numPr>
          <w:ilvl w:val="0"/>
          <w:numId w:val="13"/>
        </w:numPr>
        <w:tabs>
          <w:tab w:val="clear" w:pos="1211"/>
        </w:tabs>
        <w:ind w:left="1134" w:hanging="283"/>
        <w:rPr>
          <w:rFonts w:ascii="Cambria" w:hAnsi="Cambria"/>
          <w:noProof w:val="0"/>
          <w:szCs w:val="24"/>
        </w:rPr>
      </w:pPr>
      <w:r>
        <w:rPr>
          <w:rFonts w:ascii="Cambria" w:hAnsi="Cambria"/>
          <w:noProof w:val="0"/>
          <w:szCs w:val="24"/>
        </w:rPr>
        <w:t>300 000 </w:t>
      </w:r>
      <w:proofErr w:type="spellStart"/>
      <w:r>
        <w:rPr>
          <w:rFonts w:ascii="Cambria" w:hAnsi="Cambria"/>
          <w:noProof w:val="0"/>
          <w:szCs w:val="24"/>
        </w:rPr>
        <w:t>Fcfp</w:t>
      </w:r>
      <w:proofErr w:type="spellEnd"/>
      <w:r w:rsidR="002F0A4A" w:rsidRPr="002F0A4A">
        <w:rPr>
          <w:rFonts w:ascii="Cambria" w:hAnsi="Cambria"/>
          <w:noProof w:val="0"/>
          <w:szCs w:val="24"/>
        </w:rPr>
        <w:t xml:space="preserve"> en faveur de la Féd</w:t>
      </w:r>
      <w:r>
        <w:rPr>
          <w:rFonts w:ascii="Cambria" w:hAnsi="Cambria"/>
          <w:noProof w:val="0"/>
          <w:szCs w:val="24"/>
        </w:rPr>
        <w:t xml:space="preserve">ération tahitienne de cyclisme </w:t>
      </w:r>
      <w:r w:rsidR="002F0A4A" w:rsidRPr="002F0A4A">
        <w:rPr>
          <w:rFonts w:ascii="Cambria" w:hAnsi="Cambria"/>
          <w:noProof w:val="0"/>
          <w:szCs w:val="24"/>
        </w:rPr>
        <w:t>pour l’organisation de l’action intitulée « Cyclo cancer 2020 ».</w:t>
      </w:r>
    </w:p>
    <w:p w14:paraId="43382C9C" w14:textId="77777777" w:rsidR="002F0A4A" w:rsidRPr="002F0A4A" w:rsidRDefault="002F0A4A" w:rsidP="002F0A4A">
      <w:pPr>
        <w:pStyle w:val="-LettreTexteGEDA"/>
        <w:ind w:firstLine="0"/>
        <w:rPr>
          <w:rFonts w:ascii="Cambria" w:hAnsi="Cambria"/>
          <w:noProof w:val="0"/>
          <w:szCs w:val="24"/>
        </w:rPr>
      </w:pPr>
      <w:r w:rsidRPr="002F0A4A">
        <w:rPr>
          <w:rFonts w:ascii="Cambria" w:hAnsi="Cambria"/>
          <w:noProof w:val="0"/>
          <w:szCs w:val="24"/>
        </w:rPr>
        <w:t>Ces subventions</w:t>
      </w:r>
      <w:r w:rsidRPr="002F0A4A">
        <w:rPr>
          <w:rFonts w:ascii="Cambria" w:hAnsi="Cambria"/>
          <w:szCs w:val="24"/>
        </w:rPr>
        <w:t xml:space="preserve"> </w:t>
      </w:r>
      <w:r w:rsidRPr="002F0A4A">
        <w:rPr>
          <w:rFonts w:ascii="Cambria" w:hAnsi="Cambria"/>
          <w:noProof w:val="0"/>
          <w:szCs w:val="24"/>
        </w:rPr>
        <w:t>ont pour objectif de promouvoir les activités physiques en relation avec la santé, l’hygiène alimentaire et la lutte contre les addictions quelles qu’elles soient.</w:t>
      </w:r>
    </w:p>
    <w:p w14:paraId="2996C8AE" w14:textId="77777777" w:rsidR="003A5FAD" w:rsidRPr="00907F67" w:rsidRDefault="003A5FAD" w:rsidP="003A5FAD">
      <w:pPr>
        <w:tabs>
          <w:tab w:val="left" w:pos="1990"/>
          <w:tab w:val="left" w:pos="3880"/>
        </w:tabs>
        <w:spacing w:before="120" w:after="240"/>
        <w:jc w:val="both"/>
        <w:rPr>
          <w:rFonts w:asciiTheme="majorHAnsi" w:hAnsiTheme="majorHAnsi"/>
        </w:rPr>
      </w:pPr>
    </w:p>
    <w:p w14:paraId="5D92AA5C" w14:textId="77777777" w:rsidR="003A5FAD" w:rsidRPr="009A1B30"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b/>
        </w:rPr>
        <w:t>Arrêtés d’application des</w:t>
      </w:r>
      <w:r>
        <w:rPr>
          <w:rFonts w:asciiTheme="majorHAnsi" w:hAnsiTheme="majorHAnsi"/>
          <w:b/>
        </w:rPr>
        <w:t xml:space="preserve"> aides financières au numérique</w:t>
      </w:r>
      <w:r w:rsidRPr="009A1B30">
        <w:rPr>
          <w:rFonts w:asciiTheme="majorHAnsi" w:hAnsiTheme="majorHAnsi"/>
          <w:b/>
        </w:rPr>
        <w:t xml:space="preserve">: ACI, DAD et AID </w:t>
      </w:r>
    </w:p>
    <w:p w14:paraId="5E9E82B5" w14:textId="77777777" w:rsidR="003A5FAD" w:rsidRPr="009A1B30"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t>Dans le cadre de la mise en œuvre de sa stratégie en matière de développement numérique, le Gouvernement s’est fixé pour objectif de favoriser l’accès au digital et de soutenir l’innovation et l’économie numériques.</w:t>
      </w:r>
    </w:p>
    <w:p w14:paraId="02093A31" w14:textId="77777777" w:rsidR="003A5FAD" w:rsidRPr="009A1B30"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lastRenderedPageBreak/>
        <w:t>Aussi, dans une recherche de cohérence entre les différents dispositifs d’aide au développement de l’usage numérique au bénéfice du plus grand nombre de notre population, la ministre de l’Education a proposé les 3 arrêtés d’application simultanément suites aux modifications des dispositifs d’aide la connexion internet (ACI), d’aide au digital (DAD) et à la création du dispositif d’aide à l’inclusion digitale (AID).</w:t>
      </w:r>
    </w:p>
    <w:p w14:paraId="370A1483" w14:textId="77777777" w:rsidR="003A5FAD"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t>Dorénavant, toutes les demandes d’aide au numérique seront formulées uniquement en ligne sur le site in</w:t>
      </w:r>
      <w:r>
        <w:rPr>
          <w:rFonts w:asciiTheme="majorHAnsi" w:hAnsiTheme="majorHAnsi"/>
        </w:rPr>
        <w:t xml:space="preserve">ternet </w:t>
      </w:r>
      <w:hyperlink r:id="rId9" w:history="1">
        <w:r w:rsidRPr="00633812">
          <w:rPr>
            <w:rStyle w:val="Lienhypertexte"/>
            <w:rFonts w:asciiTheme="majorHAnsi" w:hAnsiTheme="majorHAnsi"/>
          </w:rPr>
          <w:t>www.mes-demarches.gov.pf</w:t>
        </w:r>
      </w:hyperlink>
    </w:p>
    <w:p w14:paraId="18C1AD9A" w14:textId="77777777" w:rsidR="003A5FAD" w:rsidRPr="009A1B30"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t>Depuis 2016, le dispositif d’aide à la connexion « Internet » des entreprises - ACI permet le raccordement, l’installation, l’accès à Internet, quel que soit le domaine d’activité, aux entreprises individuelles et aux personnes morales exerçant leur activité en Polynésie française.</w:t>
      </w:r>
    </w:p>
    <w:p w14:paraId="592DA66A" w14:textId="77777777" w:rsidR="003A5FAD" w:rsidRPr="009A1B30"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t xml:space="preserve">Afin d’augmenter l’attractivité de l’ACI et de soutenir au mieux les très petites entreprises (TPE) et les petites et moyennes entreprises (PME), il a été proposé, d’une part, d’augmenter le plafond de l’aide relative à la connexion internet ; et d’autre part, d’élargir la couverture de l’aide aux dépenses relatives à l’achat de matériel informatique pour les entreprises disposant d’un chiffre d’affaire annuel, inférieur ou égal à 20 millions </w:t>
      </w:r>
      <w:proofErr w:type="spellStart"/>
      <w:r w:rsidRPr="009A1B30">
        <w:rPr>
          <w:rFonts w:asciiTheme="majorHAnsi" w:hAnsiTheme="majorHAnsi"/>
        </w:rPr>
        <w:t>Fcfp</w:t>
      </w:r>
      <w:proofErr w:type="spellEnd"/>
      <w:r w:rsidRPr="009A1B30">
        <w:rPr>
          <w:rFonts w:asciiTheme="majorHAnsi" w:hAnsiTheme="majorHAnsi"/>
        </w:rPr>
        <w:t xml:space="preserve">. </w:t>
      </w:r>
    </w:p>
    <w:p w14:paraId="4756168F" w14:textId="77777777" w:rsidR="003A5FAD" w:rsidRPr="009A1B30"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t xml:space="preserve">Ainsi, l’ACI sera attribuée de la manière suivante : </w:t>
      </w:r>
    </w:p>
    <w:p w14:paraId="4CAC54EC" w14:textId="77777777" w:rsidR="003A5FAD" w:rsidRPr="009A1B30" w:rsidRDefault="003A5FAD" w:rsidP="003A5FAD">
      <w:pPr>
        <w:pStyle w:val="Paragraphedeliste"/>
        <w:numPr>
          <w:ilvl w:val="0"/>
          <w:numId w:val="25"/>
        </w:numPr>
        <w:tabs>
          <w:tab w:val="left" w:pos="1990"/>
          <w:tab w:val="left" w:pos="3880"/>
        </w:tabs>
        <w:spacing w:before="120" w:after="240"/>
        <w:jc w:val="both"/>
        <w:rPr>
          <w:rFonts w:asciiTheme="majorHAnsi" w:hAnsiTheme="majorHAnsi"/>
          <w:sz w:val="24"/>
          <w:szCs w:val="24"/>
        </w:rPr>
      </w:pPr>
      <w:r w:rsidRPr="009A1B30">
        <w:rPr>
          <w:rFonts w:asciiTheme="majorHAnsi" w:hAnsiTheme="majorHAnsi"/>
          <w:sz w:val="24"/>
          <w:szCs w:val="24"/>
        </w:rPr>
        <w:t xml:space="preserve">pour les personnes physiques ou morales dont le chiffre d’affaire annuel est inférieur ou égal à 20 millions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 xml:space="preserve">: </w:t>
      </w:r>
    </w:p>
    <w:p w14:paraId="0A42CDEF" w14:textId="77777777" w:rsidR="003A5FAD" w:rsidRPr="009A1B30" w:rsidRDefault="003A5FAD" w:rsidP="003A5FAD">
      <w:pPr>
        <w:pStyle w:val="Paragraphedeliste"/>
        <w:numPr>
          <w:ilvl w:val="1"/>
          <w:numId w:val="25"/>
        </w:numPr>
        <w:tabs>
          <w:tab w:val="left" w:pos="1990"/>
          <w:tab w:val="left" w:pos="3880"/>
        </w:tabs>
        <w:spacing w:before="120" w:after="240"/>
        <w:jc w:val="both"/>
        <w:rPr>
          <w:rFonts w:asciiTheme="majorHAnsi" w:hAnsiTheme="majorHAnsi"/>
          <w:sz w:val="24"/>
          <w:szCs w:val="24"/>
        </w:rPr>
      </w:pPr>
      <w:r w:rsidRPr="009A1B30">
        <w:rPr>
          <w:rFonts w:asciiTheme="majorHAnsi" w:hAnsiTheme="majorHAnsi"/>
          <w:sz w:val="24"/>
          <w:szCs w:val="24"/>
        </w:rPr>
        <w:t xml:space="preserve">une aide relative à la connexion internet d’un montant plafond de 300 000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 xml:space="preserve"> ne pouvant excéder 70% du montant total TTC des dépenses éligibles; </w:t>
      </w:r>
    </w:p>
    <w:p w14:paraId="3FE30864" w14:textId="77777777" w:rsidR="003A5FAD" w:rsidRPr="009A1B30" w:rsidRDefault="003A5FAD" w:rsidP="003A5FAD">
      <w:pPr>
        <w:pStyle w:val="Paragraphedeliste"/>
        <w:numPr>
          <w:ilvl w:val="1"/>
          <w:numId w:val="25"/>
        </w:numPr>
        <w:tabs>
          <w:tab w:val="left" w:pos="1990"/>
          <w:tab w:val="left" w:pos="3880"/>
        </w:tabs>
        <w:spacing w:before="120" w:after="240"/>
        <w:jc w:val="both"/>
        <w:rPr>
          <w:rFonts w:asciiTheme="majorHAnsi" w:hAnsiTheme="majorHAnsi"/>
          <w:sz w:val="24"/>
          <w:szCs w:val="24"/>
        </w:rPr>
      </w:pPr>
      <w:r w:rsidRPr="009A1B30">
        <w:rPr>
          <w:rFonts w:asciiTheme="majorHAnsi" w:hAnsiTheme="majorHAnsi"/>
          <w:sz w:val="24"/>
          <w:szCs w:val="24"/>
        </w:rPr>
        <w:t xml:space="preserve">et d’une aide relative à l’achat de matériel informatique d’un montant plafond de  150 000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 xml:space="preserve">, le prix unitaire de chaque matériel et/ou équipement éligible devant être inférieur à 50 000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 xml:space="preserve"> ;</w:t>
      </w:r>
    </w:p>
    <w:p w14:paraId="03C5B182" w14:textId="77777777" w:rsidR="003A5FAD" w:rsidRPr="009A1B30" w:rsidRDefault="003A5FAD" w:rsidP="003A5FAD">
      <w:pPr>
        <w:pStyle w:val="Paragraphedeliste"/>
        <w:numPr>
          <w:ilvl w:val="0"/>
          <w:numId w:val="25"/>
        </w:numPr>
        <w:tabs>
          <w:tab w:val="left" w:pos="1990"/>
          <w:tab w:val="left" w:pos="3880"/>
        </w:tabs>
        <w:spacing w:before="120" w:after="240"/>
        <w:jc w:val="both"/>
        <w:rPr>
          <w:rFonts w:asciiTheme="majorHAnsi" w:hAnsiTheme="majorHAnsi"/>
          <w:sz w:val="24"/>
          <w:szCs w:val="24"/>
        </w:rPr>
      </w:pPr>
      <w:r w:rsidRPr="009A1B30">
        <w:rPr>
          <w:rFonts w:asciiTheme="majorHAnsi" w:hAnsiTheme="majorHAnsi"/>
          <w:sz w:val="24"/>
          <w:szCs w:val="24"/>
        </w:rPr>
        <w:t xml:space="preserve">pour les personnes physiques ou morales dont le chiffre d’affaire annuel est supérieur à 20 millions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 xml:space="preserve">, une aide relative à la connexion internet d’un montant plafond de 200 000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 xml:space="preserve"> ne pouvant excéder 70% du montant total TTC des dépenses éligibles.</w:t>
      </w:r>
    </w:p>
    <w:p w14:paraId="52377F26" w14:textId="77777777" w:rsidR="003A5FAD" w:rsidRPr="009A1B30"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t>Depuis 2018, l</w:t>
      </w:r>
      <w:r>
        <w:rPr>
          <w:rFonts w:asciiTheme="majorHAnsi" w:hAnsiTheme="majorHAnsi"/>
        </w:rPr>
        <w:t>e dispositif d’aide au digital,</w:t>
      </w:r>
      <w:r w:rsidRPr="009A1B30">
        <w:rPr>
          <w:rFonts w:asciiTheme="majorHAnsi" w:hAnsiTheme="majorHAnsi"/>
        </w:rPr>
        <w:t xml:space="preserve"> DAD</w:t>
      </w:r>
      <w:r>
        <w:rPr>
          <w:rFonts w:asciiTheme="majorHAnsi" w:hAnsiTheme="majorHAnsi"/>
        </w:rPr>
        <w:t>,</w:t>
      </w:r>
      <w:r w:rsidRPr="009A1B30">
        <w:rPr>
          <w:rFonts w:asciiTheme="majorHAnsi" w:hAnsiTheme="majorHAnsi"/>
        </w:rPr>
        <w:t xml:space="preserve"> se veut être un outil en faveur de l’accompagnement des startups numériques et de la transition digitale des entreprises. Toutefois, le DAD doit pouvoir s’adapter pour répondre aux enjeux du moment. C’est dans ce sens que les modifications suivantes ont été proposées :</w:t>
      </w:r>
    </w:p>
    <w:p w14:paraId="3615B41D" w14:textId="77777777" w:rsidR="003A5FAD" w:rsidRPr="009A1B30"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t>Le montant de l’aide ne peut être supérieur à :</w:t>
      </w:r>
    </w:p>
    <w:p w14:paraId="79AB982B" w14:textId="77777777" w:rsidR="003A5FAD" w:rsidRPr="009A1B30" w:rsidRDefault="003A5FAD" w:rsidP="003A5FAD">
      <w:pPr>
        <w:pStyle w:val="Paragraphedeliste"/>
        <w:numPr>
          <w:ilvl w:val="0"/>
          <w:numId w:val="26"/>
        </w:numPr>
        <w:tabs>
          <w:tab w:val="left" w:pos="1990"/>
          <w:tab w:val="left" w:pos="3880"/>
        </w:tabs>
        <w:spacing w:before="120" w:after="240"/>
        <w:jc w:val="both"/>
        <w:rPr>
          <w:rFonts w:asciiTheme="majorHAnsi" w:hAnsiTheme="majorHAnsi"/>
          <w:sz w:val="24"/>
          <w:szCs w:val="24"/>
        </w:rPr>
      </w:pPr>
      <w:r w:rsidRPr="009A1B30">
        <w:rPr>
          <w:rFonts w:asciiTheme="majorHAnsi" w:hAnsiTheme="majorHAnsi"/>
          <w:sz w:val="24"/>
          <w:szCs w:val="24"/>
        </w:rPr>
        <w:t xml:space="preserve">2 000 000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 xml:space="preserve"> pour la catégorie « amorçage de startup », ni excéder 70% du montant total des dépenses réalisées en Polynésie française ; </w:t>
      </w:r>
    </w:p>
    <w:p w14:paraId="46F9AF71" w14:textId="77777777" w:rsidR="003A5FAD" w:rsidRPr="009A1B30" w:rsidRDefault="003A5FAD" w:rsidP="003A5FAD">
      <w:pPr>
        <w:pStyle w:val="Paragraphedeliste"/>
        <w:numPr>
          <w:ilvl w:val="0"/>
          <w:numId w:val="26"/>
        </w:numPr>
        <w:tabs>
          <w:tab w:val="left" w:pos="1990"/>
          <w:tab w:val="left" w:pos="3880"/>
        </w:tabs>
        <w:spacing w:before="120" w:after="240"/>
        <w:jc w:val="both"/>
        <w:rPr>
          <w:rFonts w:asciiTheme="majorHAnsi" w:hAnsiTheme="majorHAnsi"/>
          <w:sz w:val="24"/>
          <w:szCs w:val="24"/>
        </w:rPr>
      </w:pPr>
      <w:r w:rsidRPr="009A1B30">
        <w:rPr>
          <w:rFonts w:asciiTheme="majorHAnsi" w:hAnsiTheme="majorHAnsi"/>
          <w:sz w:val="24"/>
          <w:szCs w:val="24"/>
        </w:rPr>
        <w:t xml:space="preserve">4 000 000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 xml:space="preserve"> pour la catégorie « développement de startup », ni excéder 50% du montant total des dépenses réalisées en Polynésie française ;</w:t>
      </w:r>
    </w:p>
    <w:p w14:paraId="73CC6BC6" w14:textId="77777777" w:rsidR="003A5FAD" w:rsidRPr="009A1B30" w:rsidRDefault="003A5FAD" w:rsidP="003A5FAD">
      <w:pPr>
        <w:pStyle w:val="Paragraphedeliste"/>
        <w:numPr>
          <w:ilvl w:val="0"/>
          <w:numId w:val="26"/>
        </w:numPr>
        <w:tabs>
          <w:tab w:val="left" w:pos="1990"/>
          <w:tab w:val="left" w:pos="3880"/>
        </w:tabs>
        <w:spacing w:before="120" w:after="240"/>
        <w:jc w:val="both"/>
        <w:rPr>
          <w:rFonts w:asciiTheme="majorHAnsi" w:hAnsiTheme="majorHAnsi"/>
          <w:sz w:val="24"/>
          <w:szCs w:val="24"/>
        </w:rPr>
      </w:pPr>
      <w:r w:rsidRPr="009A1B30">
        <w:rPr>
          <w:rFonts w:asciiTheme="majorHAnsi" w:hAnsiTheme="majorHAnsi"/>
          <w:sz w:val="24"/>
          <w:szCs w:val="24"/>
        </w:rPr>
        <w:t xml:space="preserve">4 000 000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 xml:space="preserve"> pour la catégorie « transformation digitale », ni excéder 50% du montant total des dépenses réalisées en Polynésie française.</w:t>
      </w:r>
    </w:p>
    <w:p w14:paraId="044F7016" w14:textId="77777777" w:rsidR="003A5FAD" w:rsidRPr="009A1B30"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lastRenderedPageBreak/>
        <w:t>Pour plus de transparence, la liste des critères d’évaluation et le nombre de points pour chacun d’entre eux sont fixés dans l’arrêté d’application, selon le type de projet sollicitant une aide au digital. Ils se basent notamment sur la crédibilité de l’équipe, le caractère novateur de projet, la faisabilité et la pertinence technique, la qualité de l’approche commerciale, le modèle économique et enfin, la valeur ajoutée de la solution digitale.</w:t>
      </w:r>
    </w:p>
    <w:p w14:paraId="768BB7DB" w14:textId="77777777" w:rsidR="003A5FAD" w:rsidRPr="009A1B30"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t>Nouvellement créée,</w:t>
      </w:r>
      <w:r>
        <w:rPr>
          <w:rFonts w:asciiTheme="majorHAnsi" w:hAnsiTheme="majorHAnsi"/>
        </w:rPr>
        <w:t xml:space="preserve"> l’aide à l’inclusion digitale,</w:t>
      </w:r>
      <w:r w:rsidRPr="009A1B30">
        <w:rPr>
          <w:rFonts w:asciiTheme="majorHAnsi" w:hAnsiTheme="majorHAnsi"/>
        </w:rPr>
        <w:t xml:space="preserve"> </w:t>
      </w:r>
      <w:r>
        <w:rPr>
          <w:rFonts w:asciiTheme="majorHAnsi" w:hAnsiTheme="majorHAnsi"/>
        </w:rPr>
        <w:t>l’</w:t>
      </w:r>
      <w:r w:rsidRPr="009A1B30">
        <w:rPr>
          <w:rFonts w:asciiTheme="majorHAnsi" w:hAnsiTheme="majorHAnsi"/>
        </w:rPr>
        <w:t>AID</w:t>
      </w:r>
      <w:r>
        <w:rPr>
          <w:rFonts w:asciiTheme="majorHAnsi" w:hAnsiTheme="majorHAnsi"/>
        </w:rPr>
        <w:t>,</w:t>
      </w:r>
      <w:r w:rsidRPr="009A1B30">
        <w:rPr>
          <w:rFonts w:asciiTheme="majorHAnsi" w:hAnsiTheme="majorHAnsi"/>
        </w:rPr>
        <w:t xml:space="preserve"> permet aux associations, immatriculées en Polynésie française, œuvrant dans les domaines de l’insertion à l’emploi, de la cohésion sociale et de la santé, présentant un projet d’inclusion numérique, de bénéficier d’un soutien financier en équipements informatiques et en connexion à Internet.</w:t>
      </w:r>
    </w:p>
    <w:p w14:paraId="691951C7" w14:textId="77777777" w:rsidR="003A5FAD" w:rsidRPr="009A1B30"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t xml:space="preserve">Ainsi, les dépenses éligibles au dispositif AID sont celles relatives </w:t>
      </w:r>
      <w:proofErr w:type="spellStart"/>
      <w:r w:rsidRPr="009A1B30">
        <w:rPr>
          <w:rFonts w:asciiTheme="majorHAnsi" w:hAnsiTheme="majorHAnsi"/>
        </w:rPr>
        <w:t>à</w:t>
      </w:r>
      <w:proofErr w:type="spellEnd"/>
      <w:r w:rsidRPr="009A1B30">
        <w:rPr>
          <w:rFonts w:asciiTheme="majorHAnsi" w:hAnsiTheme="majorHAnsi"/>
        </w:rPr>
        <w:t xml:space="preserve"> : </w:t>
      </w:r>
    </w:p>
    <w:p w14:paraId="0B633E00" w14:textId="77777777" w:rsidR="003A5FAD" w:rsidRPr="009A1B30" w:rsidRDefault="003A5FAD" w:rsidP="003A5FAD">
      <w:pPr>
        <w:pStyle w:val="Paragraphedeliste"/>
        <w:numPr>
          <w:ilvl w:val="0"/>
          <w:numId w:val="27"/>
        </w:numPr>
        <w:tabs>
          <w:tab w:val="left" w:pos="1990"/>
          <w:tab w:val="left" w:pos="3880"/>
        </w:tabs>
        <w:spacing w:before="120" w:after="240"/>
        <w:jc w:val="both"/>
        <w:rPr>
          <w:rFonts w:asciiTheme="majorHAnsi" w:hAnsiTheme="majorHAnsi"/>
          <w:sz w:val="24"/>
          <w:szCs w:val="24"/>
        </w:rPr>
      </w:pPr>
      <w:r w:rsidRPr="009A1B30">
        <w:rPr>
          <w:rFonts w:asciiTheme="majorHAnsi" w:hAnsiTheme="majorHAnsi"/>
          <w:sz w:val="24"/>
          <w:szCs w:val="24"/>
        </w:rPr>
        <w:t xml:space="preserve">La connexion internet (frais de raccordement et d’installation au réseau d’un opérateur, achat des équipements permettant de se connecter à Internet), les frais de mise en service au réseau d’un opérateur de télécommunications. Le montant de l’aide à la connexion internet est plafonné à 300 000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w:t>
      </w:r>
    </w:p>
    <w:p w14:paraId="794E3F64" w14:textId="77777777" w:rsidR="003A5FAD" w:rsidRPr="009A1B30" w:rsidRDefault="003A5FAD" w:rsidP="003A5FAD">
      <w:pPr>
        <w:pStyle w:val="Paragraphedeliste"/>
        <w:numPr>
          <w:ilvl w:val="0"/>
          <w:numId w:val="27"/>
        </w:numPr>
        <w:tabs>
          <w:tab w:val="left" w:pos="1990"/>
          <w:tab w:val="left" w:pos="3880"/>
        </w:tabs>
        <w:spacing w:before="120" w:after="240"/>
        <w:jc w:val="both"/>
        <w:rPr>
          <w:rFonts w:asciiTheme="majorHAnsi" w:hAnsiTheme="majorHAnsi"/>
          <w:sz w:val="24"/>
          <w:szCs w:val="24"/>
        </w:rPr>
      </w:pPr>
      <w:r w:rsidRPr="009A1B30">
        <w:rPr>
          <w:rFonts w:asciiTheme="majorHAnsi" w:hAnsiTheme="majorHAnsi"/>
          <w:sz w:val="24"/>
          <w:szCs w:val="24"/>
        </w:rPr>
        <w:t xml:space="preserve">L’achat de matériel informatique comprenant : les ordinateurs ; les imprimantes multifonction à jet d’encre ou laser (imprimante, scanner, photocopieur) et les périphériques informatiques (écran, clavier, souris). Le montant de l’aide à l’achat de matériel informatique est plafonné à 400 000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 xml:space="preserve">. Le prix unitaire de chaque matériel et/ou équipement doit être inférieur à 50 000 </w:t>
      </w:r>
      <w:proofErr w:type="spellStart"/>
      <w:r w:rsidRPr="009A1B30">
        <w:rPr>
          <w:rFonts w:asciiTheme="majorHAnsi" w:hAnsiTheme="majorHAnsi"/>
          <w:sz w:val="24"/>
          <w:szCs w:val="24"/>
        </w:rPr>
        <w:t>Fcfp</w:t>
      </w:r>
      <w:proofErr w:type="spellEnd"/>
      <w:r w:rsidRPr="009A1B30">
        <w:rPr>
          <w:rFonts w:asciiTheme="majorHAnsi" w:hAnsiTheme="majorHAnsi"/>
          <w:sz w:val="24"/>
          <w:szCs w:val="24"/>
        </w:rPr>
        <w:t>.</w:t>
      </w:r>
    </w:p>
    <w:p w14:paraId="189D9FB4" w14:textId="6DB94ADF" w:rsidR="00697DBB" w:rsidRDefault="003A5FAD" w:rsidP="003A5FAD">
      <w:pPr>
        <w:tabs>
          <w:tab w:val="left" w:pos="1990"/>
          <w:tab w:val="left" w:pos="3880"/>
        </w:tabs>
        <w:spacing w:before="120" w:after="240"/>
        <w:jc w:val="both"/>
        <w:rPr>
          <w:rFonts w:asciiTheme="majorHAnsi" w:hAnsiTheme="majorHAnsi"/>
        </w:rPr>
      </w:pPr>
      <w:r w:rsidRPr="009A1B30">
        <w:rPr>
          <w:rFonts w:asciiTheme="majorHAnsi" w:hAnsiTheme="majorHAnsi"/>
        </w:rPr>
        <w:t xml:space="preserve">L’exécution du projet d’inclusion numérique proposé de l’association bénéficiaire de l’AID fera l’objet d’une attention particulière. En effet, un an après l’octroi de l’aide financière, l’association bénéficiaire de l’aide devra fournir à la DGEN un bilan du projet d’inclusion digitale, comportant à minima les indicateurs ci-après : une fiche descriptive des formations mises en place, le nombre de sessions de formations et le nombre de participants, et le nombre de personnes accueillies au sein de la salle informatique. A défaut, le remboursement total ou partiel l’aide sera exigé. </w:t>
      </w:r>
    </w:p>
    <w:p w14:paraId="6DAC3CE2" w14:textId="77777777" w:rsidR="00227DAE" w:rsidRDefault="00227DAE" w:rsidP="001C6401">
      <w:pPr>
        <w:pStyle w:val="-LettreTexteGEDA"/>
        <w:ind w:firstLine="0"/>
        <w:rPr>
          <w:rFonts w:ascii="Cambria" w:hAnsi="Cambria"/>
          <w:b/>
          <w:szCs w:val="24"/>
        </w:rPr>
      </w:pPr>
    </w:p>
    <w:p w14:paraId="38BD64CF" w14:textId="77777777" w:rsidR="00012846" w:rsidRPr="00697DBB" w:rsidRDefault="00012846" w:rsidP="001C6401">
      <w:pPr>
        <w:pStyle w:val="-LettreTexteGEDA"/>
        <w:ind w:firstLine="0"/>
        <w:rPr>
          <w:rFonts w:ascii="Cambria" w:hAnsi="Cambria"/>
          <w:b/>
          <w:szCs w:val="24"/>
        </w:rPr>
      </w:pPr>
      <w:bookmarkStart w:id="0" w:name="_GoBack"/>
      <w:bookmarkEnd w:id="0"/>
    </w:p>
    <w:p w14:paraId="03A8AE6E" w14:textId="77777777" w:rsidR="008059E4" w:rsidRPr="00DA69B1" w:rsidRDefault="00264EF2" w:rsidP="00CD5D51">
      <w:pPr>
        <w:pStyle w:val="-LettreTexteGEDA"/>
        <w:ind w:firstLine="0"/>
        <w:jc w:val="center"/>
        <w:rPr>
          <w:rFonts w:asciiTheme="majorHAnsi" w:hAnsiTheme="majorHAnsi"/>
          <w:noProof w:val="0"/>
          <w:szCs w:val="24"/>
        </w:rPr>
      </w:pPr>
      <w:r w:rsidRPr="00697DBB">
        <w:rPr>
          <w:rFonts w:asciiTheme="majorHAnsi" w:hAnsiTheme="majorHAnsi"/>
          <w:noProof w:val="0"/>
          <w:szCs w:val="24"/>
        </w:rPr>
        <w:t>-o-o-o-o-o-</w:t>
      </w:r>
    </w:p>
    <w:sectPr w:rsidR="008059E4" w:rsidRPr="00DA69B1" w:rsidSect="00922ABB">
      <w:footerReference w:type="even"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7F0D1" w14:textId="77777777" w:rsidR="00604F5A" w:rsidRDefault="00604F5A">
      <w:r>
        <w:separator/>
      </w:r>
    </w:p>
  </w:endnote>
  <w:endnote w:type="continuationSeparator" w:id="0">
    <w:p w14:paraId="24EFBA04" w14:textId="77777777" w:rsidR="00604F5A" w:rsidRDefault="0060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7BE2" w14:textId="77777777"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5C70C1" w14:textId="77777777" w:rsidR="00642DA2" w:rsidRDefault="00604F5A"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E3C85" w14:textId="77777777" w:rsidR="00642DA2" w:rsidRPr="00BA209E" w:rsidRDefault="00642DA2" w:rsidP="00922ABB">
    <w:pPr>
      <w:pStyle w:val="Pieddepage"/>
      <w:jc w:val="center"/>
      <w:rPr>
        <w:i/>
        <w:sz w:val="20"/>
        <w:szCs w:val="20"/>
      </w:rPr>
    </w:pPr>
    <w:r w:rsidRPr="00BA209E">
      <w:rPr>
        <w:i/>
        <w:sz w:val="20"/>
        <w:szCs w:val="20"/>
      </w:rPr>
      <w:t>Présidence de la Polynésie Française</w:t>
    </w:r>
  </w:p>
  <w:p w14:paraId="62A464A6" w14:textId="77777777"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14:paraId="57B62632" w14:textId="77777777" w:rsidR="00642DA2" w:rsidRPr="00BA209E" w:rsidRDefault="00604F5A"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14:paraId="01E4299B" w14:textId="77777777"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A439D" w14:textId="77777777" w:rsidR="00604F5A" w:rsidRDefault="00604F5A">
      <w:r>
        <w:separator/>
      </w:r>
    </w:p>
  </w:footnote>
  <w:footnote w:type="continuationSeparator" w:id="0">
    <w:p w14:paraId="72E0E894" w14:textId="77777777" w:rsidR="00604F5A" w:rsidRDefault="00604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81"/>
    <w:multiLevelType w:val="hybridMultilevel"/>
    <w:tmpl w:val="42BEE41A"/>
    <w:lvl w:ilvl="0" w:tplc="899454E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097909AA"/>
    <w:multiLevelType w:val="hybridMultilevel"/>
    <w:tmpl w:val="CE040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3">
    <w:nsid w:val="14762F7A"/>
    <w:multiLevelType w:val="hybridMultilevel"/>
    <w:tmpl w:val="EE34F0C2"/>
    <w:lvl w:ilvl="0" w:tplc="22DA8A4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CF64315"/>
    <w:multiLevelType w:val="hybridMultilevel"/>
    <w:tmpl w:val="96E8EE12"/>
    <w:lvl w:ilvl="0" w:tplc="E88287E6">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EB37DEB"/>
    <w:multiLevelType w:val="hybridMultilevel"/>
    <w:tmpl w:val="6A0E09D2"/>
    <w:lvl w:ilvl="0" w:tplc="040C0001">
      <w:start w:val="1"/>
      <w:numFmt w:val="bullet"/>
      <w:lvlText w:val=""/>
      <w:lvlJc w:val="left"/>
      <w:pPr>
        <w:ind w:left="1211" w:hanging="360"/>
      </w:pPr>
      <w:rPr>
        <w:rFonts w:ascii="Symbol" w:hAnsi="Symbol"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6">
    <w:nsid w:val="21557BC5"/>
    <w:multiLevelType w:val="hybridMultilevel"/>
    <w:tmpl w:val="FD1A7BD2"/>
    <w:lvl w:ilvl="0" w:tplc="86E0B9D0">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1E472A9"/>
    <w:multiLevelType w:val="hybridMultilevel"/>
    <w:tmpl w:val="3DE0258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nsid w:val="270A6439"/>
    <w:multiLevelType w:val="hybridMultilevel"/>
    <w:tmpl w:val="80BADE10"/>
    <w:lvl w:ilvl="0" w:tplc="B874B9B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2AD2756B"/>
    <w:multiLevelType w:val="hybridMultilevel"/>
    <w:tmpl w:val="803E2B0C"/>
    <w:lvl w:ilvl="0" w:tplc="06B0D4C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nsid w:val="2BA928D2"/>
    <w:multiLevelType w:val="hybridMultilevel"/>
    <w:tmpl w:val="A55C4464"/>
    <w:lvl w:ilvl="0" w:tplc="040C0005">
      <w:start w:val="1"/>
      <w:numFmt w:val="bullet"/>
      <w:lvlText w:val=""/>
      <w:lvlJc w:val="left"/>
      <w:pPr>
        <w:ind w:left="720" w:hanging="360"/>
      </w:pPr>
      <w:rPr>
        <w:rFonts w:ascii="Wingdings" w:hAnsi="Wingdings" w:hint="default"/>
      </w:rPr>
    </w:lvl>
    <w:lvl w:ilvl="1" w:tplc="86E0B9D0">
      <w:numFmt w:val="bullet"/>
      <w:lvlText w:val="-"/>
      <w:lvlJc w:val="left"/>
      <w:pPr>
        <w:ind w:left="1440" w:hanging="360"/>
      </w:pPr>
      <w:rPr>
        <w:rFonts w:ascii="Cambria" w:eastAsia="Times New Roman"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0206FEA"/>
    <w:multiLevelType w:val="hybridMultilevel"/>
    <w:tmpl w:val="67C4499A"/>
    <w:lvl w:ilvl="0" w:tplc="45E6E374">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3">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4">
    <w:nsid w:val="3C8E5A12"/>
    <w:multiLevelType w:val="hybridMultilevel"/>
    <w:tmpl w:val="D88AE964"/>
    <w:lvl w:ilvl="0" w:tplc="C9DA2946">
      <w:start w:val="16"/>
      <w:numFmt w:val="bullet"/>
      <w:lvlText w:val="-"/>
      <w:lvlJc w:val="left"/>
      <w:pPr>
        <w:ind w:left="501" w:hanging="360"/>
      </w:pPr>
      <w:rPr>
        <w:rFonts w:ascii="Times New Roman" w:eastAsia="Times New Roman" w:hAnsi="Times New Roman" w:cs="Times New Roman"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5">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6">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7">
    <w:nsid w:val="4297520E"/>
    <w:multiLevelType w:val="hybridMultilevel"/>
    <w:tmpl w:val="2B5A794C"/>
    <w:lvl w:ilvl="0" w:tplc="DE52A3B0">
      <w:numFmt w:val="bullet"/>
      <w:lvlText w:val="-"/>
      <w:lvlJc w:val="left"/>
      <w:pPr>
        <w:ind w:left="1211"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FD10FCF"/>
    <w:multiLevelType w:val="hybridMultilevel"/>
    <w:tmpl w:val="2FA4FBFC"/>
    <w:lvl w:ilvl="0" w:tplc="040C0001">
      <w:start w:val="1"/>
      <w:numFmt w:val="bullet"/>
      <w:lvlText w:val=""/>
      <w:lvlJc w:val="left"/>
      <w:pPr>
        <w:ind w:left="720" w:hanging="360"/>
      </w:pPr>
      <w:rPr>
        <w:rFonts w:ascii="Symbol" w:hAnsi="Symbol" w:hint="default"/>
      </w:rPr>
    </w:lvl>
    <w:lvl w:ilvl="1" w:tplc="8BA244AC">
      <w:numFmt w:val="bullet"/>
      <w:lvlText w:val="•"/>
      <w:lvlJc w:val="left"/>
      <w:pPr>
        <w:ind w:left="1785" w:hanging="705"/>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1">
    <w:nsid w:val="6AE82626"/>
    <w:multiLevelType w:val="hybridMultilevel"/>
    <w:tmpl w:val="5624149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6BFD29D4"/>
    <w:multiLevelType w:val="hybridMultilevel"/>
    <w:tmpl w:val="C4604C72"/>
    <w:lvl w:ilvl="0" w:tplc="080C1598">
      <w:start w:val="16"/>
      <w:numFmt w:val="bullet"/>
      <w:lvlText w:val="-"/>
      <w:lvlJc w:val="left"/>
      <w:pPr>
        <w:ind w:left="1211" w:hanging="360"/>
      </w:pPr>
      <w:rPr>
        <w:rFonts w:ascii="Times New Roman" w:eastAsia="Calibri" w:hAnsi="Times New Roman" w:cs="Times New Roman" w:hint="default"/>
        <w:sz w:val="24"/>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nsid w:val="720E636C"/>
    <w:multiLevelType w:val="hybridMultilevel"/>
    <w:tmpl w:val="B39025FC"/>
    <w:lvl w:ilvl="0" w:tplc="14A8DC2A">
      <w:numFmt w:val="bullet"/>
      <w:lvlText w:val="-"/>
      <w:lvlJc w:val="left"/>
      <w:pPr>
        <w:ind w:left="720" w:hanging="360"/>
      </w:pPr>
      <w:rPr>
        <w:rFonts w:ascii="Calibri" w:eastAsia="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25">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5"/>
  </w:num>
  <w:num w:numId="2">
    <w:abstractNumId w:val="16"/>
  </w:num>
  <w:num w:numId="3">
    <w:abstractNumId w:val="25"/>
  </w:num>
  <w:num w:numId="4">
    <w:abstractNumId w:val="20"/>
  </w:num>
  <w:num w:numId="5">
    <w:abstractNumId w:val="24"/>
  </w:num>
  <w:num w:numId="6">
    <w:abstractNumId w:val="2"/>
  </w:num>
  <w:num w:numId="7">
    <w:abstractNumId w:val="11"/>
  </w:num>
  <w:num w:numId="8">
    <w:abstractNumId w:val="18"/>
  </w:num>
  <w:num w:numId="9">
    <w:abstractNumId w:val="9"/>
  </w:num>
  <w:num w:numId="10">
    <w:abstractNumId w:val="7"/>
  </w:num>
  <w:num w:numId="11">
    <w:abstractNumId w:val="14"/>
  </w:num>
  <w:num w:numId="12">
    <w:abstractNumId w:val="1"/>
  </w:num>
  <w:num w:numId="13">
    <w:abstractNumId w:val="13"/>
  </w:num>
  <w:num w:numId="14">
    <w:abstractNumId w:val="19"/>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num>
  <w:num w:numId="18">
    <w:abstractNumId w:val="8"/>
  </w:num>
  <w:num w:numId="19">
    <w:abstractNumId w:val="22"/>
  </w:num>
  <w:num w:numId="20">
    <w:abstractNumId w:val="12"/>
  </w:num>
  <w:num w:numId="21">
    <w:abstractNumId w:val="0"/>
  </w:num>
  <w:num w:numId="22">
    <w:abstractNumId w:val="23"/>
  </w:num>
  <w:num w:numId="23">
    <w:abstractNumId w:val="5"/>
  </w:num>
  <w:num w:numId="24">
    <w:abstractNumId w:val="4"/>
  </w:num>
  <w:num w:numId="25">
    <w:abstractNumId w:val="10"/>
  </w:num>
  <w:num w:numId="26">
    <w:abstractNumId w:val="21"/>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04294"/>
    <w:rsid w:val="00011CE8"/>
    <w:rsid w:val="00012846"/>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3FED"/>
    <w:rsid w:val="000C44EB"/>
    <w:rsid w:val="000C55DA"/>
    <w:rsid w:val="000C5D90"/>
    <w:rsid w:val="000C78EE"/>
    <w:rsid w:val="000D41CD"/>
    <w:rsid w:val="000D5AC8"/>
    <w:rsid w:val="000D5C6D"/>
    <w:rsid w:val="000D5EAC"/>
    <w:rsid w:val="000D60AF"/>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65D74"/>
    <w:rsid w:val="001702D3"/>
    <w:rsid w:val="00172F9E"/>
    <w:rsid w:val="001775EE"/>
    <w:rsid w:val="0018145E"/>
    <w:rsid w:val="00186F29"/>
    <w:rsid w:val="0019566B"/>
    <w:rsid w:val="001A2D2F"/>
    <w:rsid w:val="001A2EBB"/>
    <w:rsid w:val="001A5551"/>
    <w:rsid w:val="001A5B63"/>
    <w:rsid w:val="001A731D"/>
    <w:rsid w:val="001B1A33"/>
    <w:rsid w:val="001B28FD"/>
    <w:rsid w:val="001C2250"/>
    <w:rsid w:val="001C36AB"/>
    <w:rsid w:val="001C4DE4"/>
    <w:rsid w:val="001C5819"/>
    <w:rsid w:val="001C6401"/>
    <w:rsid w:val="001C6C5E"/>
    <w:rsid w:val="001C6CF3"/>
    <w:rsid w:val="001C74FC"/>
    <w:rsid w:val="001D25B7"/>
    <w:rsid w:val="001D6BE1"/>
    <w:rsid w:val="001E0F84"/>
    <w:rsid w:val="001E128A"/>
    <w:rsid w:val="001E15A7"/>
    <w:rsid w:val="001E20C7"/>
    <w:rsid w:val="001E2C77"/>
    <w:rsid w:val="001E3419"/>
    <w:rsid w:val="001E3E58"/>
    <w:rsid w:val="001E4B80"/>
    <w:rsid w:val="001E547E"/>
    <w:rsid w:val="001E5D1D"/>
    <w:rsid w:val="001E5D7F"/>
    <w:rsid w:val="001E69FF"/>
    <w:rsid w:val="001F02DD"/>
    <w:rsid w:val="001F2760"/>
    <w:rsid w:val="001F6D55"/>
    <w:rsid w:val="0020266C"/>
    <w:rsid w:val="002045B4"/>
    <w:rsid w:val="00216AFA"/>
    <w:rsid w:val="002206D4"/>
    <w:rsid w:val="0022221E"/>
    <w:rsid w:val="00227DAE"/>
    <w:rsid w:val="002345BD"/>
    <w:rsid w:val="00235683"/>
    <w:rsid w:val="002359E5"/>
    <w:rsid w:val="00243141"/>
    <w:rsid w:val="00247536"/>
    <w:rsid w:val="002512C5"/>
    <w:rsid w:val="00261E72"/>
    <w:rsid w:val="0026346A"/>
    <w:rsid w:val="002648E4"/>
    <w:rsid w:val="00264EF2"/>
    <w:rsid w:val="002678FB"/>
    <w:rsid w:val="00270AE2"/>
    <w:rsid w:val="00276B3E"/>
    <w:rsid w:val="00277481"/>
    <w:rsid w:val="00285425"/>
    <w:rsid w:val="00286EAD"/>
    <w:rsid w:val="00286FFA"/>
    <w:rsid w:val="002904DD"/>
    <w:rsid w:val="00292FC0"/>
    <w:rsid w:val="00297A93"/>
    <w:rsid w:val="002A1123"/>
    <w:rsid w:val="002A79DA"/>
    <w:rsid w:val="002B1B00"/>
    <w:rsid w:val="002B5364"/>
    <w:rsid w:val="002B5710"/>
    <w:rsid w:val="002B5B92"/>
    <w:rsid w:val="002C05FC"/>
    <w:rsid w:val="002C134A"/>
    <w:rsid w:val="002C3C82"/>
    <w:rsid w:val="002C5958"/>
    <w:rsid w:val="002D0563"/>
    <w:rsid w:val="002D0A26"/>
    <w:rsid w:val="002D5E49"/>
    <w:rsid w:val="002D6359"/>
    <w:rsid w:val="002E1D40"/>
    <w:rsid w:val="002E42D2"/>
    <w:rsid w:val="002F0A4A"/>
    <w:rsid w:val="002F1933"/>
    <w:rsid w:val="002F1E93"/>
    <w:rsid w:val="002F733A"/>
    <w:rsid w:val="00303FF2"/>
    <w:rsid w:val="00306799"/>
    <w:rsid w:val="003107CB"/>
    <w:rsid w:val="003116D5"/>
    <w:rsid w:val="0031428F"/>
    <w:rsid w:val="00314D05"/>
    <w:rsid w:val="003175DF"/>
    <w:rsid w:val="0032141A"/>
    <w:rsid w:val="00331349"/>
    <w:rsid w:val="00335461"/>
    <w:rsid w:val="0033691B"/>
    <w:rsid w:val="00342B70"/>
    <w:rsid w:val="003444A6"/>
    <w:rsid w:val="00347372"/>
    <w:rsid w:val="0035386E"/>
    <w:rsid w:val="00357DC7"/>
    <w:rsid w:val="003625D8"/>
    <w:rsid w:val="00366694"/>
    <w:rsid w:val="00374615"/>
    <w:rsid w:val="0037539F"/>
    <w:rsid w:val="00375466"/>
    <w:rsid w:val="0037614E"/>
    <w:rsid w:val="00376D41"/>
    <w:rsid w:val="00393D5F"/>
    <w:rsid w:val="00395780"/>
    <w:rsid w:val="00395BE4"/>
    <w:rsid w:val="00396E20"/>
    <w:rsid w:val="003A1378"/>
    <w:rsid w:val="003A3094"/>
    <w:rsid w:val="003A5FAD"/>
    <w:rsid w:val="003A6507"/>
    <w:rsid w:val="003B06C4"/>
    <w:rsid w:val="003B14D7"/>
    <w:rsid w:val="003B57C8"/>
    <w:rsid w:val="003B5A14"/>
    <w:rsid w:val="003B6B55"/>
    <w:rsid w:val="003C3872"/>
    <w:rsid w:val="003C5469"/>
    <w:rsid w:val="003C5FFF"/>
    <w:rsid w:val="003D2A49"/>
    <w:rsid w:val="003D37E1"/>
    <w:rsid w:val="003D55CF"/>
    <w:rsid w:val="003D62F0"/>
    <w:rsid w:val="003E3D40"/>
    <w:rsid w:val="003E44BD"/>
    <w:rsid w:val="003E55EF"/>
    <w:rsid w:val="003E59BB"/>
    <w:rsid w:val="003F0DC9"/>
    <w:rsid w:val="003F3E11"/>
    <w:rsid w:val="003F7F57"/>
    <w:rsid w:val="00403CBD"/>
    <w:rsid w:val="004045BC"/>
    <w:rsid w:val="00407286"/>
    <w:rsid w:val="00407DBC"/>
    <w:rsid w:val="004119C3"/>
    <w:rsid w:val="00412883"/>
    <w:rsid w:val="004138E7"/>
    <w:rsid w:val="00414234"/>
    <w:rsid w:val="00415AE9"/>
    <w:rsid w:val="00415B15"/>
    <w:rsid w:val="00416ABB"/>
    <w:rsid w:val="00416B42"/>
    <w:rsid w:val="0042162D"/>
    <w:rsid w:val="0042227C"/>
    <w:rsid w:val="00424B02"/>
    <w:rsid w:val="00432970"/>
    <w:rsid w:val="00436764"/>
    <w:rsid w:val="004419CA"/>
    <w:rsid w:val="004443F9"/>
    <w:rsid w:val="0044573A"/>
    <w:rsid w:val="00447307"/>
    <w:rsid w:val="004504FA"/>
    <w:rsid w:val="00454BA7"/>
    <w:rsid w:val="00456F05"/>
    <w:rsid w:val="004636DD"/>
    <w:rsid w:val="00464DBA"/>
    <w:rsid w:val="00466539"/>
    <w:rsid w:val="00467EC1"/>
    <w:rsid w:val="00471C2A"/>
    <w:rsid w:val="00477702"/>
    <w:rsid w:val="004824BE"/>
    <w:rsid w:val="00482E36"/>
    <w:rsid w:val="004859C9"/>
    <w:rsid w:val="004901D8"/>
    <w:rsid w:val="004945F1"/>
    <w:rsid w:val="004A0C8B"/>
    <w:rsid w:val="004B281C"/>
    <w:rsid w:val="004B389F"/>
    <w:rsid w:val="004B6C76"/>
    <w:rsid w:val="004C04C6"/>
    <w:rsid w:val="004C0B54"/>
    <w:rsid w:val="004D2C02"/>
    <w:rsid w:val="004D4B76"/>
    <w:rsid w:val="004D78E7"/>
    <w:rsid w:val="004E1879"/>
    <w:rsid w:val="004E35E1"/>
    <w:rsid w:val="004E59E4"/>
    <w:rsid w:val="004F1581"/>
    <w:rsid w:val="004F1C5F"/>
    <w:rsid w:val="004F2666"/>
    <w:rsid w:val="004F594B"/>
    <w:rsid w:val="004F6811"/>
    <w:rsid w:val="004F6AB0"/>
    <w:rsid w:val="00500045"/>
    <w:rsid w:val="005019FE"/>
    <w:rsid w:val="00502252"/>
    <w:rsid w:val="005071D6"/>
    <w:rsid w:val="005104B4"/>
    <w:rsid w:val="00511481"/>
    <w:rsid w:val="005115BC"/>
    <w:rsid w:val="005117FB"/>
    <w:rsid w:val="00514734"/>
    <w:rsid w:val="00520306"/>
    <w:rsid w:val="00526FDB"/>
    <w:rsid w:val="00537381"/>
    <w:rsid w:val="0054277A"/>
    <w:rsid w:val="00546CAE"/>
    <w:rsid w:val="00551CEE"/>
    <w:rsid w:val="00554294"/>
    <w:rsid w:val="00555562"/>
    <w:rsid w:val="00557CBF"/>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3A17"/>
    <w:rsid w:val="005C542C"/>
    <w:rsid w:val="005C64E3"/>
    <w:rsid w:val="005D0C9C"/>
    <w:rsid w:val="005D1E56"/>
    <w:rsid w:val="005D300C"/>
    <w:rsid w:val="005D3628"/>
    <w:rsid w:val="005E110E"/>
    <w:rsid w:val="005E1F37"/>
    <w:rsid w:val="005E3D2E"/>
    <w:rsid w:val="005F11F1"/>
    <w:rsid w:val="005F1FF3"/>
    <w:rsid w:val="005F3A86"/>
    <w:rsid w:val="005F5786"/>
    <w:rsid w:val="005F67A7"/>
    <w:rsid w:val="00604F5A"/>
    <w:rsid w:val="006065EA"/>
    <w:rsid w:val="006073B5"/>
    <w:rsid w:val="00610132"/>
    <w:rsid w:val="00620349"/>
    <w:rsid w:val="006220B2"/>
    <w:rsid w:val="00625CF0"/>
    <w:rsid w:val="00633CEC"/>
    <w:rsid w:val="006351F3"/>
    <w:rsid w:val="00636B0B"/>
    <w:rsid w:val="00637337"/>
    <w:rsid w:val="00637F5B"/>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855B9"/>
    <w:rsid w:val="006867CF"/>
    <w:rsid w:val="00690C84"/>
    <w:rsid w:val="00691CAE"/>
    <w:rsid w:val="00691F42"/>
    <w:rsid w:val="0069242B"/>
    <w:rsid w:val="00693771"/>
    <w:rsid w:val="00693A0D"/>
    <w:rsid w:val="00693F08"/>
    <w:rsid w:val="00697133"/>
    <w:rsid w:val="00697DBB"/>
    <w:rsid w:val="006A3579"/>
    <w:rsid w:val="006A6904"/>
    <w:rsid w:val="006B3196"/>
    <w:rsid w:val="006B3785"/>
    <w:rsid w:val="006B3B14"/>
    <w:rsid w:val="006B623F"/>
    <w:rsid w:val="006C3B44"/>
    <w:rsid w:val="006C7CA5"/>
    <w:rsid w:val="006D3AAC"/>
    <w:rsid w:val="006E411F"/>
    <w:rsid w:val="006E478C"/>
    <w:rsid w:val="006E7470"/>
    <w:rsid w:val="006E76C6"/>
    <w:rsid w:val="006F0A62"/>
    <w:rsid w:val="006F13F3"/>
    <w:rsid w:val="006F217C"/>
    <w:rsid w:val="006F2E69"/>
    <w:rsid w:val="006F3B1B"/>
    <w:rsid w:val="006F7090"/>
    <w:rsid w:val="007052A3"/>
    <w:rsid w:val="00706485"/>
    <w:rsid w:val="00706A5D"/>
    <w:rsid w:val="00711F71"/>
    <w:rsid w:val="007126F8"/>
    <w:rsid w:val="00716A05"/>
    <w:rsid w:val="00724158"/>
    <w:rsid w:val="0073038C"/>
    <w:rsid w:val="0073277F"/>
    <w:rsid w:val="00733923"/>
    <w:rsid w:val="00733EE6"/>
    <w:rsid w:val="00734600"/>
    <w:rsid w:val="00736200"/>
    <w:rsid w:val="00744311"/>
    <w:rsid w:val="00744E22"/>
    <w:rsid w:val="00745751"/>
    <w:rsid w:val="007466DF"/>
    <w:rsid w:val="00747E8F"/>
    <w:rsid w:val="007503DC"/>
    <w:rsid w:val="00753BF6"/>
    <w:rsid w:val="00754A99"/>
    <w:rsid w:val="0075769B"/>
    <w:rsid w:val="00762278"/>
    <w:rsid w:val="00762E29"/>
    <w:rsid w:val="00764607"/>
    <w:rsid w:val="0076469B"/>
    <w:rsid w:val="00764CDD"/>
    <w:rsid w:val="00767E72"/>
    <w:rsid w:val="00770EDA"/>
    <w:rsid w:val="0077109E"/>
    <w:rsid w:val="0077577E"/>
    <w:rsid w:val="007768E0"/>
    <w:rsid w:val="00781048"/>
    <w:rsid w:val="00781933"/>
    <w:rsid w:val="007917AC"/>
    <w:rsid w:val="007969D9"/>
    <w:rsid w:val="00796D0D"/>
    <w:rsid w:val="007A103C"/>
    <w:rsid w:val="007A6288"/>
    <w:rsid w:val="007A6645"/>
    <w:rsid w:val="007A699A"/>
    <w:rsid w:val="007A6D8A"/>
    <w:rsid w:val="007A7556"/>
    <w:rsid w:val="007B2644"/>
    <w:rsid w:val="007B3B1E"/>
    <w:rsid w:val="007B3FE4"/>
    <w:rsid w:val="007B453D"/>
    <w:rsid w:val="007B5747"/>
    <w:rsid w:val="007B7965"/>
    <w:rsid w:val="007C215C"/>
    <w:rsid w:val="007C4CCE"/>
    <w:rsid w:val="007C61B0"/>
    <w:rsid w:val="007D2885"/>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48B"/>
    <w:rsid w:val="00816AD6"/>
    <w:rsid w:val="00822799"/>
    <w:rsid w:val="00822FDE"/>
    <w:rsid w:val="00825657"/>
    <w:rsid w:val="008261E3"/>
    <w:rsid w:val="0082621E"/>
    <w:rsid w:val="008276FE"/>
    <w:rsid w:val="00827B40"/>
    <w:rsid w:val="0083120F"/>
    <w:rsid w:val="008336DF"/>
    <w:rsid w:val="00842EDD"/>
    <w:rsid w:val="00852F12"/>
    <w:rsid w:val="008537CB"/>
    <w:rsid w:val="00856EBE"/>
    <w:rsid w:val="008621A3"/>
    <w:rsid w:val="00863C9B"/>
    <w:rsid w:val="00864279"/>
    <w:rsid w:val="0086475C"/>
    <w:rsid w:val="00866990"/>
    <w:rsid w:val="00871A3F"/>
    <w:rsid w:val="008720B3"/>
    <w:rsid w:val="008848AD"/>
    <w:rsid w:val="008856F9"/>
    <w:rsid w:val="008859A0"/>
    <w:rsid w:val="00886F51"/>
    <w:rsid w:val="00887D74"/>
    <w:rsid w:val="00891EDE"/>
    <w:rsid w:val="00892735"/>
    <w:rsid w:val="00893B1C"/>
    <w:rsid w:val="00894690"/>
    <w:rsid w:val="008A241A"/>
    <w:rsid w:val="008A56B9"/>
    <w:rsid w:val="008B080B"/>
    <w:rsid w:val="008B21C4"/>
    <w:rsid w:val="008C219B"/>
    <w:rsid w:val="008C255E"/>
    <w:rsid w:val="008C4B24"/>
    <w:rsid w:val="008C7BA4"/>
    <w:rsid w:val="008D02F0"/>
    <w:rsid w:val="008D409F"/>
    <w:rsid w:val="008D6C23"/>
    <w:rsid w:val="008E053C"/>
    <w:rsid w:val="008E1AB5"/>
    <w:rsid w:val="008E4691"/>
    <w:rsid w:val="008F245A"/>
    <w:rsid w:val="00901582"/>
    <w:rsid w:val="00902FF5"/>
    <w:rsid w:val="00906A19"/>
    <w:rsid w:val="00906D50"/>
    <w:rsid w:val="00910FD4"/>
    <w:rsid w:val="009142E5"/>
    <w:rsid w:val="009179FF"/>
    <w:rsid w:val="00917D79"/>
    <w:rsid w:val="0092093D"/>
    <w:rsid w:val="00922ABB"/>
    <w:rsid w:val="0093137C"/>
    <w:rsid w:val="00932A0C"/>
    <w:rsid w:val="0093313C"/>
    <w:rsid w:val="009401EA"/>
    <w:rsid w:val="0094463C"/>
    <w:rsid w:val="00946318"/>
    <w:rsid w:val="009464C6"/>
    <w:rsid w:val="00950864"/>
    <w:rsid w:val="00950F40"/>
    <w:rsid w:val="00950F68"/>
    <w:rsid w:val="009516A6"/>
    <w:rsid w:val="00952102"/>
    <w:rsid w:val="00954182"/>
    <w:rsid w:val="00960A98"/>
    <w:rsid w:val="00961FA8"/>
    <w:rsid w:val="00967DD6"/>
    <w:rsid w:val="0097077C"/>
    <w:rsid w:val="00970D2F"/>
    <w:rsid w:val="009740B4"/>
    <w:rsid w:val="00974CB1"/>
    <w:rsid w:val="0097618E"/>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3801"/>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498"/>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0D4"/>
    <w:rsid w:val="00B1494D"/>
    <w:rsid w:val="00B14FEF"/>
    <w:rsid w:val="00B15DF0"/>
    <w:rsid w:val="00B21CAB"/>
    <w:rsid w:val="00B21E1D"/>
    <w:rsid w:val="00B226E7"/>
    <w:rsid w:val="00B312EF"/>
    <w:rsid w:val="00B31AD4"/>
    <w:rsid w:val="00B332D7"/>
    <w:rsid w:val="00B35597"/>
    <w:rsid w:val="00B447A7"/>
    <w:rsid w:val="00B45D18"/>
    <w:rsid w:val="00B50C6F"/>
    <w:rsid w:val="00B51388"/>
    <w:rsid w:val="00B52542"/>
    <w:rsid w:val="00B54749"/>
    <w:rsid w:val="00B64483"/>
    <w:rsid w:val="00B6565D"/>
    <w:rsid w:val="00B709A4"/>
    <w:rsid w:val="00B74014"/>
    <w:rsid w:val="00B74B8A"/>
    <w:rsid w:val="00B76029"/>
    <w:rsid w:val="00B76EC6"/>
    <w:rsid w:val="00B802BB"/>
    <w:rsid w:val="00B82454"/>
    <w:rsid w:val="00B83D50"/>
    <w:rsid w:val="00B95C0A"/>
    <w:rsid w:val="00B9752A"/>
    <w:rsid w:val="00BA1EBE"/>
    <w:rsid w:val="00BA3B8B"/>
    <w:rsid w:val="00BA7440"/>
    <w:rsid w:val="00BA76E3"/>
    <w:rsid w:val="00BB1024"/>
    <w:rsid w:val="00BB15C2"/>
    <w:rsid w:val="00BB6581"/>
    <w:rsid w:val="00BB66F6"/>
    <w:rsid w:val="00BC1461"/>
    <w:rsid w:val="00BC5AC8"/>
    <w:rsid w:val="00BC620E"/>
    <w:rsid w:val="00BC75D2"/>
    <w:rsid w:val="00BD7B99"/>
    <w:rsid w:val="00BD7FCE"/>
    <w:rsid w:val="00BF02E7"/>
    <w:rsid w:val="00BF6DB2"/>
    <w:rsid w:val="00BF6F91"/>
    <w:rsid w:val="00BF7572"/>
    <w:rsid w:val="00BF7937"/>
    <w:rsid w:val="00C04626"/>
    <w:rsid w:val="00C109C3"/>
    <w:rsid w:val="00C10AEC"/>
    <w:rsid w:val="00C15AEE"/>
    <w:rsid w:val="00C16652"/>
    <w:rsid w:val="00C16FEC"/>
    <w:rsid w:val="00C2035B"/>
    <w:rsid w:val="00C23E46"/>
    <w:rsid w:val="00C25610"/>
    <w:rsid w:val="00C34DFF"/>
    <w:rsid w:val="00C354A8"/>
    <w:rsid w:val="00C453A5"/>
    <w:rsid w:val="00C45D17"/>
    <w:rsid w:val="00C4614C"/>
    <w:rsid w:val="00C50704"/>
    <w:rsid w:val="00C53ED1"/>
    <w:rsid w:val="00C575D9"/>
    <w:rsid w:val="00C575E2"/>
    <w:rsid w:val="00C57F44"/>
    <w:rsid w:val="00C630D6"/>
    <w:rsid w:val="00C637CF"/>
    <w:rsid w:val="00C72B3E"/>
    <w:rsid w:val="00C83E94"/>
    <w:rsid w:val="00C84CFA"/>
    <w:rsid w:val="00C84EB3"/>
    <w:rsid w:val="00C85666"/>
    <w:rsid w:val="00C85BDA"/>
    <w:rsid w:val="00C85FE3"/>
    <w:rsid w:val="00C86F4D"/>
    <w:rsid w:val="00C902F3"/>
    <w:rsid w:val="00C9156B"/>
    <w:rsid w:val="00CA0B67"/>
    <w:rsid w:val="00CA20F8"/>
    <w:rsid w:val="00CA5FA6"/>
    <w:rsid w:val="00CB19D2"/>
    <w:rsid w:val="00CB4050"/>
    <w:rsid w:val="00CB6A2E"/>
    <w:rsid w:val="00CC0122"/>
    <w:rsid w:val="00CC0DAF"/>
    <w:rsid w:val="00CC20A0"/>
    <w:rsid w:val="00CC37AD"/>
    <w:rsid w:val="00CC4DD6"/>
    <w:rsid w:val="00CC4E02"/>
    <w:rsid w:val="00CC6370"/>
    <w:rsid w:val="00CD2C00"/>
    <w:rsid w:val="00CD41CD"/>
    <w:rsid w:val="00CD5D51"/>
    <w:rsid w:val="00CE1868"/>
    <w:rsid w:val="00CE1BFF"/>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4CA"/>
    <w:rsid w:val="00D41691"/>
    <w:rsid w:val="00D424C2"/>
    <w:rsid w:val="00D42763"/>
    <w:rsid w:val="00D43377"/>
    <w:rsid w:val="00D4396A"/>
    <w:rsid w:val="00D44320"/>
    <w:rsid w:val="00D44D34"/>
    <w:rsid w:val="00D52A17"/>
    <w:rsid w:val="00D531A2"/>
    <w:rsid w:val="00D61A9C"/>
    <w:rsid w:val="00D626CC"/>
    <w:rsid w:val="00D7084B"/>
    <w:rsid w:val="00D71284"/>
    <w:rsid w:val="00D7269F"/>
    <w:rsid w:val="00D735F5"/>
    <w:rsid w:val="00D77189"/>
    <w:rsid w:val="00D77283"/>
    <w:rsid w:val="00D7791F"/>
    <w:rsid w:val="00D83D64"/>
    <w:rsid w:val="00DA14AE"/>
    <w:rsid w:val="00DA56BE"/>
    <w:rsid w:val="00DA69B1"/>
    <w:rsid w:val="00DA6DE1"/>
    <w:rsid w:val="00DB1200"/>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4DBC"/>
    <w:rsid w:val="00E16311"/>
    <w:rsid w:val="00E17500"/>
    <w:rsid w:val="00E26E50"/>
    <w:rsid w:val="00E32361"/>
    <w:rsid w:val="00E32EB0"/>
    <w:rsid w:val="00E36FA7"/>
    <w:rsid w:val="00E43EDF"/>
    <w:rsid w:val="00E45CA5"/>
    <w:rsid w:val="00E50620"/>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1879"/>
    <w:rsid w:val="00EA00C5"/>
    <w:rsid w:val="00EA108B"/>
    <w:rsid w:val="00EA2304"/>
    <w:rsid w:val="00EA5932"/>
    <w:rsid w:val="00EA73B5"/>
    <w:rsid w:val="00EA7C9E"/>
    <w:rsid w:val="00EB0177"/>
    <w:rsid w:val="00EB025D"/>
    <w:rsid w:val="00EB0736"/>
    <w:rsid w:val="00EB145A"/>
    <w:rsid w:val="00EB73A7"/>
    <w:rsid w:val="00EB7AFD"/>
    <w:rsid w:val="00EC0E91"/>
    <w:rsid w:val="00EC1544"/>
    <w:rsid w:val="00EC4488"/>
    <w:rsid w:val="00EC4E4B"/>
    <w:rsid w:val="00EC7D90"/>
    <w:rsid w:val="00ED0838"/>
    <w:rsid w:val="00ED16C1"/>
    <w:rsid w:val="00ED2109"/>
    <w:rsid w:val="00ED5755"/>
    <w:rsid w:val="00ED71EE"/>
    <w:rsid w:val="00EE3200"/>
    <w:rsid w:val="00EF2709"/>
    <w:rsid w:val="00EF2FA8"/>
    <w:rsid w:val="00EF33F2"/>
    <w:rsid w:val="00EF67B9"/>
    <w:rsid w:val="00F00F3E"/>
    <w:rsid w:val="00F01372"/>
    <w:rsid w:val="00F06EBE"/>
    <w:rsid w:val="00F07235"/>
    <w:rsid w:val="00F10B6A"/>
    <w:rsid w:val="00F12291"/>
    <w:rsid w:val="00F131FF"/>
    <w:rsid w:val="00F1507F"/>
    <w:rsid w:val="00F16DA5"/>
    <w:rsid w:val="00F17756"/>
    <w:rsid w:val="00F20FFC"/>
    <w:rsid w:val="00F21C84"/>
    <w:rsid w:val="00F246BA"/>
    <w:rsid w:val="00F30D9B"/>
    <w:rsid w:val="00F357DF"/>
    <w:rsid w:val="00F35D4D"/>
    <w:rsid w:val="00F36CE9"/>
    <w:rsid w:val="00F372AE"/>
    <w:rsid w:val="00F375EA"/>
    <w:rsid w:val="00F40C7C"/>
    <w:rsid w:val="00F41ADF"/>
    <w:rsid w:val="00F478A6"/>
    <w:rsid w:val="00F50185"/>
    <w:rsid w:val="00F52E28"/>
    <w:rsid w:val="00F53784"/>
    <w:rsid w:val="00F553AE"/>
    <w:rsid w:val="00F559BC"/>
    <w:rsid w:val="00F564CF"/>
    <w:rsid w:val="00F56FF9"/>
    <w:rsid w:val="00F5759B"/>
    <w:rsid w:val="00F6507B"/>
    <w:rsid w:val="00F67571"/>
    <w:rsid w:val="00F72A91"/>
    <w:rsid w:val="00F72D1E"/>
    <w:rsid w:val="00F80684"/>
    <w:rsid w:val="00F868AE"/>
    <w:rsid w:val="00F90E7B"/>
    <w:rsid w:val="00F92D64"/>
    <w:rsid w:val="00F93C10"/>
    <w:rsid w:val="00F94E8B"/>
    <w:rsid w:val="00F9532F"/>
    <w:rsid w:val="00FA4035"/>
    <w:rsid w:val="00FB12AD"/>
    <w:rsid w:val="00FB5856"/>
    <w:rsid w:val="00FB6916"/>
    <w:rsid w:val="00FC477B"/>
    <w:rsid w:val="00FD339F"/>
    <w:rsid w:val="00FD34C3"/>
    <w:rsid w:val="00FD726B"/>
    <w:rsid w:val="00FE0822"/>
    <w:rsid w:val="00FE2E70"/>
    <w:rsid w:val="00FE6788"/>
    <w:rsid w:val="00FF4012"/>
    <w:rsid w:val="00FF4B2B"/>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D5A0"/>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Fluvial1,Ss titre"/>
    <w:basedOn w:val="Normal"/>
    <w:link w:val="ParagraphedelisteCar"/>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uiPriority w:val="99"/>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Fluvial1 Car,Ss titre Car"/>
    <w:basedOn w:val="Policepardfaut"/>
    <w:link w:val="Paragraphedeliste"/>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8"/>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Policepardfaut"/>
    <w:link w:val="Corpsdutexte0"/>
    <w:rsid w:val="00CC6370"/>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CC6370"/>
    <w:pPr>
      <w:widowControl w:val="0"/>
      <w:shd w:val="clear" w:color="auto" w:fill="FFFFFF"/>
      <w:spacing w:before="480" w:after="240" w:line="269" w:lineRule="exact"/>
      <w:ind w:firstLine="720"/>
      <w:jc w:val="both"/>
    </w:pPr>
    <w:rPr>
      <w:sz w:val="19"/>
      <w:szCs w:val="19"/>
      <w:lang w:eastAsia="en-US"/>
    </w:rPr>
  </w:style>
  <w:style w:type="paragraph" w:customStyle="1" w:styleId="Normal1">
    <w:name w:val="Normal1"/>
    <w:rsid w:val="00CC6370"/>
    <w:pPr>
      <w:spacing w:after="0"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227DAE"/>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227D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77139318">
      <w:bodyDiv w:val="1"/>
      <w:marLeft w:val="0"/>
      <w:marRight w:val="0"/>
      <w:marTop w:val="0"/>
      <w:marBottom w:val="0"/>
      <w:divBdr>
        <w:top w:val="none" w:sz="0" w:space="0" w:color="auto"/>
        <w:left w:val="none" w:sz="0" w:space="0" w:color="auto"/>
        <w:bottom w:val="none" w:sz="0" w:space="0" w:color="auto"/>
        <w:right w:val="none" w:sz="0" w:space="0" w:color="auto"/>
      </w:divBdr>
    </w:div>
    <w:div w:id="107480614">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3378207">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80591627">
      <w:bodyDiv w:val="1"/>
      <w:marLeft w:val="0"/>
      <w:marRight w:val="0"/>
      <w:marTop w:val="0"/>
      <w:marBottom w:val="0"/>
      <w:divBdr>
        <w:top w:val="none" w:sz="0" w:space="0" w:color="auto"/>
        <w:left w:val="none" w:sz="0" w:space="0" w:color="auto"/>
        <w:bottom w:val="none" w:sz="0" w:space="0" w:color="auto"/>
        <w:right w:val="none" w:sz="0" w:space="0" w:color="auto"/>
      </w:divBdr>
    </w:div>
    <w:div w:id="383873001">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34857338">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58086944">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74848198">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188175135">
      <w:bodyDiv w:val="1"/>
      <w:marLeft w:val="0"/>
      <w:marRight w:val="0"/>
      <w:marTop w:val="0"/>
      <w:marBottom w:val="0"/>
      <w:divBdr>
        <w:top w:val="none" w:sz="0" w:space="0" w:color="auto"/>
        <w:left w:val="none" w:sz="0" w:space="0" w:color="auto"/>
        <w:bottom w:val="none" w:sz="0" w:space="0" w:color="auto"/>
        <w:right w:val="none" w:sz="0" w:space="0" w:color="auto"/>
      </w:divBdr>
    </w:div>
    <w:div w:id="1197696459">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1776235">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3718177">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0527503">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s-demarches.gov.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AB2F-1B75-485F-A2D2-2C8CBBC0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2832</Words>
  <Characters>15580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2</cp:revision>
  <cp:lastPrinted>2019-12-03T18:24:00Z</cp:lastPrinted>
  <dcterms:created xsi:type="dcterms:W3CDTF">2020-10-15T00:05:00Z</dcterms:created>
  <dcterms:modified xsi:type="dcterms:W3CDTF">2020-10-15T00:05:00Z</dcterms:modified>
</cp:coreProperties>
</file>