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693F08" w:rsidRDefault="00CE47CE" w:rsidP="00CE47CE">
      <w:pPr>
        <w:pStyle w:val="Sansinterligne"/>
        <w:rPr>
          <w:rFonts w:asciiTheme="majorHAnsi" w:hAnsiTheme="majorHAnsi"/>
          <w:lang w:eastAsia="fr-FR"/>
        </w:rPr>
      </w:pPr>
      <w:r w:rsidRPr="00693F08">
        <w:rPr>
          <w:rFonts w:asciiTheme="majorHAnsi" w:hAnsiTheme="majorHAnsi"/>
          <w:noProof/>
          <w:lang w:eastAsia="fr-FR"/>
        </w:rPr>
        <w:drawing>
          <wp:anchor distT="0" distB="0" distL="114300" distR="114300" simplePos="0" relativeHeight="251659264" behindDoc="1" locked="0" layoutInCell="1" allowOverlap="1" wp14:anchorId="340143FC" wp14:editId="2F99E627">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8">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693F08">
        <w:rPr>
          <w:rFonts w:asciiTheme="majorHAnsi" w:hAnsiTheme="majorHAnsi"/>
          <w:noProof/>
          <w:lang w:eastAsia="fr-FR"/>
        </w:rPr>
        <mc:AlternateContent>
          <mc:Choice Requires="wps">
            <w:drawing>
              <wp:anchor distT="45720" distB="45720" distL="114300" distR="114300" simplePos="0" relativeHeight="251660288" behindDoc="0" locked="0" layoutInCell="1" allowOverlap="1" wp14:anchorId="3E1F2436" wp14:editId="4BBCEE61">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F2436"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sidRPr="00693F08">
        <w:rPr>
          <w:rFonts w:asciiTheme="majorHAnsi" w:hAnsiTheme="majorHAnsi"/>
          <w:lang w:eastAsia="fr-FR"/>
        </w:rPr>
        <w:tab/>
        <w:t xml:space="preserve">      </w:t>
      </w:r>
    </w:p>
    <w:p w:rsidR="00CE47CE" w:rsidRPr="00693F08" w:rsidRDefault="00CE47CE" w:rsidP="00CE47CE">
      <w:pPr>
        <w:jc w:val="cente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tabs>
          <w:tab w:val="center" w:pos="4533"/>
          <w:tab w:val="left" w:pos="6544"/>
        </w:tabs>
        <w:rPr>
          <w:rFonts w:asciiTheme="majorHAnsi" w:hAnsiTheme="majorHAnsi"/>
          <w:u w:val="single"/>
        </w:rPr>
      </w:pPr>
      <w:r w:rsidRPr="00693F08">
        <w:rPr>
          <w:rFonts w:asciiTheme="majorHAnsi" w:hAnsiTheme="majorHAnsi" w:cs="Arial"/>
          <w:i/>
          <w:noProof/>
          <w:lang w:eastAsia="fr-FR"/>
        </w:rPr>
        <mc:AlternateContent>
          <mc:Choice Requires="wps">
            <w:drawing>
              <wp:anchor distT="4294967295" distB="4294967295" distL="114300" distR="114300" simplePos="0" relativeHeight="251662336" behindDoc="0" locked="0" layoutInCell="1" allowOverlap="1" wp14:anchorId="2A11D303" wp14:editId="08D8D06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80C08F"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693F08" w:rsidRDefault="00CE47CE" w:rsidP="00CE47CE">
      <w:pPr>
        <w:tabs>
          <w:tab w:val="left" w:pos="3240"/>
        </w:tabs>
        <w:jc w:val="center"/>
        <w:rPr>
          <w:rFonts w:asciiTheme="majorHAnsi" w:hAnsiTheme="majorHAnsi" w:cs="Arial"/>
          <w:b/>
        </w:rPr>
      </w:pPr>
      <w:r w:rsidRPr="00693F08">
        <w:rPr>
          <w:rFonts w:asciiTheme="majorHAnsi" w:hAnsiTheme="majorHAnsi" w:cs="Arial"/>
          <w:b/>
        </w:rPr>
        <w:t>BUREAU DE LA COMMUNICATION</w:t>
      </w:r>
    </w:p>
    <w:p w:rsidR="00CE47CE" w:rsidRPr="00693F08" w:rsidRDefault="007A7556" w:rsidP="00CE47CE">
      <w:pPr>
        <w:tabs>
          <w:tab w:val="left" w:pos="3240"/>
        </w:tabs>
        <w:jc w:val="center"/>
        <w:rPr>
          <w:rFonts w:asciiTheme="majorHAnsi" w:hAnsiTheme="majorHAnsi" w:cs="Arial"/>
          <w:b/>
          <w:i/>
        </w:rPr>
      </w:pPr>
      <w:r>
        <w:rPr>
          <w:rFonts w:asciiTheme="majorHAnsi" w:hAnsiTheme="majorHAnsi" w:cs="Arial"/>
          <w:b/>
          <w:i/>
        </w:rPr>
        <w:t xml:space="preserve">Mercredi </w:t>
      </w:r>
      <w:r w:rsidR="00967DD6">
        <w:rPr>
          <w:rFonts w:asciiTheme="majorHAnsi" w:hAnsiTheme="majorHAnsi" w:cs="Arial"/>
          <w:b/>
          <w:i/>
        </w:rPr>
        <w:t>23</w:t>
      </w:r>
      <w:r w:rsidR="00762278">
        <w:rPr>
          <w:rFonts w:asciiTheme="majorHAnsi" w:hAnsiTheme="majorHAnsi" w:cs="Arial"/>
          <w:b/>
          <w:i/>
        </w:rPr>
        <w:t xml:space="preserve"> septembre</w:t>
      </w:r>
      <w:r>
        <w:rPr>
          <w:rFonts w:asciiTheme="majorHAnsi" w:hAnsiTheme="majorHAnsi" w:cs="Arial"/>
          <w:b/>
          <w:i/>
        </w:rPr>
        <w:t xml:space="preserve"> </w:t>
      </w:r>
      <w:r w:rsidR="00087CFE" w:rsidRPr="00693F08">
        <w:rPr>
          <w:rFonts w:asciiTheme="majorHAnsi" w:hAnsiTheme="majorHAnsi" w:cs="Arial"/>
          <w:b/>
          <w:i/>
        </w:rPr>
        <w:t>2020</w:t>
      </w:r>
    </w:p>
    <w:p w:rsidR="00CE47CE" w:rsidRPr="00693F08" w:rsidRDefault="00CE47CE" w:rsidP="00CE47CE">
      <w:pPr>
        <w:tabs>
          <w:tab w:val="left" w:pos="3240"/>
        </w:tabs>
        <w:jc w:val="center"/>
        <w:rPr>
          <w:rFonts w:asciiTheme="majorHAnsi" w:hAnsiTheme="majorHAnsi"/>
        </w:rPr>
      </w:pPr>
      <w:r w:rsidRPr="00693F08">
        <w:rPr>
          <w:rFonts w:asciiTheme="majorHAnsi" w:hAnsiTheme="majorHAnsi" w:cs="Arial"/>
          <w:i/>
          <w:noProof/>
          <w:lang w:eastAsia="fr-FR"/>
        </w:rPr>
        <mc:AlternateContent>
          <mc:Choice Requires="wps">
            <w:drawing>
              <wp:anchor distT="4294967295" distB="4294967295" distL="114300" distR="114300" simplePos="0" relativeHeight="251661312" behindDoc="0" locked="0" layoutInCell="1" allowOverlap="1" wp14:anchorId="00C04070" wp14:editId="6A74B890">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70D7B"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693F08" w:rsidRDefault="00CE47CE" w:rsidP="00CE47CE">
      <w:pPr>
        <w:tabs>
          <w:tab w:val="left" w:pos="3240"/>
        </w:tabs>
        <w:rPr>
          <w:rFonts w:asciiTheme="majorHAnsi" w:hAnsiTheme="majorHAnsi" w:cs="Arial"/>
          <w:b/>
          <w:i/>
        </w:rPr>
      </w:pPr>
    </w:p>
    <w:p w:rsidR="00CE47CE" w:rsidRPr="00693F08"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Theme="majorHAnsi" w:hAnsiTheme="majorHAnsi"/>
          <w:b/>
        </w:rPr>
      </w:pPr>
      <w:r w:rsidRPr="00693F08">
        <w:rPr>
          <w:rFonts w:asciiTheme="majorHAnsi" w:hAnsiTheme="majorHAnsi"/>
          <w:b/>
        </w:rPr>
        <w:tab/>
        <w:t xml:space="preserve">Compte rendu du Conseil des ministres </w:t>
      </w:r>
    </w:p>
    <w:p w:rsidR="00762278" w:rsidRDefault="00762278" w:rsidP="003C5FFF">
      <w:pPr>
        <w:pStyle w:val="-LettreSuiteORefPJGEDA"/>
        <w:ind w:left="0"/>
        <w:rPr>
          <w:rFonts w:asciiTheme="majorHAnsi" w:hAnsiTheme="majorHAnsi"/>
        </w:rPr>
      </w:pPr>
    </w:p>
    <w:p w:rsidR="00CC6370" w:rsidRDefault="00CC6370" w:rsidP="003C5FFF">
      <w:pPr>
        <w:pStyle w:val="-LettreSuiteORefPJGEDA"/>
        <w:ind w:left="0"/>
        <w:rPr>
          <w:rFonts w:asciiTheme="majorHAnsi" w:hAnsiTheme="majorHAnsi"/>
        </w:rPr>
      </w:pPr>
    </w:p>
    <w:p w:rsidR="000E392B" w:rsidRPr="000E392B" w:rsidRDefault="000E392B" w:rsidP="000E392B">
      <w:pPr>
        <w:pStyle w:val="-LettreTexteGEDA"/>
        <w:spacing w:after="240"/>
        <w:ind w:firstLine="0"/>
        <w:rPr>
          <w:rFonts w:asciiTheme="majorHAnsi" w:hAnsiTheme="majorHAnsi"/>
          <w:noProof w:val="0"/>
        </w:rPr>
      </w:pPr>
      <w:r w:rsidRPr="000E392B">
        <w:rPr>
          <w:rFonts w:asciiTheme="majorHAnsi" w:hAnsiTheme="majorHAnsi" w:cs="Arial"/>
          <w:b/>
          <w:szCs w:val="24"/>
        </w:rPr>
        <w:t>Ouverture de la campagne de pêche réglementée aux holothuries sur les îles de Kaukura, Taenga et Nihiru</w:t>
      </w:r>
    </w:p>
    <w:p w:rsidR="000E392B" w:rsidRDefault="000E392B" w:rsidP="000E392B">
      <w:pPr>
        <w:pStyle w:val="-LettreObjetGEDA"/>
        <w:tabs>
          <w:tab w:val="left" w:pos="709"/>
        </w:tabs>
        <w:ind w:left="-108" w:firstLine="0"/>
        <w:rPr>
          <w:rFonts w:asciiTheme="majorHAnsi" w:hAnsiTheme="majorHAnsi" w:cs="Arial"/>
          <w:noProof w:val="0"/>
          <w:szCs w:val="24"/>
        </w:rPr>
      </w:pPr>
      <w:r w:rsidRPr="000E392B">
        <w:rPr>
          <w:rFonts w:asciiTheme="majorHAnsi" w:hAnsiTheme="majorHAnsi" w:cs="Arial"/>
          <w:noProof w:val="0"/>
          <w:szCs w:val="24"/>
        </w:rPr>
        <w:t>L’exploitation commerciale des holothuries (</w:t>
      </w:r>
      <w:proofErr w:type="spellStart"/>
      <w:r w:rsidRPr="000E392B">
        <w:rPr>
          <w:rFonts w:asciiTheme="majorHAnsi" w:hAnsiTheme="majorHAnsi" w:cs="Arial"/>
          <w:i/>
          <w:noProof w:val="0"/>
          <w:szCs w:val="24"/>
        </w:rPr>
        <w:t>rori</w:t>
      </w:r>
      <w:proofErr w:type="spellEnd"/>
      <w:r w:rsidRPr="000E392B">
        <w:rPr>
          <w:rFonts w:asciiTheme="majorHAnsi" w:hAnsiTheme="majorHAnsi" w:cs="Arial"/>
          <w:noProof w:val="0"/>
          <w:szCs w:val="24"/>
        </w:rPr>
        <w:t>) est encadrée par des mesures de gestion prévues par la délibération de l’Assemblée de la Polynésie française du 22 octobre 2012 et l’arrêté du Conseil des ministres du 25 avril 2013 modifié.</w:t>
      </w:r>
      <w:r>
        <w:rPr>
          <w:rFonts w:asciiTheme="majorHAnsi" w:hAnsiTheme="majorHAnsi" w:cs="Arial"/>
          <w:noProof w:val="0"/>
          <w:szCs w:val="24"/>
        </w:rPr>
        <w:t xml:space="preserve"> </w:t>
      </w:r>
      <w:r w:rsidRPr="000E392B">
        <w:rPr>
          <w:rFonts w:asciiTheme="majorHAnsi" w:hAnsiTheme="majorHAnsi" w:cs="Arial"/>
          <w:noProof w:val="0"/>
          <w:szCs w:val="24"/>
        </w:rPr>
        <w:t xml:space="preserve">En 2019, la pêche aux holothuries a permis d’exporter 11 883 holothuries séchées pour un poids de 2 968 kg et une valeur marchande (FAB) de 24,8 millions </w:t>
      </w:r>
      <w:proofErr w:type="spellStart"/>
      <w:r>
        <w:rPr>
          <w:rFonts w:asciiTheme="majorHAnsi" w:hAnsiTheme="majorHAnsi" w:cs="Arial"/>
          <w:noProof w:val="0"/>
          <w:szCs w:val="24"/>
        </w:rPr>
        <w:t>Fcfp</w:t>
      </w:r>
      <w:proofErr w:type="spellEnd"/>
      <w:r w:rsidRPr="000E392B">
        <w:rPr>
          <w:rFonts w:asciiTheme="majorHAnsi" w:hAnsiTheme="majorHAnsi" w:cs="Arial"/>
          <w:noProof w:val="0"/>
          <w:szCs w:val="24"/>
        </w:rPr>
        <w:t xml:space="preserve">. </w:t>
      </w:r>
    </w:p>
    <w:p w:rsidR="000E392B" w:rsidRDefault="000E392B" w:rsidP="000E392B">
      <w:pPr>
        <w:pStyle w:val="-LettreObjetGEDA"/>
        <w:tabs>
          <w:tab w:val="left" w:pos="709"/>
        </w:tabs>
        <w:ind w:left="-108" w:firstLine="0"/>
        <w:rPr>
          <w:rFonts w:asciiTheme="majorHAnsi" w:hAnsiTheme="majorHAnsi" w:cs="Arial"/>
          <w:noProof w:val="0"/>
          <w:szCs w:val="24"/>
        </w:rPr>
      </w:pPr>
      <w:r w:rsidRPr="000E392B">
        <w:rPr>
          <w:rFonts w:asciiTheme="majorHAnsi" w:hAnsiTheme="majorHAnsi" w:cs="Arial"/>
          <w:szCs w:val="24"/>
        </w:rPr>
        <w:t xml:space="preserve">Cette année, </w:t>
      </w:r>
      <w:r w:rsidRPr="000E392B">
        <w:rPr>
          <w:rFonts w:asciiTheme="majorHAnsi" w:hAnsiTheme="majorHAnsi" w:cs="Arial"/>
          <w:noProof w:val="0"/>
          <w:szCs w:val="24"/>
        </w:rPr>
        <w:t xml:space="preserve">deux comités de gestion ont demandé l’ouverture de la pêche aux holothuries dans les îles de </w:t>
      </w:r>
      <w:proofErr w:type="spellStart"/>
      <w:r w:rsidRPr="000E392B">
        <w:rPr>
          <w:rFonts w:asciiTheme="majorHAnsi" w:hAnsiTheme="majorHAnsi" w:cs="Arial"/>
          <w:noProof w:val="0"/>
          <w:szCs w:val="24"/>
        </w:rPr>
        <w:t>Kaukura</w:t>
      </w:r>
      <w:proofErr w:type="spellEnd"/>
      <w:r w:rsidRPr="000E392B">
        <w:rPr>
          <w:rFonts w:asciiTheme="majorHAnsi" w:hAnsiTheme="majorHAnsi" w:cs="Arial"/>
          <w:noProof w:val="0"/>
          <w:szCs w:val="24"/>
        </w:rPr>
        <w:t xml:space="preserve">, </w:t>
      </w:r>
      <w:proofErr w:type="spellStart"/>
      <w:r w:rsidRPr="000E392B">
        <w:rPr>
          <w:rFonts w:asciiTheme="majorHAnsi" w:hAnsiTheme="majorHAnsi" w:cs="Arial"/>
          <w:noProof w:val="0"/>
          <w:szCs w:val="24"/>
        </w:rPr>
        <w:t>Taenga</w:t>
      </w:r>
      <w:proofErr w:type="spellEnd"/>
      <w:r w:rsidRPr="000E392B">
        <w:rPr>
          <w:rFonts w:asciiTheme="majorHAnsi" w:hAnsiTheme="majorHAnsi" w:cs="Arial"/>
          <w:noProof w:val="0"/>
          <w:szCs w:val="24"/>
        </w:rPr>
        <w:t xml:space="preserve"> et </w:t>
      </w:r>
      <w:proofErr w:type="spellStart"/>
      <w:r w:rsidRPr="000E392B">
        <w:rPr>
          <w:rFonts w:asciiTheme="majorHAnsi" w:hAnsiTheme="majorHAnsi" w:cs="Arial"/>
          <w:noProof w:val="0"/>
          <w:szCs w:val="24"/>
        </w:rPr>
        <w:t>Nihiru</w:t>
      </w:r>
      <w:proofErr w:type="spellEnd"/>
      <w:r w:rsidRPr="000E392B">
        <w:rPr>
          <w:rFonts w:asciiTheme="majorHAnsi" w:hAnsiTheme="majorHAnsi" w:cs="Arial"/>
          <w:noProof w:val="0"/>
          <w:szCs w:val="24"/>
        </w:rPr>
        <w:t>. Ces comités ont pour rôle de recenser les pêcheurs et transformateurs d’holothuries et de les tenir informés des différentes règles de pêche et quotas applicables sur ces îles. Ils prennent également l’engagement d’effectuer le suivi de la pêche sur le terrain, la transformation et les expéditions destinées exclusivement à des commerçants d’holothuries titulaires d’un agrément (2 commerçants agréés à ce jour)</w:t>
      </w:r>
    </w:p>
    <w:p w:rsidR="000E392B" w:rsidRDefault="000E392B" w:rsidP="000E392B">
      <w:pPr>
        <w:pStyle w:val="-LettreObjetGEDA"/>
        <w:tabs>
          <w:tab w:val="left" w:pos="709"/>
        </w:tabs>
        <w:ind w:left="-108" w:firstLine="0"/>
        <w:rPr>
          <w:rFonts w:asciiTheme="majorHAnsi" w:hAnsiTheme="majorHAnsi" w:cs="Arial"/>
          <w:szCs w:val="24"/>
        </w:rPr>
      </w:pPr>
      <w:r w:rsidRPr="000E392B">
        <w:rPr>
          <w:rFonts w:asciiTheme="majorHAnsi" w:hAnsiTheme="majorHAnsi" w:cs="Arial"/>
          <w:szCs w:val="24"/>
        </w:rPr>
        <w:t xml:space="preserve">Le Conseil des </w:t>
      </w:r>
      <w:r>
        <w:rPr>
          <w:rFonts w:asciiTheme="majorHAnsi" w:hAnsiTheme="majorHAnsi" w:cs="Arial"/>
          <w:szCs w:val="24"/>
        </w:rPr>
        <w:t>m</w:t>
      </w:r>
      <w:r w:rsidRPr="000E392B">
        <w:rPr>
          <w:rFonts w:asciiTheme="majorHAnsi" w:hAnsiTheme="majorHAnsi" w:cs="Arial"/>
          <w:szCs w:val="24"/>
        </w:rPr>
        <w:t xml:space="preserve">inistres a autorisé la pêche aux holothuries pour les deux espèces </w:t>
      </w:r>
      <w:r w:rsidRPr="000E392B">
        <w:rPr>
          <w:rFonts w:asciiTheme="majorHAnsi" w:hAnsiTheme="majorHAnsi" w:cs="Arial"/>
          <w:i/>
          <w:szCs w:val="24"/>
        </w:rPr>
        <w:t>Actinopyga mauritiana</w:t>
      </w:r>
      <w:r w:rsidRPr="000E392B">
        <w:rPr>
          <w:rFonts w:asciiTheme="majorHAnsi" w:hAnsiTheme="majorHAnsi" w:cs="Arial"/>
          <w:szCs w:val="24"/>
        </w:rPr>
        <w:t xml:space="preserve"> (</w:t>
      </w:r>
      <w:r w:rsidRPr="000E392B">
        <w:rPr>
          <w:rFonts w:asciiTheme="majorHAnsi" w:hAnsiTheme="majorHAnsi" w:cs="Arial"/>
          <w:i/>
          <w:szCs w:val="24"/>
        </w:rPr>
        <w:t>rori papao</w:t>
      </w:r>
      <w:r w:rsidRPr="000E392B">
        <w:rPr>
          <w:rFonts w:asciiTheme="majorHAnsi" w:hAnsiTheme="majorHAnsi" w:cs="Arial"/>
          <w:szCs w:val="24"/>
        </w:rPr>
        <w:t xml:space="preserve">) et </w:t>
      </w:r>
      <w:r w:rsidRPr="000E392B">
        <w:rPr>
          <w:rFonts w:asciiTheme="majorHAnsi" w:hAnsiTheme="majorHAnsi" w:cs="Arial"/>
          <w:i/>
          <w:szCs w:val="24"/>
        </w:rPr>
        <w:t>Bohadschia argus</w:t>
      </w:r>
      <w:r w:rsidRPr="000E392B">
        <w:rPr>
          <w:rFonts w:asciiTheme="majorHAnsi" w:hAnsiTheme="majorHAnsi" w:cs="Arial"/>
          <w:szCs w:val="24"/>
        </w:rPr>
        <w:t xml:space="preserve"> (</w:t>
      </w:r>
      <w:r w:rsidRPr="000E392B">
        <w:rPr>
          <w:rFonts w:asciiTheme="majorHAnsi" w:hAnsiTheme="majorHAnsi" w:cs="Arial"/>
          <w:i/>
          <w:szCs w:val="24"/>
        </w:rPr>
        <w:t>rori ruahine</w:t>
      </w:r>
      <w:r w:rsidRPr="000E392B">
        <w:rPr>
          <w:rFonts w:asciiTheme="majorHAnsi" w:hAnsiTheme="majorHAnsi" w:cs="Arial"/>
          <w:szCs w:val="24"/>
        </w:rPr>
        <w:t>) dans ces 3 atolls, jusqu’au 31 octobre 2020, selon des quotas fixés pour chaque lagon et avec des tailles minimales pour chaque espèce à respecter. Une zone de réserve est également mise en place dans chaque île.</w:t>
      </w:r>
      <w:r>
        <w:rPr>
          <w:rFonts w:asciiTheme="majorHAnsi" w:hAnsiTheme="majorHAnsi" w:cs="Arial"/>
          <w:szCs w:val="24"/>
        </w:rPr>
        <w:t xml:space="preserve"> </w:t>
      </w:r>
    </w:p>
    <w:p w:rsidR="000E392B" w:rsidRDefault="000E392B" w:rsidP="000E392B">
      <w:pPr>
        <w:pStyle w:val="-LettreObjetGEDA"/>
        <w:tabs>
          <w:tab w:val="left" w:pos="709"/>
        </w:tabs>
        <w:ind w:left="-108" w:firstLine="0"/>
        <w:rPr>
          <w:rFonts w:asciiTheme="majorHAnsi" w:hAnsiTheme="majorHAnsi" w:cs="Arial"/>
          <w:szCs w:val="24"/>
        </w:rPr>
      </w:pPr>
      <w:r w:rsidRPr="000E392B">
        <w:rPr>
          <w:rFonts w:asciiTheme="majorHAnsi" w:eastAsia="Calibri" w:hAnsiTheme="majorHAnsi" w:cs="Arial"/>
          <w:szCs w:val="24"/>
        </w:rPr>
        <w:t>Les quotas</w:t>
      </w:r>
      <w:r w:rsidRPr="000E392B">
        <w:rPr>
          <w:rFonts w:asciiTheme="majorHAnsi" w:hAnsiTheme="majorHAnsi" w:cs="Arial"/>
          <w:szCs w:val="24"/>
        </w:rPr>
        <w:t xml:space="preserve"> retenus par le Conseil des </w:t>
      </w:r>
      <w:r>
        <w:rPr>
          <w:rFonts w:asciiTheme="majorHAnsi" w:hAnsiTheme="majorHAnsi" w:cs="Arial"/>
          <w:szCs w:val="24"/>
        </w:rPr>
        <w:t>m</w:t>
      </w:r>
      <w:r w:rsidRPr="000E392B">
        <w:rPr>
          <w:rFonts w:asciiTheme="majorHAnsi" w:hAnsiTheme="majorHAnsi" w:cs="Arial"/>
          <w:szCs w:val="24"/>
        </w:rPr>
        <w:t>inistres</w:t>
      </w:r>
      <w:r w:rsidRPr="000E392B">
        <w:rPr>
          <w:rFonts w:asciiTheme="majorHAnsi" w:eastAsia="Calibri" w:hAnsiTheme="majorHAnsi" w:cs="Arial"/>
          <w:szCs w:val="24"/>
        </w:rPr>
        <w:t xml:space="preserve"> ont tenu compte des demandes des comités de gestion, d’une évaluation technique des ressources disponibles mais également des résultats des pêches antérieures et des connaissances existantes</w:t>
      </w:r>
      <w:r w:rsidRPr="000E392B">
        <w:rPr>
          <w:rFonts w:asciiTheme="majorHAnsi" w:hAnsiTheme="majorHAnsi" w:cs="Arial"/>
          <w:szCs w:val="24"/>
        </w:rPr>
        <w:t>. Ainsi, le quota total pour ces îles a été fixé à 11 800 holothuries, toutes espèces confondues.</w:t>
      </w:r>
    </w:p>
    <w:p w:rsidR="007611A0" w:rsidRDefault="000E392B" w:rsidP="007611A0">
      <w:pPr>
        <w:pStyle w:val="-LettreObjetGEDA"/>
        <w:tabs>
          <w:tab w:val="left" w:pos="709"/>
        </w:tabs>
        <w:ind w:left="-108" w:firstLine="0"/>
        <w:rPr>
          <w:rFonts w:asciiTheme="majorHAnsi" w:hAnsiTheme="majorHAnsi" w:cs="Arial"/>
          <w:szCs w:val="24"/>
          <w:shd w:val="clear" w:color="auto" w:fill="FFFFFF"/>
        </w:rPr>
      </w:pPr>
      <w:r w:rsidRPr="000E392B">
        <w:rPr>
          <w:rFonts w:asciiTheme="majorHAnsi" w:hAnsiTheme="majorHAnsi" w:cs="Arial"/>
          <w:spacing w:val="15"/>
          <w:szCs w:val="24"/>
          <w:shd w:val="clear" w:color="auto" w:fill="FFFFFF"/>
        </w:rPr>
        <w:t xml:space="preserve">Pour les habitants des Tuamotu, l’accès à cette ressource marine leur permet de percevoir un complément financier non négligeable notamment dans le contexte actuel difficile. </w:t>
      </w:r>
      <w:r w:rsidRPr="000E392B">
        <w:rPr>
          <w:rFonts w:asciiTheme="majorHAnsi" w:hAnsiTheme="majorHAnsi" w:cs="Arial"/>
          <w:szCs w:val="24"/>
        </w:rPr>
        <w:t>A noter que cette année, a</w:t>
      </w:r>
      <w:r w:rsidRPr="000E392B">
        <w:rPr>
          <w:rFonts w:asciiTheme="majorHAnsi" w:eastAsia="Calibri" w:hAnsiTheme="majorHAnsi" w:cs="Arial"/>
          <w:szCs w:val="24"/>
        </w:rPr>
        <w:t xml:space="preserve">ucun quota de pêche n’a été accordé pour les </w:t>
      </w:r>
      <w:r w:rsidRPr="000E392B">
        <w:rPr>
          <w:rFonts w:asciiTheme="majorHAnsi" w:hAnsiTheme="majorHAnsi" w:cs="Arial"/>
          <w:szCs w:val="24"/>
        </w:rPr>
        <w:t>holothuries à mamelles (</w:t>
      </w:r>
      <w:r w:rsidRPr="000E392B">
        <w:rPr>
          <w:rFonts w:asciiTheme="majorHAnsi" w:hAnsiTheme="majorHAnsi" w:cs="Arial"/>
          <w:i/>
          <w:szCs w:val="24"/>
        </w:rPr>
        <w:t>rori titi</w:t>
      </w:r>
      <w:r w:rsidRPr="000E392B">
        <w:rPr>
          <w:rFonts w:asciiTheme="majorHAnsi" w:hAnsiTheme="majorHAnsi" w:cs="Arial"/>
          <w:szCs w:val="24"/>
        </w:rPr>
        <w:t>)</w:t>
      </w:r>
      <w:r w:rsidRPr="000E392B">
        <w:rPr>
          <w:rFonts w:asciiTheme="majorHAnsi" w:eastAsia="Calibri" w:hAnsiTheme="majorHAnsi" w:cs="Arial"/>
          <w:szCs w:val="24"/>
        </w:rPr>
        <w:t xml:space="preserve"> suite à leur inscription à l’annexe II de la CITES</w:t>
      </w:r>
      <w:r>
        <w:rPr>
          <w:rFonts w:asciiTheme="majorHAnsi" w:eastAsia="Calibri" w:hAnsiTheme="majorHAnsi" w:cs="Arial"/>
          <w:szCs w:val="24"/>
        </w:rPr>
        <w:t xml:space="preserve"> (Convention sur le commerce international des espèces de faune etd e flore sauvages menacées d’extinction)</w:t>
      </w:r>
      <w:r w:rsidRPr="000E392B">
        <w:rPr>
          <w:rFonts w:asciiTheme="majorHAnsi" w:hAnsiTheme="majorHAnsi" w:cs="Arial"/>
          <w:szCs w:val="24"/>
        </w:rPr>
        <w:t xml:space="preserve">. </w:t>
      </w:r>
      <w:r>
        <w:rPr>
          <w:rFonts w:asciiTheme="majorHAnsi" w:hAnsiTheme="majorHAnsi" w:cs="Arial"/>
          <w:szCs w:val="24"/>
          <w:shd w:val="clear" w:color="auto" w:fill="FFFFFF"/>
        </w:rPr>
        <w:t>Cette a</w:t>
      </w:r>
      <w:r w:rsidRPr="000E392B">
        <w:rPr>
          <w:rFonts w:asciiTheme="majorHAnsi" w:hAnsiTheme="majorHAnsi" w:cs="Arial"/>
          <w:szCs w:val="24"/>
          <w:shd w:val="clear" w:color="auto" w:fill="FFFFFF"/>
        </w:rPr>
        <w:t>nnexe II comprend toutes les espèces qui ne sont pas nécessairement menacées d'extinction mais dont le commerce des spécimens doit être réglementé pour éviter une exploitation incompatible avec leur survie.</w:t>
      </w:r>
    </w:p>
    <w:p w:rsidR="007611A0" w:rsidRDefault="007611A0" w:rsidP="007611A0">
      <w:pPr>
        <w:pStyle w:val="-LettreObjetGEDA"/>
        <w:tabs>
          <w:tab w:val="left" w:pos="709"/>
        </w:tabs>
        <w:ind w:left="-108" w:firstLine="0"/>
        <w:rPr>
          <w:rFonts w:asciiTheme="majorHAnsi" w:hAnsiTheme="majorHAnsi" w:cs="Arial"/>
          <w:szCs w:val="24"/>
          <w:shd w:val="clear" w:color="auto" w:fill="FFFFFF"/>
        </w:rPr>
      </w:pPr>
    </w:p>
    <w:p w:rsidR="007611A0" w:rsidRDefault="007611A0" w:rsidP="007611A0">
      <w:pPr>
        <w:pStyle w:val="-LettreObjetGEDA"/>
        <w:tabs>
          <w:tab w:val="left" w:pos="709"/>
        </w:tabs>
        <w:ind w:left="-108" w:firstLine="0"/>
        <w:rPr>
          <w:rFonts w:ascii="Cambria" w:hAnsi="Cambria"/>
          <w:b/>
        </w:rPr>
      </w:pPr>
      <w:r w:rsidRPr="007611A0">
        <w:rPr>
          <w:rFonts w:ascii="Cambria" w:hAnsi="Cambria"/>
          <w:b/>
        </w:rPr>
        <w:t>Prêt à la C</w:t>
      </w:r>
      <w:r>
        <w:rPr>
          <w:rFonts w:ascii="Cambria" w:hAnsi="Cambria"/>
          <w:b/>
        </w:rPr>
        <w:t>aisse de Prévoyance Sociale</w:t>
      </w:r>
    </w:p>
    <w:p w:rsidR="007611A0" w:rsidRDefault="007611A0" w:rsidP="007611A0">
      <w:pPr>
        <w:pStyle w:val="-LettreObjetGEDA"/>
        <w:tabs>
          <w:tab w:val="left" w:pos="709"/>
        </w:tabs>
        <w:ind w:left="-108" w:firstLine="0"/>
        <w:rPr>
          <w:rFonts w:ascii="Cambria" w:hAnsi="Cambria"/>
        </w:rPr>
      </w:pPr>
      <w:r w:rsidRPr="007611A0">
        <w:rPr>
          <w:rFonts w:ascii="Cambria" w:hAnsi="Cambria"/>
        </w:rPr>
        <w:t xml:space="preserve">Comme tout organisme de sécurité sociale gérant un régime par répartition, le modèle économique de la Caisse de prévoyance sociale </w:t>
      </w:r>
      <w:r>
        <w:rPr>
          <w:rFonts w:ascii="Cambria" w:hAnsi="Cambria"/>
        </w:rPr>
        <w:t xml:space="preserve">(CPS) </w:t>
      </w:r>
      <w:r w:rsidRPr="007611A0">
        <w:rPr>
          <w:rFonts w:ascii="Cambria" w:hAnsi="Cambria"/>
        </w:rPr>
        <w:t xml:space="preserve">repose sur l’équilibre entre encaissements (cotisations et autres subventions) et décaissements (sous forme de prestations de santé, famille, retraite, handicap, action sociale). Le niveau des encaissements dépend directement de la conjoncture économique et de l’emploi. </w:t>
      </w:r>
    </w:p>
    <w:p w:rsidR="007611A0" w:rsidRDefault="007611A0" w:rsidP="007611A0">
      <w:pPr>
        <w:pStyle w:val="-LettreObjetGEDA"/>
        <w:tabs>
          <w:tab w:val="left" w:pos="709"/>
        </w:tabs>
        <w:ind w:left="-108" w:firstLine="0"/>
        <w:rPr>
          <w:rFonts w:ascii="Cambria" w:hAnsi="Cambria"/>
        </w:rPr>
      </w:pPr>
      <w:r w:rsidRPr="007611A0">
        <w:rPr>
          <w:rFonts w:ascii="Cambria" w:hAnsi="Cambria"/>
        </w:rPr>
        <w:t>Les mesures arrêtées dans le cadre de l’état d’urgence sanitaire ont impacté de nombreux pans de l’économie polynésienne de sorte que la masse salariale globale a régressé. Les cotisations étant prélevées sur cette masse, leur volume s’est considérablement et rapidement contracté depuis le mois d’avril. Afin de permettre à la Caisse de garantir le versement des prestations, le Pays a décidé de solliciter un emprunt garanti par l’État auprès de l’A</w:t>
      </w:r>
      <w:r>
        <w:rPr>
          <w:rFonts w:ascii="Cambria" w:hAnsi="Cambria"/>
        </w:rPr>
        <w:t>FD (A</w:t>
      </w:r>
      <w:r w:rsidRPr="007611A0">
        <w:rPr>
          <w:rFonts w:ascii="Cambria" w:hAnsi="Cambria"/>
        </w:rPr>
        <w:t>gence française de développement</w:t>
      </w:r>
      <w:r>
        <w:rPr>
          <w:rFonts w:ascii="Cambria" w:hAnsi="Cambria"/>
        </w:rPr>
        <w:t>)</w:t>
      </w:r>
      <w:r w:rsidRPr="007611A0">
        <w:rPr>
          <w:rFonts w:ascii="Cambria" w:hAnsi="Cambria"/>
        </w:rPr>
        <w:t xml:space="preserve">. Ce premier emprunt, rétrocédé en partie à la CPS dans les mêmes conditions que celles appliquées au Pays par l’AFD, sécurise les comptes du régime des salariés, au bénéfice de l’ensemble des Polynésiens.  </w:t>
      </w:r>
    </w:p>
    <w:p w:rsidR="007611A0" w:rsidRDefault="007611A0" w:rsidP="007611A0">
      <w:pPr>
        <w:pStyle w:val="-LettreObjetGEDA"/>
        <w:tabs>
          <w:tab w:val="left" w:pos="709"/>
        </w:tabs>
        <w:ind w:left="-108" w:firstLine="0"/>
        <w:rPr>
          <w:rFonts w:ascii="Cambria" w:hAnsi="Cambria"/>
        </w:rPr>
      </w:pPr>
    </w:p>
    <w:p w:rsidR="007611A0" w:rsidRPr="007611A0" w:rsidRDefault="007611A0" w:rsidP="007611A0">
      <w:pPr>
        <w:pStyle w:val="-LettreObjetGEDA"/>
        <w:tabs>
          <w:tab w:val="left" w:pos="709"/>
        </w:tabs>
        <w:ind w:left="-108" w:firstLine="0"/>
        <w:rPr>
          <w:rFonts w:ascii="Cambria" w:hAnsi="Cambria"/>
          <w:b/>
        </w:rPr>
      </w:pPr>
      <w:r w:rsidRPr="007611A0">
        <w:rPr>
          <w:rFonts w:ascii="Cambria" w:hAnsi="Cambria"/>
          <w:b/>
        </w:rPr>
        <w:t>Maintien du p</w:t>
      </w:r>
      <w:r w:rsidRPr="007611A0">
        <w:rPr>
          <w:rFonts w:ascii="Cambria" w:hAnsi="Cambria"/>
          <w:b/>
        </w:rPr>
        <w:t>rix des hydrocarbures au 1</w:t>
      </w:r>
      <w:r w:rsidRPr="007611A0">
        <w:rPr>
          <w:rFonts w:ascii="Cambria" w:hAnsi="Cambria"/>
          <w:b/>
          <w:vertAlign w:val="superscript"/>
        </w:rPr>
        <w:t>er</w:t>
      </w:r>
      <w:r w:rsidRPr="007611A0">
        <w:rPr>
          <w:rFonts w:ascii="Cambria" w:hAnsi="Cambria"/>
          <w:b/>
        </w:rPr>
        <w:t xml:space="preserve"> octobre</w:t>
      </w:r>
    </w:p>
    <w:p w:rsidR="007611A0" w:rsidRDefault="007611A0" w:rsidP="007611A0">
      <w:pPr>
        <w:pStyle w:val="-LettreObjetGEDA"/>
        <w:tabs>
          <w:tab w:val="left" w:pos="709"/>
        </w:tabs>
        <w:ind w:left="-108" w:firstLine="0"/>
        <w:rPr>
          <w:rFonts w:ascii="Cambria" w:hAnsi="Cambria"/>
        </w:rPr>
      </w:pPr>
      <w:r w:rsidRPr="007611A0">
        <w:rPr>
          <w:rFonts w:ascii="Cambria" w:hAnsi="Cambria"/>
        </w:rPr>
        <w:t xml:space="preserve">Afin de poursuivre les efforts de relance économique, le Conseil des </w:t>
      </w:r>
      <w:r w:rsidRPr="007611A0">
        <w:rPr>
          <w:rFonts w:ascii="Cambria" w:hAnsi="Cambria"/>
        </w:rPr>
        <w:t>m</w:t>
      </w:r>
      <w:r w:rsidRPr="007611A0">
        <w:rPr>
          <w:rFonts w:ascii="Cambria" w:hAnsi="Cambria"/>
        </w:rPr>
        <w:t>inistres a décidé de maintenir les prix des carburants à leur niveau actuel pour le mois d’octobre 2020.</w:t>
      </w:r>
    </w:p>
    <w:p w:rsidR="007611A0" w:rsidRDefault="007611A0" w:rsidP="007611A0">
      <w:pPr>
        <w:rPr>
          <w:lang w:eastAsia="fr-FR"/>
        </w:rPr>
      </w:pPr>
    </w:p>
    <w:p w:rsidR="007611A0" w:rsidRPr="007611A0" w:rsidRDefault="007611A0" w:rsidP="007611A0">
      <w:pPr>
        <w:rPr>
          <w:lang w:eastAsia="fr-FR"/>
        </w:rPr>
      </w:pPr>
      <w:bookmarkStart w:id="0" w:name="_GoBack"/>
      <w:bookmarkEnd w:id="0"/>
    </w:p>
    <w:p w:rsidR="000E392B" w:rsidRDefault="000E392B" w:rsidP="000E392B">
      <w:pPr>
        <w:pStyle w:val="-LettreObjetGEDA"/>
        <w:tabs>
          <w:tab w:val="left" w:pos="709"/>
        </w:tabs>
        <w:ind w:left="-108" w:firstLine="0"/>
        <w:rPr>
          <w:rFonts w:ascii="Cambria" w:hAnsi="Cambria"/>
          <w:b/>
        </w:rPr>
      </w:pPr>
      <w:r w:rsidRPr="008F5CF2">
        <w:rPr>
          <w:rFonts w:ascii="Cambria" w:hAnsi="Cambria"/>
          <w:b/>
        </w:rPr>
        <w:t>Etat d’avancement de la politique publique de l’habitat</w:t>
      </w:r>
    </w:p>
    <w:p w:rsidR="000E392B" w:rsidRDefault="000E392B" w:rsidP="000E392B">
      <w:pPr>
        <w:pStyle w:val="-LettreObjetGEDA"/>
        <w:tabs>
          <w:tab w:val="left" w:pos="709"/>
        </w:tabs>
        <w:ind w:left="-108" w:firstLine="0"/>
        <w:rPr>
          <w:rFonts w:ascii="Cambria" w:hAnsi="Cambria"/>
        </w:rPr>
      </w:pPr>
      <w:r w:rsidRPr="008F5CF2">
        <w:rPr>
          <w:rFonts w:ascii="Cambria" w:hAnsi="Cambria"/>
        </w:rPr>
        <w:t>Le Pays fait actuellement face à des défis de taille en matière d’habitat: une population jeune qui rencontre des difficultés pour accéder à un premier logement, des situations de surpeuplement au sein d’un parc de logement non adapté qui génèrent des problématiques intrafamiliales et de voisinage. Malgré les efforts engagés par le Pays dans ce domaine, la production de logements à prix abordable reste faible et ne parvient pas à limiter la hausse des prix du marché.</w:t>
      </w:r>
    </w:p>
    <w:p w:rsidR="000E392B" w:rsidRDefault="000E392B" w:rsidP="000E392B">
      <w:pPr>
        <w:pStyle w:val="-LettreObjetGEDA"/>
        <w:tabs>
          <w:tab w:val="left" w:pos="709"/>
        </w:tabs>
        <w:ind w:left="-108" w:firstLine="0"/>
        <w:rPr>
          <w:rFonts w:ascii="Cambria" w:hAnsi="Cambria"/>
        </w:rPr>
      </w:pPr>
      <w:r w:rsidRPr="008F5CF2">
        <w:rPr>
          <w:rFonts w:ascii="Cambria" w:hAnsi="Cambria"/>
        </w:rPr>
        <w:t>Le ministre du Logement souhaite apporter des réponses à ces problématiques. La stratégie de la Politique Publique de l’Habitat (PPH) 2020-2030 doit définir les actions à entreprendre pour permettre le développement d’une offre de logement suffisante et adaptée aux besoins, libérer et aménager du foncier, accompagner les jeunes et les ménages modestes vers l’accès à un logement décent, ou encore améliorer les conditions de vie au sein des logements existants.</w:t>
      </w:r>
    </w:p>
    <w:p w:rsidR="000E392B" w:rsidRDefault="000E392B" w:rsidP="000E392B">
      <w:pPr>
        <w:pStyle w:val="-LettreObjetGEDA"/>
        <w:tabs>
          <w:tab w:val="left" w:pos="709"/>
        </w:tabs>
        <w:ind w:left="-108" w:firstLine="0"/>
        <w:rPr>
          <w:rFonts w:ascii="Cambria" w:hAnsi="Cambria"/>
        </w:rPr>
      </w:pPr>
      <w:r w:rsidRPr="008F5CF2">
        <w:rPr>
          <w:rFonts w:ascii="Cambria" w:hAnsi="Cambria"/>
        </w:rPr>
        <w:t xml:space="preserve">Un séminaire prospectif de l’habitat est </w:t>
      </w:r>
      <w:r>
        <w:rPr>
          <w:rFonts w:ascii="Cambria" w:hAnsi="Cambria"/>
        </w:rPr>
        <w:t xml:space="preserve">ainsi </w:t>
      </w:r>
      <w:r w:rsidRPr="008F5CF2">
        <w:rPr>
          <w:rFonts w:ascii="Cambria" w:hAnsi="Cambria"/>
        </w:rPr>
        <w:t xml:space="preserve">organisé le 25 septembre, au cours duquel les partenaires et l’ensemble des </w:t>
      </w:r>
      <w:r>
        <w:rPr>
          <w:rFonts w:ascii="Cambria" w:hAnsi="Cambria"/>
        </w:rPr>
        <w:t>m</w:t>
      </w:r>
      <w:r w:rsidRPr="008F5CF2">
        <w:rPr>
          <w:rFonts w:ascii="Cambria" w:hAnsi="Cambria"/>
        </w:rPr>
        <w:t>aires exprimeront les besoins en habitat par archipel. Le diagnostic et les premières orientation</w:t>
      </w:r>
      <w:r>
        <w:rPr>
          <w:rFonts w:ascii="Cambria" w:hAnsi="Cambria"/>
        </w:rPr>
        <w:t>s seront ensuite validés lors d’un</w:t>
      </w:r>
      <w:r w:rsidRPr="008F5CF2">
        <w:rPr>
          <w:rFonts w:ascii="Cambria" w:hAnsi="Cambria"/>
        </w:rPr>
        <w:t xml:space="preserve"> </w:t>
      </w:r>
      <w:r>
        <w:rPr>
          <w:rFonts w:ascii="Cambria" w:hAnsi="Cambria"/>
        </w:rPr>
        <w:t>c</w:t>
      </w:r>
      <w:r w:rsidRPr="008F5CF2">
        <w:rPr>
          <w:rFonts w:ascii="Cambria" w:hAnsi="Cambria"/>
        </w:rPr>
        <w:t xml:space="preserve">omité de </w:t>
      </w:r>
      <w:r>
        <w:rPr>
          <w:rFonts w:ascii="Cambria" w:hAnsi="Cambria"/>
        </w:rPr>
        <w:t>p</w:t>
      </w:r>
      <w:r w:rsidRPr="008F5CF2">
        <w:rPr>
          <w:rFonts w:ascii="Cambria" w:hAnsi="Cambria"/>
        </w:rPr>
        <w:t xml:space="preserve">ilotage organisé le mardi 29 septembre. </w:t>
      </w:r>
    </w:p>
    <w:p w:rsidR="000E392B" w:rsidRPr="000E392B" w:rsidRDefault="000E392B" w:rsidP="000E392B">
      <w:pPr>
        <w:pStyle w:val="-LettreObjetGEDA"/>
        <w:tabs>
          <w:tab w:val="left" w:pos="709"/>
        </w:tabs>
        <w:ind w:left="-108" w:firstLine="0"/>
        <w:rPr>
          <w:rFonts w:asciiTheme="majorHAnsi" w:hAnsiTheme="majorHAnsi" w:cs="Arial"/>
          <w:spacing w:val="15"/>
          <w:szCs w:val="24"/>
          <w:shd w:val="clear" w:color="auto" w:fill="FFFFFF"/>
        </w:rPr>
      </w:pPr>
      <w:r w:rsidRPr="008F5CF2">
        <w:rPr>
          <w:rFonts w:ascii="Cambria" w:hAnsi="Cambria"/>
        </w:rPr>
        <w:lastRenderedPageBreak/>
        <w:t xml:space="preserve">Cette politique publique de l’habitat viendra ainsi conforter et préciser les orientations définies dans le cadre du Schéma d’Aménagement Général (SAGE), dont elle constitue un pilier opérationnel et aussi une étape cruciale dans le Plan de relance CAP 2025. </w:t>
      </w:r>
    </w:p>
    <w:p w:rsidR="000E392B" w:rsidRDefault="000E392B" w:rsidP="000E392B">
      <w:pPr>
        <w:jc w:val="both"/>
        <w:rPr>
          <w:rFonts w:ascii="Cambria" w:hAnsi="Cambria"/>
        </w:rPr>
      </w:pPr>
    </w:p>
    <w:p w:rsidR="000E392B" w:rsidRDefault="000E392B" w:rsidP="000E392B">
      <w:pPr>
        <w:jc w:val="both"/>
        <w:rPr>
          <w:rFonts w:ascii="Cambria" w:hAnsi="Cambria"/>
        </w:rPr>
      </w:pPr>
    </w:p>
    <w:p w:rsidR="000E392B" w:rsidRPr="009516A6" w:rsidRDefault="000E392B" w:rsidP="000E392B">
      <w:pPr>
        <w:jc w:val="both"/>
        <w:rPr>
          <w:rFonts w:ascii="Cambria" w:hAnsi="Cambria"/>
          <w:b/>
        </w:rPr>
      </w:pPr>
      <w:r w:rsidRPr="009516A6">
        <w:rPr>
          <w:rFonts w:ascii="Cambria" w:hAnsi="Cambria"/>
          <w:b/>
        </w:rPr>
        <w:t xml:space="preserve">Subvention d’équilibre </w:t>
      </w:r>
      <w:r>
        <w:rPr>
          <w:rFonts w:ascii="Cambria" w:hAnsi="Cambria"/>
          <w:b/>
        </w:rPr>
        <w:t>pour la compagnie</w:t>
      </w:r>
      <w:r w:rsidRPr="009516A6">
        <w:rPr>
          <w:rFonts w:ascii="Cambria" w:hAnsi="Cambria"/>
          <w:b/>
        </w:rPr>
        <w:t xml:space="preserve"> Air Tahiti</w:t>
      </w:r>
    </w:p>
    <w:p w:rsidR="000E392B" w:rsidRPr="009516A6" w:rsidRDefault="000E392B" w:rsidP="000E392B">
      <w:pPr>
        <w:jc w:val="both"/>
        <w:rPr>
          <w:rFonts w:ascii="Cambria" w:hAnsi="Cambria"/>
        </w:rPr>
      </w:pPr>
    </w:p>
    <w:p w:rsidR="000E392B" w:rsidRPr="009516A6" w:rsidRDefault="000E392B" w:rsidP="000E392B">
      <w:pPr>
        <w:jc w:val="both"/>
        <w:rPr>
          <w:rFonts w:ascii="Cambria" w:hAnsi="Cambria"/>
        </w:rPr>
      </w:pPr>
      <w:r w:rsidRPr="009516A6">
        <w:rPr>
          <w:rFonts w:ascii="Cambria" w:hAnsi="Cambria"/>
        </w:rPr>
        <w:t xml:space="preserve">Le Pays a accordé une aide financière d’un montant de 450 millions </w:t>
      </w:r>
      <w:proofErr w:type="spellStart"/>
      <w:r w:rsidRPr="009516A6">
        <w:rPr>
          <w:rFonts w:ascii="Cambria" w:hAnsi="Cambria"/>
        </w:rPr>
        <w:t>Fcfp</w:t>
      </w:r>
      <w:proofErr w:type="spellEnd"/>
      <w:r w:rsidRPr="009516A6">
        <w:rPr>
          <w:rFonts w:ascii="Cambria" w:hAnsi="Cambria"/>
        </w:rPr>
        <w:t xml:space="preserve">, pour compenser une partie du déficit global de la SA Air Tahiti qui permettra de préserver sa pérennité, de sauvegarder ses emplois et de désenclaver les archipels de la Polynésie française. </w:t>
      </w:r>
    </w:p>
    <w:p w:rsidR="000E392B" w:rsidRPr="009516A6" w:rsidRDefault="000E392B" w:rsidP="000E392B">
      <w:pPr>
        <w:jc w:val="both"/>
        <w:rPr>
          <w:rFonts w:ascii="Cambria" w:hAnsi="Cambria"/>
        </w:rPr>
      </w:pPr>
      <w:r w:rsidRPr="009516A6">
        <w:rPr>
          <w:rFonts w:ascii="Cambria" w:hAnsi="Cambria"/>
        </w:rPr>
        <w:br/>
        <w:t>Cette aide financière sera accordée sous la forme d’une subvention d’équilibre dont les modalités d’octroi et de versement sont prévues par une convention fixant les objectifs et obligations de Air Tahiti en application des dispositions de la loi du Pays du 2 novembre 2017 définissant les conditions et critères d'attribution des aides financières, des avances et prêts et d'octroi des garanties d'emprunt aux personnes morales autres que les communes.</w:t>
      </w:r>
    </w:p>
    <w:p w:rsidR="000E392B" w:rsidRPr="009516A6" w:rsidRDefault="000E392B" w:rsidP="000E392B">
      <w:pPr>
        <w:jc w:val="both"/>
        <w:rPr>
          <w:rFonts w:ascii="Cambria" w:hAnsi="Cambria"/>
          <w:color w:val="1F497D"/>
        </w:rPr>
      </w:pPr>
      <w:r w:rsidRPr="009516A6">
        <w:rPr>
          <w:rFonts w:ascii="Cambria" w:hAnsi="Cambria"/>
        </w:rPr>
        <w:br/>
        <w:t>L’aide financière accordée permet à Air Tahiti de desservir les destinations déficitaires jusqu’à la fin de l’année courante. A compter du 1er janvier 2021, une délégation de service public de transport aérien interinsulaire sera mise en œuvre.</w:t>
      </w:r>
    </w:p>
    <w:p w:rsidR="000E392B" w:rsidRPr="009516A6" w:rsidRDefault="000E392B" w:rsidP="000E392B">
      <w:pPr>
        <w:jc w:val="both"/>
        <w:rPr>
          <w:rFonts w:ascii="Cambria" w:hAnsi="Cambria"/>
          <w:color w:val="1F497D"/>
        </w:rPr>
      </w:pPr>
    </w:p>
    <w:p w:rsidR="000E392B" w:rsidRDefault="000E392B" w:rsidP="000E392B">
      <w:pPr>
        <w:jc w:val="both"/>
        <w:rPr>
          <w:rFonts w:ascii="Cambria" w:hAnsi="Cambria"/>
        </w:rPr>
      </w:pPr>
      <w:r w:rsidRPr="009516A6">
        <w:rPr>
          <w:rFonts w:ascii="Cambria" w:hAnsi="Cambria"/>
        </w:rPr>
        <w:t>L’épidémie mondiale de Covid 19, et les conséquences économiques provoquées par l’arrêt brutal des dessertes internationales ont en effet fortement dégradé la situation financière de la compagnie Air Tahiti.</w:t>
      </w:r>
      <w:r>
        <w:rPr>
          <w:rFonts w:ascii="Cambria" w:hAnsi="Cambria"/>
        </w:rPr>
        <w:t xml:space="preserve"> </w:t>
      </w:r>
      <w:r w:rsidRPr="009516A6">
        <w:rPr>
          <w:rFonts w:ascii="Cambria" w:hAnsi="Cambria"/>
        </w:rPr>
        <w:t>Un certain nombre de décisions ont été prises par la direction générale de la compagnie, parmi lesquelles l’arrêt de la desserte de 27 destinations en déficit structurel d’exploitation.</w:t>
      </w:r>
    </w:p>
    <w:p w:rsidR="000E392B" w:rsidRPr="009516A6" w:rsidRDefault="000E392B" w:rsidP="000E392B">
      <w:pPr>
        <w:jc w:val="both"/>
        <w:rPr>
          <w:rFonts w:ascii="Cambria" w:hAnsi="Cambria"/>
        </w:rPr>
      </w:pPr>
      <w:r w:rsidRPr="009516A6">
        <w:rPr>
          <w:rFonts w:ascii="Cambria" w:hAnsi="Cambria"/>
        </w:rPr>
        <w:br/>
        <w:t>Cette situation ne pouvait laisser le gouvernement indifférent par rapport au sort des populations enclavées et privées d’accès aux services publics de transport, de formation, de santé et de communication, ce qui constitue le principe fondamental de la continuité territoriale.</w:t>
      </w:r>
    </w:p>
    <w:p w:rsidR="000E392B" w:rsidRPr="008F5CF2" w:rsidRDefault="000E392B" w:rsidP="000E392B">
      <w:pPr>
        <w:jc w:val="both"/>
        <w:rPr>
          <w:rFonts w:ascii="Cambria" w:hAnsi="Cambria"/>
        </w:rPr>
      </w:pPr>
    </w:p>
    <w:p w:rsidR="000E392B" w:rsidRDefault="000E392B" w:rsidP="000E392B">
      <w:pPr>
        <w:pStyle w:val="-LettreSuiteORefPJGEDA"/>
        <w:ind w:left="0"/>
        <w:rPr>
          <w:rFonts w:asciiTheme="majorHAnsi" w:hAnsiTheme="majorHAnsi"/>
        </w:rPr>
      </w:pPr>
    </w:p>
    <w:p w:rsidR="000E392B" w:rsidRDefault="000E392B" w:rsidP="000E392B">
      <w:pPr>
        <w:pStyle w:val="-LettreSuiteORefPJGEDA"/>
        <w:ind w:left="0"/>
        <w:rPr>
          <w:rFonts w:ascii="Cambria" w:hAnsi="Cambria"/>
        </w:rPr>
      </w:pPr>
    </w:p>
    <w:p w:rsidR="000E392B" w:rsidRPr="008A4324" w:rsidRDefault="000E392B" w:rsidP="000E392B">
      <w:pPr>
        <w:pStyle w:val="-LettreSuiteORefPJGEDA"/>
        <w:ind w:left="0"/>
        <w:rPr>
          <w:rFonts w:asciiTheme="majorHAnsi" w:hAnsiTheme="majorHAnsi"/>
          <w:b/>
        </w:rPr>
      </w:pPr>
      <w:r w:rsidRPr="008A4324">
        <w:rPr>
          <w:rFonts w:asciiTheme="majorHAnsi" w:hAnsiTheme="majorHAnsi"/>
          <w:b/>
          <w:noProof w:val="0"/>
        </w:rPr>
        <w:t>Journée Mondiale du Tourisme 2020: tourisme et développement rural</w:t>
      </w:r>
    </w:p>
    <w:p w:rsidR="000E392B" w:rsidRPr="008A4324" w:rsidRDefault="000E392B" w:rsidP="000E392B">
      <w:pPr>
        <w:pStyle w:val="-LettreSuiteORefPJGEDA"/>
        <w:ind w:left="0"/>
        <w:rPr>
          <w:rFonts w:asciiTheme="majorHAnsi" w:hAnsiTheme="majorHAnsi"/>
        </w:rPr>
      </w:pPr>
    </w:p>
    <w:p w:rsidR="000E392B" w:rsidRPr="0019556E" w:rsidRDefault="000E392B" w:rsidP="000E392B">
      <w:pPr>
        <w:spacing w:after="240"/>
        <w:jc w:val="both"/>
        <w:rPr>
          <w:rFonts w:asciiTheme="majorHAnsi" w:hAnsiTheme="majorHAnsi"/>
        </w:rPr>
      </w:pPr>
      <w:r w:rsidRPr="0019556E">
        <w:rPr>
          <w:rFonts w:asciiTheme="majorHAnsi" w:hAnsiTheme="majorHAnsi"/>
        </w:rPr>
        <w:t xml:space="preserve">Chaque année, le 27 septembre est marqué par la célébration de la Journée Mondiale du Tourisme sous l’égide de l’Organisation Mondiale du Tourisme (UNWTO). Cette journée est célébrée partout dans le monde ainsi qu’à Tahiti Et Ses Îles. Compte tenu du contexte sanitaire, il a été décidé de ne pas organiser d’événement particulier mais de marquer cette journée par un projet de remerciement audiovisuel. </w:t>
      </w:r>
    </w:p>
    <w:p w:rsidR="000E392B" w:rsidRPr="0019556E" w:rsidRDefault="000E392B" w:rsidP="000E392B">
      <w:pPr>
        <w:spacing w:after="240"/>
        <w:jc w:val="both"/>
        <w:rPr>
          <w:rFonts w:asciiTheme="majorHAnsi" w:hAnsiTheme="majorHAnsi"/>
        </w:rPr>
      </w:pPr>
      <w:r w:rsidRPr="0019556E">
        <w:rPr>
          <w:rFonts w:asciiTheme="majorHAnsi" w:hAnsiTheme="majorHAnsi"/>
        </w:rPr>
        <w:t xml:space="preserve">Tahiti Tourisme souhaite également rendre hommage à Nancy Ella Hall </w:t>
      </w:r>
      <w:proofErr w:type="spellStart"/>
      <w:r w:rsidRPr="0019556E">
        <w:rPr>
          <w:rFonts w:asciiTheme="majorHAnsi" w:hAnsiTheme="majorHAnsi"/>
        </w:rPr>
        <w:t>Rutgers</w:t>
      </w:r>
      <w:proofErr w:type="spellEnd"/>
      <w:r w:rsidRPr="0019556E">
        <w:rPr>
          <w:rFonts w:asciiTheme="majorHAnsi" w:hAnsiTheme="majorHAnsi"/>
        </w:rPr>
        <w:t xml:space="preserve">, décédée récemment, dont le père à participer à la promotion de nos îles au travers de son livre qui a inspiré les producteurs hollywoodiens. </w:t>
      </w:r>
    </w:p>
    <w:p w:rsidR="000E392B" w:rsidRPr="0019556E" w:rsidRDefault="000E392B" w:rsidP="000E392B">
      <w:pPr>
        <w:spacing w:after="240"/>
        <w:jc w:val="both"/>
        <w:rPr>
          <w:rFonts w:asciiTheme="majorHAnsi" w:hAnsiTheme="majorHAnsi"/>
        </w:rPr>
      </w:pPr>
      <w:r w:rsidRPr="0019556E">
        <w:rPr>
          <w:rFonts w:asciiTheme="majorHAnsi" w:hAnsiTheme="majorHAnsi"/>
        </w:rPr>
        <w:t>Tahiti Tourisme maintient, par ailleurs, les actions d’accueil en faveur des visiteurs des îles, et les comités du tourisme des 5 archipels y contribuent.</w:t>
      </w:r>
    </w:p>
    <w:p w:rsidR="000E392B" w:rsidRPr="0019556E" w:rsidRDefault="000E392B" w:rsidP="000E392B">
      <w:pPr>
        <w:spacing w:after="240"/>
        <w:jc w:val="both"/>
        <w:rPr>
          <w:rFonts w:asciiTheme="majorHAnsi" w:hAnsiTheme="majorHAnsi"/>
          <w:u w:val="single"/>
        </w:rPr>
      </w:pPr>
      <w:r w:rsidRPr="0019556E">
        <w:rPr>
          <w:rFonts w:asciiTheme="majorHAnsi" w:hAnsiTheme="majorHAnsi"/>
          <w:u w:val="single"/>
        </w:rPr>
        <w:lastRenderedPageBreak/>
        <w:t>Une vidéo rétrospective de la gestion de crise sanitaire en 2020</w:t>
      </w:r>
    </w:p>
    <w:p w:rsidR="000E392B" w:rsidRPr="0019556E" w:rsidRDefault="000E392B" w:rsidP="000E392B">
      <w:pPr>
        <w:spacing w:after="240"/>
        <w:jc w:val="both"/>
        <w:rPr>
          <w:rFonts w:asciiTheme="majorHAnsi" w:hAnsiTheme="majorHAnsi"/>
        </w:rPr>
      </w:pPr>
      <w:r w:rsidRPr="0019556E">
        <w:rPr>
          <w:rFonts w:asciiTheme="majorHAnsi" w:hAnsiTheme="majorHAnsi"/>
        </w:rPr>
        <w:t xml:space="preserve">Le projet consiste en la réalisation d’une vidéo rétrospective de 2 à 3 minutes retraçant chronologiquement les actions menées depuis le début de l’année 2020 dans le cadre de la gestion du Covid-19.  Il s’agit pour le message de rappeler à la fois les efforts, les sacrifices, les réussites notamment, que la solidarité polynésienne aura permis de traverser durant cette crise sanitaire. Il s’agit de remercier tous les acteurs du tourisme local, les professionnels de la santé, les visiteurs ainsi que la population qui ont su adopter les mesures d’adaptation avec bienveillance. </w:t>
      </w:r>
    </w:p>
    <w:p w:rsidR="000E392B" w:rsidRPr="0019556E" w:rsidRDefault="000E392B" w:rsidP="000E392B">
      <w:pPr>
        <w:spacing w:after="240"/>
        <w:jc w:val="both"/>
        <w:rPr>
          <w:rFonts w:asciiTheme="majorHAnsi" w:hAnsiTheme="majorHAnsi"/>
        </w:rPr>
      </w:pPr>
      <w:r w:rsidRPr="0019556E">
        <w:rPr>
          <w:rFonts w:asciiTheme="majorHAnsi" w:hAnsiTheme="majorHAnsi"/>
        </w:rPr>
        <w:t xml:space="preserve">Cette vidéo de remerciement sera diffusée sur les 2 chaînes de télévision et relayée sur les réseaux sociaux de Tahiti Tourisme en local comme à l’international via les représentations du Groupement. </w:t>
      </w:r>
    </w:p>
    <w:p w:rsidR="000E392B" w:rsidRPr="0019556E" w:rsidRDefault="000E392B" w:rsidP="000E392B">
      <w:pPr>
        <w:spacing w:after="240"/>
        <w:jc w:val="both"/>
        <w:rPr>
          <w:rFonts w:asciiTheme="majorHAnsi" w:hAnsiTheme="majorHAnsi"/>
          <w:u w:val="single"/>
        </w:rPr>
      </w:pPr>
      <w:r w:rsidRPr="0019556E">
        <w:rPr>
          <w:rFonts w:asciiTheme="majorHAnsi" w:hAnsiTheme="majorHAnsi"/>
          <w:u w:val="single"/>
        </w:rPr>
        <w:t>L’accueil polynésien, constante invariable du tourisme</w:t>
      </w:r>
    </w:p>
    <w:p w:rsidR="000E392B" w:rsidRPr="0019556E" w:rsidRDefault="000E392B" w:rsidP="000E392B">
      <w:pPr>
        <w:spacing w:after="240"/>
        <w:jc w:val="both"/>
        <w:rPr>
          <w:rFonts w:asciiTheme="majorHAnsi" w:hAnsiTheme="majorHAnsi"/>
        </w:rPr>
      </w:pPr>
      <w:r w:rsidRPr="0019556E">
        <w:rPr>
          <w:rFonts w:asciiTheme="majorHAnsi" w:hAnsiTheme="majorHAnsi"/>
        </w:rPr>
        <w:t xml:space="preserve">Tahiti Tourisme maintient ses actions d’accueil et d’animation comme chaque année à l’occasion de la Journée Mondiale du Tourisme. Les principaux théâtres d’accueil de visiteurs – aéroport de Faa’a, gare maritime de Papeete, seront animés par des orchestres locaux. Des fleurs de tiare emblématique du </w:t>
      </w:r>
      <w:proofErr w:type="spellStart"/>
      <w:r w:rsidRPr="0019556E">
        <w:rPr>
          <w:rFonts w:asciiTheme="majorHAnsi" w:hAnsiTheme="majorHAnsi"/>
        </w:rPr>
        <w:t>fenua</w:t>
      </w:r>
      <w:proofErr w:type="spellEnd"/>
      <w:r w:rsidRPr="0019556E">
        <w:rPr>
          <w:rFonts w:asciiTheme="majorHAnsi" w:hAnsiTheme="majorHAnsi"/>
        </w:rPr>
        <w:t xml:space="preserve"> seront offertes toute au long de la journée. Par ailleurs, partout en Polynésie française, les comités du tourisme sont aussi impliqués puisque qu’ils seront accompagnés dans la mise en place d’actions similaires en faveur de la population et des visiteurs. C’est une journée qui est et doit rester placée sous le signe de la célébration.</w:t>
      </w:r>
    </w:p>
    <w:p w:rsidR="000E392B" w:rsidRPr="0019556E" w:rsidRDefault="000E392B" w:rsidP="000E392B">
      <w:pPr>
        <w:spacing w:after="240"/>
        <w:jc w:val="both"/>
        <w:rPr>
          <w:rFonts w:asciiTheme="majorHAnsi" w:hAnsiTheme="majorHAnsi"/>
        </w:rPr>
      </w:pPr>
      <w:bookmarkStart w:id="1" w:name="_heading=h.gjdgxs"/>
      <w:bookmarkEnd w:id="1"/>
      <w:r w:rsidRPr="0019556E">
        <w:rPr>
          <w:rFonts w:asciiTheme="majorHAnsi" w:hAnsiTheme="majorHAnsi"/>
        </w:rPr>
        <w:t xml:space="preserve">Ce sera donc une Journée Mondiale du Tourisme célébrée par toute l’industrie du Tourisme répartie sur les 5 archipels comme sur les 19 marchés émetteurs au travers des représentations de Tahiti Tourisme, en relayant ce message de remerciement et d’espoir. Une célébration dans leurs environnements respectifs, en y maintenant cette touche fleurie, sur des sons et rythmes de la destination. </w:t>
      </w:r>
    </w:p>
    <w:p w:rsidR="000E392B" w:rsidRDefault="000E392B" w:rsidP="000E392B">
      <w:pPr>
        <w:pStyle w:val="-LettreSuiteORefPJGEDA"/>
        <w:ind w:left="0"/>
        <w:rPr>
          <w:rFonts w:ascii="Cambria" w:hAnsi="Cambria"/>
        </w:rPr>
      </w:pPr>
    </w:p>
    <w:p w:rsidR="000E392B" w:rsidRPr="00B53A4C" w:rsidRDefault="000E392B" w:rsidP="000E392B">
      <w:pPr>
        <w:pStyle w:val="-LettreObjetGEDA"/>
        <w:tabs>
          <w:tab w:val="left" w:pos="709"/>
        </w:tabs>
        <w:rPr>
          <w:rFonts w:ascii="Cambria" w:hAnsi="Cambria"/>
          <w:b/>
          <w:noProof w:val="0"/>
        </w:rPr>
      </w:pPr>
      <w:r w:rsidRPr="00B53A4C">
        <w:rPr>
          <w:rFonts w:ascii="Cambria" w:hAnsi="Cambria"/>
          <w:b/>
          <w:noProof w:val="0"/>
        </w:rPr>
        <w:t xml:space="preserve">Présentation du programme d’élaboration de la stratégie </w:t>
      </w:r>
      <w:proofErr w:type="spellStart"/>
      <w:r w:rsidRPr="00B53A4C">
        <w:rPr>
          <w:rFonts w:ascii="Cambria" w:hAnsi="Cambria"/>
          <w:b/>
          <w:noProof w:val="0"/>
        </w:rPr>
        <w:t>Fariira’a</w:t>
      </w:r>
      <w:proofErr w:type="spellEnd"/>
      <w:r w:rsidRPr="00B53A4C">
        <w:rPr>
          <w:rFonts w:ascii="Cambria" w:hAnsi="Cambria"/>
          <w:b/>
          <w:noProof w:val="0"/>
        </w:rPr>
        <w:t xml:space="preserve"> </w:t>
      </w:r>
      <w:proofErr w:type="spellStart"/>
      <w:r w:rsidRPr="00B53A4C">
        <w:rPr>
          <w:rFonts w:ascii="Cambria" w:hAnsi="Cambria"/>
          <w:b/>
          <w:noProof w:val="0"/>
        </w:rPr>
        <w:t>manihini</w:t>
      </w:r>
      <w:proofErr w:type="spellEnd"/>
      <w:r w:rsidRPr="00B53A4C">
        <w:rPr>
          <w:rFonts w:ascii="Cambria" w:hAnsi="Cambria"/>
          <w:b/>
          <w:noProof w:val="0"/>
        </w:rPr>
        <w:t xml:space="preserve"> 2025</w:t>
      </w:r>
    </w:p>
    <w:p w:rsidR="000E392B" w:rsidRPr="00B53A4C" w:rsidRDefault="000E392B" w:rsidP="000E392B">
      <w:pPr>
        <w:pStyle w:val="-LettreSuiteORefPJGEDA"/>
        <w:ind w:left="0"/>
        <w:rPr>
          <w:rFonts w:ascii="Cambria" w:hAnsi="Cambria"/>
        </w:rPr>
      </w:pPr>
    </w:p>
    <w:p w:rsidR="000E392B" w:rsidRPr="00B53A4C" w:rsidRDefault="000E392B" w:rsidP="000E392B">
      <w:pPr>
        <w:pStyle w:val="Normal1"/>
        <w:pBdr>
          <w:top w:val="nil"/>
          <w:left w:val="nil"/>
          <w:bottom w:val="nil"/>
          <w:right w:val="nil"/>
          <w:between w:val="nil"/>
        </w:pBdr>
        <w:jc w:val="both"/>
        <w:rPr>
          <w:rFonts w:ascii="Cambria" w:hAnsi="Cambria"/>
        </w:rPr>
      </w:pPr>
      <w:r w:rsidRPr="00B53A4C">
        <w:rPr>
          <w:rFonts w:ascii="Cambria" w:hAnsi="Cambria"/>
        </w:rPr>
        <w:t>L’élaboration de la stratégie de développement touristique "</w:t>
      </w:r>
      <w:proofErr w:type="spellStart"/>
      <w:r w:rsidRPr="00B53A4C">
        <w:rPr>
          <w:rFonts w:ascii="Cambria" w:hAnsi="Cambria"/>
        </w:rPr>
        <w:t>Fariiraa</w:t>
      </w:r>
      <w:proofErr w:type="spellEnd"/>
      <w:r w:rsidRPr="00B53A4C">
        <w:rPr>
          <w:rFonts w:ascii="Cambria" w:hAnsi="Cambria"/>
        </w:rPr>
        <w:t xml:space="preserve"> </w:t>
      </w:r>
      <w:proofErr w:type="spellStart"/>
      <w:r w:rsidRPr="00B53A4C">
        <w:rPr>
          <w:rFonts w:ascii="Cambria" w:hAnsi="Cambria"/>
        </w:rPr>
        <w:t>Manihini</w:t>
      </w:r>
      <w:proofErr w:type="spellEnd"/>
      <w:r w:rsidRPr="00B53A4C">
        <w:rPr>
          <w:rFonts w:ascii="Cambria" w:hAnsi="Cambria"/>
        </w:rPr>
        <w:t xml:space="preserve"> 2025" s’inscrit dans la continuité de la stratégie 2015-2020 dont le bilan est globalement très satisfaisant, en dépit des graves difficultés occasionnées en 2020 par la crise sanitaire.</w:t>
      </w:r>
      <w:r>
        <w:rPr>
          <w:rFonts w:ascii="Cambria" w:hAnsi="Cambria"/>
        </w:rPr>
        <w:t xml:space="preserve"> Toutefois</w:t>
      </w:r>
      <w:r w:rsidRPr="00B53A4C">
        <w:rPr>
          <w:rFonts w:ascii="Cambria" w:hAnsi="Cambria"/>
          <w:color w:val="000000"/>
        </w:rPr>
        <w:t>, "</w:t>
      </w:r>
      <w:proofErr w:type="spellStart"/>
      <w:r w:rsidRPr="00B53A4C">
        <w:rPr>
          <w:rFonts w:ascii="Cambria" w:hAnsi="Cambria"/>
          <w:color w:val="000000"/>
        </w:rPr>
        <w:t>Fariiraa</w:t>
      </w:r>
      <w:proofErr w:type="spellEnd"/>
      <w:r w:rsidRPr="00B53A4C">
        <w:rPr>
          <w:rFonts w:ascii="Cambria" w:hAnsi="Cambria"/>
          <w:color w:val="000000"/>
        </w:rPr>
        <w:t xml:space="preserve"> </w:t>
      </w:r>
      <w:proofErr w:type="spellStart"/>
      <w:r w:rsidRPr="00B53A4C">
        <w:rPr>
          <w:rFonts w:ascii="Cambria" w:hAnsi="Cambria"/>
          <w:color w:val="000000"/>
        </w:rPr>
        <w:t>Manihini</w:t>
      </w:r>
      <w:proofErr w:type="spellEnd"/>
      <w:r w:rsidRPr="00B53A4C">
        <w:rPr>
          <w:rFonts w:ascii="Cambria" w:hAnsi="Cambria"/>
          <w:color w:val="000000"/>
        </w:rPr>
        <w:t xml:space="preserve"> 2025" se démarque sensiblement de la précédente stratégie par l’objectif poursuivi et la méthode employée.</w:t>
      </w:r>
    </w:p>
    <w:p w:rsidR="000E392B" w:rsidRPr="00B53A4C" w:rsidRDefault="000E392B" w:rsidP="000E392B">
      <w:pPr>
        <w:pStyle w:val="Normal1"/>
        <w:pBdr>
          <w:top w:val="nil"/>
          <w:left w:val="nil"/>
          <w:bottom w:val="nil"/>
          <w:right w:val="nil"/>
          <w:between w:val="nil"/>
        </w:pBdr>
        <w:ind w:firstLine="851"/>
        <w:jc w:val="both"/>
        <w:rPr>
          <w:rFonts w:ascii="Cambria" w:hAnsi="Cambria"/>
          <w:color w:val="000000"/>
        </w:rPr>
      </w:pPr>
    </w:p>
    <w:p w:rsidR="000E392B" w:rsidRPr="00B53A4C" w:rsidRDefault="000E392B" w:rsidP="000E392B">
      <w:pPr>
        <w:pStyle w:val="Normal1"/>
        <w:pBdr>
          <w:top w:val="nil"/>
          <w:left w:val="nil"/>
          <w:bottom w:val="nil"/>
          <w:right w:val="nil"/>
          <w:between w:val="nil"/>
        </w:pBdr>
        <w:jc w:val="both"/>
        <w:rPr>
          <w:rFonts w:ascii="Cambria" w:hAnsi="Cambria"/>
          <w:color w:val="000000"/>
        </w:rPr>
      </w:pPr>
      <w:r w:rsidRPr="00B53A4C">
        <w:rPr>
          <w:rFonts w:ascii="Cambria" w:hAnsi="Cambria"/>
          <w:color w:val="000000"/>
        </w:rPr>
        <w:t>La nouvelle stratégie de développement touristique sera orientée de sorte à développer le tourisme inclusif qui verra une nouvelle répartition territoriale des flux touristiques, en veillant à l’acceptation des populations concernées et bien évidemment au respect des impératifs environnementaux et culturels ainsi qu’à la qualité de vie de tout un chacun.</w:t>
      </w:r>
    </w:p>
    <w:p w:rsidR="000E392B" w:rsidRPr="00B53A4C" w:rsidRDefault="000E392B" w:rsidP="000E392B">
      <w:pPr>
        <w:pStyle w:val="Normal1"/>
        <w:pBdr>
          <w:top w:val="nil"/>
          <w:left w:val="nil"/>
          <w:bottom w:val="nil"/>
          <w:right w:val="nil"/>
          <w:between w:val="nil"/>
        </w:pBdr>
        <w:ind w:firstLine="851"/>
        <w:jc w:val="both"/>
        <w:rPr>
          <w:rFonts w:ascii="Cambria" w:hAnsi="Cambria"/>
          <w:color w:val="000000"/>
        </w:rPr>
      </w:pPr>
    </w:p>
    <w:p w:rsidR="000E392B" w:rsidRPr="00B53A4C" w:rsidRDefault="000E392B" w:rsidP="000E392B">
      <w:pPr>
        <w:pStyle w:val="Normal1"/>
        <w:pBdr>
          <w:top w:val="nil"/>
          <w:left w:val="nil"/>
          <w:bottom w:val="nil"/>
          <w:right w:val="nil"/>
          <w:between w:val="nil"/>
        </w:pBdr>
        <w:jc w:val="both"/>
        <w:rPr>
          <w:rFonts w:ascii="Cambria" w:hAnsi="Cambria"/>
          <w:color w:val="000000"/>
        </w:rPr>
      </w:pPr>
      <w:r w:rsidRPr="00B53A4C">
        <w:rPr>
          <w:rFonts w:ascii="Cambria" w:hAnsi="Cambria"/>
          <w:color w:val="000000"/>
        </w:rPr>
        <w:t xml:space="preserve">La méthode est celle de la </w:t>
      </w:r>
      <w:proofErr w:type="spellStart"/>
      <w:r w:rsidRPr="00B53A4C">
        <w:rPr>
          <w:rFonts w:ascii="Cambria" w:hAnsi="Cambria"/>
          <w:color w:val="000000"/>
        </w:rPr>
        <w:t>co</w:t>
      </w:r>
      <w:proofErr w:type="spellEnd"/>
      <w:r w:rsidRPr="00B53A4C">
        <w:rPr>
          <w:rFonts w:ascii="Cambria" w:hAnsi="Cambria"/>
          <w:color w:val="000000"/>
        </w:rPr>
        <w:t xml:space="preserve">-construction. Il s’agit de construire la nouvelle feuille de route en s’efforçant d’y faire adhérer les professionnels, les institutionnels et la population. L’ambition est ainsi de faire participer les forces vives aux travaux de sorte à </w:t>
      </w:r>
      <w:r w:rsidRPr="00B53A4C">
        <w:rPr>
          <w:rFonts w:ascii="Cambria" w:hAnsi="Cambria"/>
          <w:color w:val="000000"/>
        </w:rPr>
        <w:lastRenderedPageBreak/>
        <w:t>ce qu’ils s’en approprient le résultat.</w:t>
      </w:r>
      <w:r>
        <w:rPr>
          <w:rFonts w:ascii="Cambria" w:hAnsi="Cambria"/>
          <w:color w:val="000000"/>
        </w:rPr>
        <w:t xml:space="preserve"> </w:t>
      </w:r>
      <w:r w:rsidRPr="00B53A4C">
        <w:rPr>
          <w:rFonts w:ascii="Cambria" w:hAnsi="Cambria"/>
          <w:color w:val="000000"/>
        </w:rPr>
        <w:t>La mission est con</w:t>
      </w:r>
      <w:r>
        <w:rPr>
          <w:rFonts w:ascii="Cambria" w:hAnsi="Cambria"/>
          <w:color w:val="000000"/>
        </w:rPr>
        <w:t>stituée de trois grandes étapes</w:t>
      </w:r>
      <w:r w:rsidRPr="00B53A4C">
        <w:rPr>
          <w:rFonts w:ascii="Cambria" w:hAnsi="Cambria"/>
          <w:color w:val="000000"/>
        </w:rPr>
        <w:t>: la préparation des outils de consultation, la mobilisation pour la construction de la feuille de route et la consolidation des préconisations qui seront émises.</w:t>
      </w:r>
    </w:p>
    <w:p w:rsidR="000E392B" w:rsidRPr="00B53A4C" w:rsidRDefault="000E392B" w:rsidP="000E392B">
      <w:pPr>
        <w:pStyle w:val="Normal1"/>
        <w:pBdr>
          <w:top w:val="nil"/>
          <w:left w:val="nil"/>
          <w:bottom w:val="nil"/>
          <w:right w:val="nil"/>
          <w:between w:val="nil"/>
        </w:pBdr>
        <w:ind w:firstLine="851"/>
        <w:jc w:val="both"/>
        <w:rPr>
          <w:rFonts w:ascii="Cambria" w:hAnsi="Cambria"/>
          <w:color w:val="000000"/>
        </w:rPr>
      </w:pPr>
    </w:p>
    <w:p w:rsidR="000E392B" w:rsidRPr="00B53A4C" w:rsidRDefault="000E392B" w:rsidP="000E392B">
      <w:pPr>
        <w:pStyle w:val="Normal1"/>
        <w:pBdr>
          <w:top w:val="nil"/>
          <w:left w:val="nil"/>
          <w:bottom w:val="nil"/>
          <w:right w:val="nil"/>
          <w:between w:val="nil"/>
        </w:pBdr>
        <w:jc w:val="both"/>
        <w:rPr>
          <w:rFonts w:ascii="Cambria" w:hAnsi="Cambria"/>
          <w:color w:val="000000"/>
        </w:rPr>
      </w:pPr>
      <w:r w:rsidRPr="00B53A4C">
        <w:rPr>
          <w:rFonts w:ascii="Cambria" w:hAnsi="Cambria"/>
          <w:color w:val="000000"/>
        </w:rPr>
        <w:t>L’étape de préparation est en voie d’achèvement avec l’élaboration d’une étude de contexte qui, entre autres sujets, dresse l’état des lieux de notre tourisme avec un bilan chiffré de 2015 à 2020 et expose les enjeux à prendre en compte pour bâtir une stratégie dans le sens du tourisme inclusif.</w:t>
      </w:r>
      <w:r>
        <w:rPr>
          <w:rFonts w:ascii="Cambria" w:hAnsi="Cambria"/>
          <w:color w:val="000000"/>
        </w:rPr>
        <w:t xml:space="preserve"> </w:t>
      </w:r>
      <w:r w:rsidRPr="00B53A4C">
        <w:rPr>
          <w:rFonts w:ascii="Cambria" w:hAnsi="Cambria"/>
          <w:color w:val="000000"/>
        </w:rPr>
        <w:t>Cette étude</w:t>
      </w:r>
      <w:r>
        <w:rPr>
          <w:rFonts w:ascii="Cambria" w:hAnsi="Cambria"/>
          <w:color w:val="000000"/>
        </w:rPr>
        <w:t xml:space="preserve"> </w:t>
      </w:r>
      <w:r w:rsidRPr="00B53A4C">
        <w:rPr>
          <w:rFonts w:ascii="Cambria" w:hAnsi="Cambria"/>
          <w:color w:val="000000"/>
        </w:rPr>
        <w:t xml:space="preserve">servira de document de référence pour alimenter la réflexion dans l’étape de la mobilisation. Elle est le fruit des restitutions de 5 groupes de travail dont la composition volontairement hétéroclite a permis des échanges riches et constructifs. Composés de représentants des services et établissements du pays, d’associations, de professionnels de tous horizons, ces groupes de travail ont participé à la première expérimentation du processus de </w:t>
      </w:r>
      <w:proofErr w:type="spellStart"/>
      <w:r w:rsidRPr="00B53A4C">
        <w:rPr>
          <w:rFonts w:ascii="Cambria" w:hAnsi="Cambria"/>
          <w:color w:val="000000"/>
        </w:rPr>
        <w:t>co</w:t>
      </w:r>
      <w:proofErr w:type="spellEnd"/>
      <w:r w:rsidRPr="00B53A4C">
        <w:rPr>
          <w:rFonts w:ascii="Cambria" w:hAnsi="Cambria"/>
          <w:color w:val="000000"/>
        </w:rPr>
        <w:t>-construction souhaité dans l’élaboration de la nouvelle stratégie touristique. Les dernières réunions de cadrage tenues avec chacun de ces groupes ont montré que l’objectif d’appropriation des travaux par les participants est globalement atteint.</w:t>
      </w:r>
    </w:p>
    <w:p w:rsidR="000E392B" w:rsidRPr="00B53A4C" w:rsidRDefault="000E392B" w:rsidP="000E392B">
      <w:pPr>
        <w:pStyle w:val="Normal1"/>
        <w:pBdr>
          <w:top w:val="nil"/>
          <w:left w:val="nil"/>
          <w:bottom w:val="nil"/>
          <w:right w:val="nil"/>
          <w:between w:val="nil"/>
        </w:pBdr>
        <w:ind w:firstLine="851"/>
        <w:jc w:val="both"/>
        <w:rPr>
          <w:rFonts w:ascii="Cambria" w:hAnsi="Cambria"/>
          <w:color w:val="000000"/>
        </w:rPr>
      </w:pPr>
    </w:p>
    <w:p w:rsidR="000E392B" w:rsidRPr="00B53A4C" w:rsidRDefault="000E392B" w:rsidP="000E392B">
      <w:pPr>
        <w:pStyle w:val="Normal1"/>
        <w:pBdr>
          <w:top w:val="nil"/>
          <w:left w:val="nil"/>
          <w:bottom w:val="nil"/>
          <w:right w:val="nil"/>
          <w:between w:val="nil"/>
        </w:pBdr>
        <w:jc w:val="both"/>
        <w:rPr>
          <w:rFonts w:ascii="Cambria" w:hAnsi="Cambria"/>
          <w:color w:val="000000"/>
        </w:rPr>
      </w:pPr>
      <w:r>
        <w:rPr>
          <w:rFonts w:ascii="Cambria" w:hAnsi="Cambria"/>
          <w:color w:val="000000"/>
        </w:rPr>
        <w:t xml:space="preserve">Il </w:t>
      </w:r>
      <w:r w:rsidRPr="00B53A4C">
        <w:rPr>
          <w:rFonts w:ascii="Cambria" w:hAnsi="Cambria"/>
          <w:color w:val="000000"/>
        </w:rPr>
        <w:t xml:space="preserve">s‘agit de poursuivre </w:t>
      </w:r>
      <w:r>
        <w:rPr>
          <w:rFonts w:ascii="Cambria" w:hAnsi="Cambria"/>
          <w:color w:val="000000"/>
        </w:rPr>
        <w:t xml:space="preserve">la démarche, avec désormais </w:t>
      </w:r>
      <w:r w:rsidRPr="00B53A4C">
        <w:rPr>
          <w:rFonts w:ascii="Cambria" w:hAnsi="Cambria"/>
          <w:color w:val="000000"/>
        </w:rPr>
        <w:t>l’étape de la mobilisation. Cette étape doit permettre à tous ceux qui le souhaitent, professionnels ou particuliers, experts et anonymes, collectivités publiques et associations, de s’exprimer sur le tourisme qu’ils souhaitent sur les 5 prochaines années.</w:t>
      </w:r>
      <w:r>
        <w:rPr>
          <w:rFonts w:ascii="Cambria" w:hAnsi="Cambria"/>
          <w:color w:val="000000"/>
        </w:rPr>
        <w:t xml:space="preserve"> </w:t>
      </w:r>
      <w:r w:rsidRPr="00B53A4C">
        <w:rPr>
          <w:rFonts w:ascii="Cambria" w:hAnsi="Cambria"/>
          <w:color w:val="000000"/>
        </w:rPr>
        <w:t>Pour cela, la mission "</w:t>
      </w:r>
      <w:proofErr w:type="spellStart"/>
      <w:r w:rsidRPr="00B53A4C">
        <w:rPr>
          <w:rFonts w:ascii="Cambria" w:hAnsi="Cambria"/>
          <w:color w:val="000000"/>
        </w:rPr>
        <w:t>Fariiraa</w:t>
      </w:r>
      <w:proofErr w:type="spellEnd"/>
      <w:r w:rsidRPr="00B53A4C">
        <w:rPr>
          <w:rFonts w:ascii="Cambria" w:hAnsi="Cambria"/>
          <w:color w:val="000000"/>
        </w:rPr>
        <w:t xml:space="preserve"> </w:t>
      </w:r>
      <w:proofErr w:type="spellStart"/>
      <w:r w:rsidRPr="00B53A4C">
        <w:rPr>
          <w:rFonts w:ascii="Cambria" w:hAnsi="Cambria"/>
          <w:color w:val="000000"/>
        </w:rPr>
        <w:t>Manihini</w:t>
      </w:r>
      <w:proofErr w:type="spellEnd"/>
      <w:r w:rsidRPr="00B53A4C">
        <w:rPr>
          <w:rFonts w:ascii="Cambria" w:hAnsi="Cambria"/>
          <w:color w:val="000000"/>
        </w:rPr>
        <w:t xml:space="preserve"> 2025" prévoit de les inciter à engager des débats au travers de chantiers collaboratifs </w:t>
      </w:r>
      <w:r>
        <w:rPr>
          <w:rFonts w:ascii="Cambria" w:hAnsi="Cambria"/>
          <w:color w:val="000000"/>
        </w:rPr>
        <w:t>qu’il est</w:t>
      </w:r>
      <w:r w:rsidRPr="00B53A4C">
        <w:rPr>
          <w:rFonts w:ascii="Cambria" w:hAnsi="Cambria"/>
          <w:color w:val="000000"/>
        </w:rPr>
        <w:t xml:space="preserve"> prévu de lancer et dynamiser</w:t>
      </w:r>
      <w:r>
        <w:rPr>
          <w:rFonts w:ascii="Cambria" w:hAnsi="Cambria"/>
          <w:color w:val="000000"/>
        </w:rPr>
        <w:t xml:space="preserve">, notamment </w:t>
      </w:r>
      <w:r w:rsidRPr="00B53A4C">
        <w:rPr>
          <w:rFonts w:ascii="Cambria" w:hAnsi="Cambria"/>
          <w:color w:val="000000"/>
        </w:rPr>
        <w:t>par la mise en place d’un site internet dédié.</w:t>
      </w:r>
    </w:p>
    <w:p w:rsidR="000E392B" w:rsidRPr="00B53A4C" w:rsidRDefault="000E392B" w:rsidP="000E392B">
      <w:pPr>
        <w:pStyle w:val="Normal1"/>
        <w:pBdr>
          <w:top w:val="nil"/>
          <w:left w:val="nil"/>
          <w:bottom w:val="nil"/>
          <w:right w:val="nil"/>
          <w:between w:val="nil"/>
        </w:pBdr>
        <w:ind w:firstLine="851"/>
        <w:jc w:val="both"/>
        <w:rPr>
          <w:rFonts w:ascii="Cambria" w:hAnsi="Cambria"/>
          <w:color w:val="000000"/>
        </w:rPr>
      </w:pPr>
    </w:p>
    <w:p w:rsidR="000E392B" w:rsidRPr="00B53A4C" w:rsidRDefault="000E392B" w:rsidP="000E392B">
      <w:pPr>
        <w:pStyle w:val="Normal1"/>
        <w:pBdr>
          <w:top w:val="nil"/>
          <w:left w:val="nil"/>
          <w:bottom w:val="nil"/>
          <w:right w:val="nil"/>
          <w:between w:val="nil"/>
        </w:pBdr>
        <w:jc w:val="both"/>
        <w:rPr>
          <w:rFonts w:ascii="Cambria" w:hAnsi="Cambria"/>
          <w:color w:val="000000"/>
        </w:rPr>
      </w:pPr>
      <w:r>
        <w:rPr>
          <w:rFonts w:ascii="Cambria" w:hAnsi="Cambria"/>
          <w:color w:val="000000"/>
        </w:rPr>
        <w:t xml:space="preserve">Des déplacements dans les îles, quand cela sera possible, et des </w:t>
      </w:r>
      <w:r w:rsidRPr="00B53A4C">
        <w:rPr>
          <w:rFonts w:ascii="Cambria" w:hAnsi="Cambria"/>
          <w:color w:val="000000"/>
        </w:rPr>
        <w:t>visioconférences avec des relais tels que les comités du tourisme, les associations, les professionnels et les municipalités afin qu’ils soient forces de proposition de chantiers collaboratifs ici et là</w:t>
      </w:r>
      <w:r>
        <w:rPr>
          <w:rFonts w:ascii="Cambria" w:hAnsi="Cambria"/>
          <w:color w:val="000000"/>
        </w:rPr>
        <w:t>, seront organisés</w:t>
      </w:r>
      <w:r w:rsidRPr="00B53A4C">
        <w:rPr>
          <w:rFonts w:ascii="Cambria" w:hAnsi="Cambria"/>
          <w:color w:val="000000"/>
        </w:rPr>
        <w:t xml:space="preserve">. Des campagnes de communication seront amorcées dans la deuxième quinzaine de septembre puis poursuivies sur le mois d’octobre. Les messages à diffuser insisteront sur le fait que la stratégie touristique à mettre en place déclinera, non seulement des perspectives de développement à 2025 mais aussi, dans des échéances plus rapprochées, un véritable plan de préparation de </w:t>
      </w:r>
      <w:r>
        <w:rPr>
          <w:rFonts w:ascii="Cambria" w:hAnsi="Cambria"/>
          <w:color w:val="000000"/>
        </w:rPr>
        <w:t>l’</w:t>
      </w:r>
      <w:r w:rsidRPr="00B53A4C">
        <w:rPr>
          <w:rFonts w:ascii="Cambria" w:hAnsi="Cambria"/>
          <w:color w:val="000000"/>
        </w:rPr>
        <w:t xml:space="preserve">industrie touristique à la reprise économique mondiale. </w:t>
      </w:r>
    </w:p>
    <w:p w:rsidR="000E392B" w:rsidRPr="00B53A4C" w:rsidRDefault="000E392B" w:rsidP="000E392B">
      <w:pPr>
        <w:pStyle w:val="Normal1"/>
        <w:pBdr>
          <w:top w:val="nil"/>
          <w:left w:val="nil"/>
          <w:bottom w:val="nil"/>
          <w:right w:val="nil"/>
          <w:between w:val="nil"/>
        </w:pBdr>
        <w:ind w:firstLine="851"/>
        <w:jc w:val="both"/>
        <w:rPr>
          <w:rFonts w:ascii="Cambria" w:hAnsi="Cambria"/>
          <w:color w:val="000000"/>
        </w:rPr>
      </w:pPr>
    </w:p>
    <w:p w:rsidR="000E392B" w:rsidRPr="00B53A4C" w:rsidRDefault="000E392B" w:rsidP="000E392B">
      <w:pPr>
        <w:pStyle w:val="Normal1"/>
        <w:pBdr>
          <w:top w:val="nil"/>
          <w:left w:val="nil"/>
          <w:bottom w:val="nil"/>
          <w:right w:val="nil"/>
          <w:between w:val="nil"/>
        </w:pBdr>
        <w:jc w:val="both"/>
        <w:rPr>
          <w:rFonts w:ascii="Cambria" w:hAnsi="Cambria"/>
          <w:color w:val="000000"/>
        </w:rPr>
      </w:pPr>
      <w:r>
        <w:rPr>
          <w:rFonts w:ascii="Cambria" w:hAnsi="Cambria"/>
          <w:color w:val="000000"/>
        </w:rPr>
        <w:t>D</w:t>
      </w:r>
      <w:r w:rsidRPr="00B53A4C">
        <w:rPr>
          <w:rFonts w:ascii="Cambria" w:hAnsi="Cambria"/>
          <w:color w:val="000000"/>
        </w:rPr>
        <w:t xml:space="preserve">ès début octobre, il est attendu </w:t>
      </w:r>
      <w:r>
        <w:rPr>
          <w:rFonts w:ascii="Cambria" w:hAnsi="Cambria"/>
          <w:color w:val="000000"/>
        </w:rPr>
        <w:t>qu’un</w:t>
      </w:r>
      <w:r w:rsidRPr="00B53A4C">
        <w:rPr>
          <w:rFonts w:ascii="Cambria" w:hAnsi="Cambria"/>
          <w:color w:val="000000"/>
        </w:rPr>
        <w:t xml:space="preserve"> maximum de chantiers collaboratifs soit créé et que le plus grand nombre de personnes possible y participe. A </w:t>
      </w:r>
      <w:r>
        <w:rPr>
          <w:rFonts w:ascii="Cambria" w:hAnsi="Cambria"/>
          <w:color w:val="000000"/>
        </w:rPr>
        <w:t xml:space="preserve">la </w:t>
      </w:r>
      <w:r w:rsidRPr="00B53A4C">
        <w:rPr>
          <w:rFonts w:ascii="Cambria" w:hAnsi="Cambria"/>
          <w:color w:val="000000"/>
        </w:rPr>
        <w:t>mi-novembre, le garant médiateur et le coordinateur de la mission feront un point et proposeront une première version de la stratégie de développement touristique "</w:t>
      </w:r>
      <w:proofErr w:type="spellStart"/>
      <w:r w:rsidRPr="00B53A4C">
        <w:rPr>
          <w:rFonts w:ascii="Cambria" w:hAnsi="Cambria"/>
          <w:color w:val="000000"/>
        </w:rPr>
        <w:t>Fariiraa</w:t>
      </w:r>
      <w:proofErr w:type="spellEnd"/>
      <w:r w:rsidRPr="00B53A4C">
        <w:rPr>
          <w:rFonts w:ascii="Cambria" w:hAnsi="Cambria"/>
          <w:color w:val="000000"/>
        </w:rPr>
        <w:t xml:space="preserve"> </w:t>
      </w:r>
      <w:proofErr w:type="spellStart"/>
      <w:r w:rsidRPr="00B53A4C">
        <w:rPr>
          <w:rFonts w:ascii="Cambria" w:hAnsi="Cambria"/>
          <w:color w:val="000000"/>
        </w:rPr>
        <w:t>Manihini</w:t>
      </w:r>
      <w:proofErr w:type="spellEnd"/>
      <w:r w:rsidRPr="00B53A4C">
        <w:rPr>
          <w:rFonts w:ascii="Cambria" w:hAnsi="Cambria"/>
          <w:color w:val="000000"/>
        </w:rPr>
        <w:t xml:space="preserve"> 2025", dont l’architecture devra traduire le plus fidèlement possible les tendances ressortant des préconisations des chantiers collaboratifs.</w:t>
      </w:r>
      <w:r>
        <w:rPr>
          <w:rFonts w:ascii="Cambria" w:hAnsi="Cambria"/>
          <w:color w:val="000000"/>
        </w:rPr>
        <w:t xml:space="preserve"> </w:t>
      </w:r>
      <w:r w:rsidRPr="00B53A4C">
        <w:rPr>
          <w:rFonts w:ascii="Cambria" w:hAnsi="Cambria"/>
          <w:color w:val="000000"/>
        </w:rPr>
        <w:t xml:space="preserve">La validation de cette première version par une commission de cadrage marquera la fin de la première étape de la mission. </w:t>
      </w:r>
    </w:p>
    <w:p w:rsidR="000E392B" w:rsidRDefault="000E392B" w:rsidP="000E392B">
      <w:pPr>
        <w:pStyle w:val="Corpsdutexte0"/>
        <w:shd w:val="clear" w:color="auto" w:fill="auto"/>
        <w:spacing w:before="0" w:after="303"/>
        <w:ind w:left="20" w:right="20" w:firstLine="0"/>
        <w:rPr>
          <w:rFonts w:ascii="Cambria" w:hAnsi="Cambria"/>
          <w:b/>
          <w:sz w:val="24"/>
          <w:szCs w:val="24"/>
        </w:rPr>
      </w:pPr>
    </w:p>
    <w:p w:rsidR="000E392B" w:rsidRPr="000D5C6D" w:rsidRDefault="000E392B" w:rsidP="000E392B">
      <w:pPr>
        <w:pStyle w:val="Corpsdutexte0"/>
        <w:shd w:val="clear" w:color="auto" w:fill="auto"/>
        <w:spacing w:before="0" w:after="303"/>
        <w:ind w:left="20" w:right="20" w:firstLine="0"/>
        <w:rPr>
          <w:rFonts w:ascii="Cambria" w:hAnsi="Cambria"/>
          <w:b/>
          <w:bCs/>
          <w:sz w:val="24"/>
          <w:szCs w:val="24"/>
          <w:u w:val="single"/>
        </w:rPr>
      </w:pPr>
      <w:r w:rsidRPr="000D5C6D">
        <w:rPr>
          <w:rFonts w:ascii="Cambria" w:hAnsi="Cambria"/>
          <w:b/>
          <w:sz w:val="24"/>
          <w:szCs w:val="24"/>
        </w:rPr>
        <w:t xml:space="preserve">Deuxième édition du concert </w:t>
      </w:r>
      <w:proofErr w:type="spellStart"/>
      <w:r w:rsidRPr="000D5C6D">
        <w:rPr>
          <w:rFonts w:ascii="Cambria" w:hAnsi="Cambria"/>
          <w:b/>
          <w:sz w:val="24"/>
          <w:szCs w:val="24"/>
        </w:rPr>
        <w:t>Tu’iro’o</w:t>
      </w:r>
      <w:proofErr w:type="spellEnd"/>
    </w:p>
    <w:p w:rsidR="000E392B" w:rsidRPr="000D5C6D" w:rsidRDefault="000E392B" w:rsidP="000E392B">
      <w:pPr>
        <w:pStyle w:val="-LettreTexteGEDA"/>
        <w:ind w:firstLine="0"/>
        <w:rPr>
          <w:rFonts w:ascii="Cambria" w:hAnsi="Cambria"/>
          <w:bCs/>
          <w:color w:val="000000"/>
          <w:szCs w:val="24"/>
        </w:rPr>
      </w:pPr>
      <w:r w:rsidRPr="000D5C6D">
        <w:rPr>
          <w:rFonts w:ascii="Cambria" w:hAnsi="Cambria"/>
          <w:bCs/>
          <w:color w:val="000000"/>
          <w:szCs w:val="24"/>
        </w:rPr>
        <w:t xml:space="preserve">Le </w:t>
      </w:r>
      <w:r w:rsidRPr="000D5C6D">
        <w:rPr>
          <w:rFonts w:ascii="Cambria" w:hAnsi="Cambria"/>
          <w:szCs w:val="24"/>
        </w:rPr>
        <w:t>ministère de la Culture et l’établissement Te Fare Tauhiti Nui – Maison de la Culture annoncent qu’aura lieu sur To’at</w:t>
      </w:r>
      <w:r w:rsidRPr="000D5C6D">
        <w:rPr>
          <w:rFonts w:ascii="Cambria" w:hAnsi="Cambria"/>
          <w:noProof w:val="0"/>
          <w:szCs w:val="24"/>
        </w:rPr>
        <w:t>ā</w:t>
      </w:r>
      <w:r w:rsidRPr="000D5C6D">
        <w:rPr>
          <w:rFonts w:ascii="Cambria" w:hAnsi="Cambria"/>
          <w:szCs w:val="24"/>
        </w:rPr>
        <w:t xml:space="preserve"> le samedi 10 octobre prochain, à 19h30, la deuxième édition du concert Tu’iro’o, consacré aux artistes polynésiens de renom. Ce nouveau </w:t>
      </w:r>
      <w:r w:rsidRPr="000D5C6D">
        <w:rPr>
          <w:rFonts w:ascii="Cambria" w:hAnsi="Cambria"/>
          <w:szCs w:val="24"/>
        </w:rPr>
        <w:lastRenderedPageBreak/>
        <w:t>rendez-vous prend des chemins différents, afin de rendre hommage à deux grands noms de la chanson polynésienne : Barthélémy et Coco Mamatui</w:t>
      </w:r>
      <w:r w:rsidRPr="000D5C6D">
        <w:rPr>
          <w:rFonts w:ascii="Cambria" w:hAnsi="Cambria"/>
          <w:bCs/>
          <w:color w:val="000000"/>
          <w:szCs w:val="24"/>
        </w:rPr>
        <w:t>.</w:t>
      </w:r>
    </w:p>
    <w:p w:rsidR="000E392B" w:rsidRPr="000D5C6D" w:rsidRDefault="000E392B" w:rsidP="000E392B">
      <w:pPr>
        <w:pStyle w:val="-LettreTexteGEDA"/>
        <w:ind w:firstLine="0"/>
        <w:rPr>
          <w:rFonts w:ascii="Cambria" w:hAnsi="Cambria"/>
          <w:szCs w:val="24"/>
        </w:rPr>
      </w:pPr>
      <w:r w:rsidRPr="000D5C6D">
        <w:rPr>
          <w:rFonts w:ascii="Cambria" w:hAnsi="Cambria"/>
          <w:szCs w:val="24"/>
        </w:rPr>
        <w:t>Kalou Gooding, Reia Poroi et Antoine Arakino ont répondu présent pour faire revivre les répertoires de ces chanteurs inoubliables. Sous la houlette de Bruno Demougeot, chef d’orchestre talentueux, en solo, duo ou trio, ils emporteront le public pour une nouvelle soirée mémorable.</w:t>
      </w:r>
    </w:p>
    <w:p w:rsidR="000E392B" w:rsidRDefault="000E392B" w:rsidP="000E392B">
      <w:pPr>
        <w:pStyle w:val="-LettreTexteGEDA"/>
        <w:ind w:firstLine="0"/>
        <w:rPr>
          <w:rStyle w:val="Lienhypertexte"/>
          <w:rFonts w:ascii="Cambria" w:hAnsi="Cambria"/>
          <w:color w:val="auto"/>
          <w:szCs w:val="24"/>
          <w:u w:val="none"/>
        </w:rPr>
      </w:pPr>
      <w:r w:rsidRPr="000D5C6D">
        <w:rPr>
          <w:rFonts w:ascii="Cambria" w:hAnsi="Cambria"/>
          <w:szCs w:val="24"/>
        </w:rPr>
        <w:t xml:space="preserve">Afin de rendre accessible cet évènement au plus large public, le tarif a été fixé à 1 500 Fcfp, avec un tarif enfant à 1 000 Fcfp. Un protocole sanitaire strict sera appliqué, avec le port du masque obligatoire et une distance d’un siège entre chaque spectateur, afin d’apprécier le spectacle en toute sécurité. Toutes les informations liées à ces événements seront en ligne sur le site  </w:t>
      </w:r>
      <w:hyperlink r:id="rId9" w:history="1">
        <w:r w:rsidRPr="000D5C6D">
          <w:rPr>
            <w:rStyle w:val="Lienhypertexte"/>
            <w:rFonts w:ascii="Cambria" w:hAnsi="Cambria"/>
            <w:szCs w:val="24"/>
          </w:rPr>
          <w:t>www.maisondelaculture.pf</w:t>
        </w:r>
      </w:hyperlink>
      <w:r w:rsidRPr="000D5C6D">
        <w:rPr>
          <w:rStyle w:val="Lienhypertexte"/>
          <w:rFonts w:ascii="Cambria" w:hAnsi="Cambria"/>
          <w:szCs w:val="24"/>
        </w:rPr>
        <w:t>.</w:t>
      </w:r>
    </w:p>
    <w:p w:rsidR="000E392B" w:rsidRDefault="000E392B" w:rsidP="000E392B">
      <w:pPr>
        <w:pStyle w:val="-LettreSuiteORefPJGEDA"/>
        <w:ind w:left="0"/>
        <w:rPr>
          <w:rFonts w:ascii="Cambria" w:hAnsi="Cambria"/>
        </w:rPr>
      </w:pPr>
    </w:p>
    <w:p w:rsidR="000E392B" w:rsidRPr="00FB5856" w:rsidRDefault="000E392B" w:rsidP="000E392B">
      <w:pPr>
        <w:pStyle w:val="-LettreSuiteORefPJGEDA"/>
        <w:ind w:left="0"/>
        <w:rPr>
          <w:rFonts w:ascii="Cambria" w:hAnsi="Cambria"/>
        </w:rPr>
      </w:pPr>
    </w:p>
    <w:p w:rsidR="000E392B" w:rsidRPr="00FB5856" w:rsidRDefault="000E392B" w:rsidP="000E392B">
      <w:pPr>
        <w:jc w:val="both"/>
        <w:rPr>
          <w:rFonts w:ascii="Cambria" w:hAnsi="Cambria"/>
          <w:b/>
        </w:rPr>
      </w:pPr>
      <w:r w:rsidRPr="00FB5856">
        <w:rPr>
          <w:rFonts w:ascii="Cambria" w:hAnsi="Cambria"/>
          <w:b/>
        </w:rPr>
        <w:t>Santé: octroi de subventions de fonctionnement en faveur de cinq associations</w:t>
      </w:r>
    </w:p>
    <w:p w:rsidR="000E392B" w:rsidRPr="00FB5856" w:rsidRDefault="000E392B" w:rsidP="000E392B">
      <w:pPr>
        <w:jc w:val="both"/>
        <w:rPr>
          <w:rFonts w:ascii="Cambria" w:hAnsi="Cambria"/>
        </w:rPr>
      </w:pPr>
    </w:p>
    <w:p w:rsidR="000E392B" w:rsidRPr="00FB5856" w:rsidRDefault="000E392B" w:rsidP="000E392B">
      <w:pPr>
        <w:jc w:val="both"/>
        <w:rPr>
          <w:rFonts w:ascii="Cambria" w:hAnsi="Cambria"/>
        </w:rPr>
      </w:pPr>
      <w:r w:rsidRPr="00FB5856">
        <w:rPr>
          <w:rFonts w:ascii="Cambria" w:hAnsi="Cambria"/>
        </w:rPr>
        <w:t>Sur proposition du ministre de la Santé, le Conseil des ministres a octroyé des subventions de fonctionnement à cinq associations:</w:t>
      </w:r>
    </w:p>
    <w:p w:rsidR="000E392B" w:rsidRPr="00FB5856" w:rsidRDefault="000E392B" w:rsidP="000E392B">
      <w:pPr>
        <w:pStyle w:val="-LettreTexteGEDA"/>
        <w:numPr>
          <w:ilvl w:val="0"/>
          <w:numId w:val="13"/>
        </w:numPr>
        <w:tabs>
          <w:tab w:val="clear" w:pos="1211"/>
          <w:tab w:val="num" w:pos="0"/>
        </w:tabs>
        <w:ind w:left="0" w:firstLine="1276"/>
        <w:rPr>
          <w:rFonts w:ascii="Cambria" w:hAnsi="Cambria"/>
          <w:noProof w:val="0"/>
        </w:rPr>
      </w:pPr>
      <w:r w:rsidRPr="00FB5856">
        <w:rPr>
          <w:rFonts w:ascii="Cambria" w:hAnsi="Cambria"/>
          <w:noProof w:val="0"/>
        </w:rPr>
        <w:t>un montant de 250 000 </w:t>
      </w:r>
      <w:proofErr w:type="spellStart"/>
      <w:r w:rsidRPr="00FB5856">
        <w:rPr>
          <w:rFonts w:ascii="Cambria" w:hAnsi="Cambria"/>
          <w:noProof w:val="0"/>
        </w:rPr>
        <w:t>Fcfp</w:t>
      </w:r>
      <w:proofErr w:type="spellEnd"/>
      <w:r w:rsidRPr="00FB5856">
        <w:rPr>
          <w:rFonts w:ascii="Cambria" w:hAnsi="Cambria"/>
          <w:noProof w:val="0"/>
        </w:rPr>
        <w:t xml:space="preserve"> en faveur de l’association Papeete Rugby Club pour la mise en œuvre d’actions initiation et de promotion à la pratique du « </w:t>
      </w:r>
      <w:proofErr w:type="spellStart"/>
      <w:r w:rsidRPr="00FB5856">
        <w:rPr>
          <w:rFonts w:ascii="Cambria" w:hAnsi="Cambria"/>
          <w:noProof w:val="0"/>
        </w:rPr>
        <w:t>Touch</w:t>
      </w:r>
      <w:proofErr w:type="spellEnd"/>
      <w:r w:rsidRPr="00FB5856">
        <w:rPr>
          <w:rFonts w:ascii="Cambria" w:hAnsi="Cambria"/>
          <w:noProof w:val="0"/>
        </w:rPr>
        <w:t xml:space="preserve"> rugby » au titre de l’exercice 2020 ;</w:t>
      </w:r>
    </w:p>
    <w:p w:rsidR="000E392B" w:rsidRPr="00FB5856" w:rsidRDefault="000E392B" w:rsidP="000E392B">
      <w:pPr>
        <w:pStyle w:val="-LettreTexteGEDA"/>
        <w:numPr>
          <w:ilvl w:val="0"/>
          <w:numId w:val="13"/>
        </w:numPr>
        <w:tabs>
          <w:tab w:val="clear" w:pos="1211"/>
          <w:tab w:val="num" w:pos="0"/>
        </w:tabs>
        <w:ind w:left="0" w:firstLine="1276"/>
        <w:rPr>
          <w:rFonts w:ascii="Cambria" w:hAnsi="Cambria"/>
          <w:noProof w:val="0"/>
        </w:rPr>
      </w:pPr>
      <w:r w:rsidRPr="00FB5856">
        <w:rPr>
          <w:rFonts w:ascii="Cambria" w:hAnsi="Cambria"/>
          <w:noProof w:val="0"/>
        </w:rPr>
        <w:t>un montant de 450 000 </w:t>
      </w:r>
      <w:proofErr w:type="spellStart"/>
      <w:r w:rsidRPr="00FB5856">
        <w:rPr>
          <w:rFonts w:ascii="Cambria" w:hAnsi="Cambria"/>
          <w:noProof w:val="0"/>
        </w:rPr>
        <w:t>Fcfp</w:t>
      </w:r>
      <w:proofErr w:type="spellEnd"/>
      <w:r w:rsidRPr="00FB5856">
        <w:rPr>
          <w:rFonts w:ascii="Cambria" w:hAnsi="Cambria"/>
          <w:noProof w:val="0"/>
        </w:rPr>
        <w:t xml:space="preserve"> en faveur de l’association Tahiti Judo </w:t>
      </w:r>
      <w:proofErr w:type="spellStart"/>
      <w:r w:rsidRPr="00FB5856">
        <w:rPr>
          <w:rFonts w:ascii="Cambria" w:hAnsi="Cambria"/>
          <w:noProof w:val="0"/>
        </w:rPr>
        <w:t>Discovery</w:t>
      </w:r>
      <w:proofErr w:type="spellEnd"/>
      <w:r w:rsidRPr="00FB5856">
        <w:rPr>
          <w:rFonts w:ascii="Cambria" w:hAnsi="Cambria"/>
          <w:noProof w:val="0"/>
        </w:rPr>
        <w:t xml:space="preserve"> pour le programme intitulé « Santé pour nos enfants à </w:t>
      </w:r>
      <w:proofErr w:type="spellStart"/>
      <w:r w:rsidRPr="00FB5856">
        <w:rPr>
          <w:rFonts w:ascii="Cambria" w:hAnsi="Cambria"/>
          <w:noProof w:val="0"/>
        </w:rPr>
        <w:t>Mahina</w:t>
      </w:r>
      <w:proofErr w:type="spellEnd"/>
      <w:r w:rsidRPr="00FB5856">
        <w:rPr>
          <w:rFonts w:ascii="Cambria" w:hAnsi="Cambria"/>
          <w:noProof w:val="0"/>
        </w:rPr>
        <w:t> » au titre de l’exercice 2020 ;</w:t>
      </w:r>
    </w:p>
    <w:p w:rsidR="000E392B" w:rsidRPr="00FB5856" w:rsidRDefault="000E392B" w:rsidP="000E392B">
      <w:pPr>
        <w:pStyle w:val="-LettreTexteGEDA"/>
        <w:numPr>
          <w:ilvl w:val="0"/>
          <w:numId w:val="13"/>
        </w:numPr>
        <w:tabs>
          <w:tab w:val="clear" w:pos="1211"/>
          <w:tab w:val="num" w:pos="0"/>
        </w:tabs>
        <w:ind w:left="0" w:firstLine="1276"/>
        <w:rPr>
          <w:rFonts w:ascii="Cambria" w:hAnsi="Cambria"/>
          <w:noProof w:val="0"/>
        </w:rPr>
      </w:pPr>
      <w:r w:rsidRPr="00FB5856">
        <w:rPr>
          <w:rFonts w:ascii="Cambria" w:hAnsi="Cambria"/>
          <w:noProof w:val="0"/>
        </w:rPr>
        <w:t>un montant de 300 000 </w:t>
      </w:r>
      <w:proofErr w:type="spellStart"/>
      <w:r w:rsidRPr="00FB5856">
        <w:rPr>
          <w:rFonts w:ascii="Cambria" w:hAnsi="Cambria"/>
          <w:noProof w:val="0"/>
        </w:rPr>
        <w:t>Fcfp</w:t>
      </w:r>
      <w:proofErr w:type="spellEnd"/>
      <w:r w:rsidRPr="00FB5856">
        <w:rPr>
          <w:rFonts w:ascii="Cambria" w:hAnsi="Cambria"/>
          <w:noProof w:val="0"/>
        </w:rPr>
        <w:t xml:space="preserve"> en faveur de l’association « Tefana Taekwondo » pour la mise en œuvre du programme intitulé « Taekwondo fitness santé » au titre de l’exercice 2020 ;</w:t>
      </w:r>
    </w:p>
    <w:p w:rsidR="000E392B" w:rsidRPr="00FB5856" w:rsidRDefault="000E392B" w:rsidP="000E392B">
      <w:pPr>
        <w:pStyle w:val="-LettreTexteGEDA"/>
        <w:numPr>
          <w:ilvl w:val="0"/>
          <w:numId w:val="13"/>
        </w:numPr>
        <w:tabs>
          <w:tab w:val="clear" w:pos="1211"/>
          <w:tab w:val="num" w:pos="0"/>
        </w:tabs>
        <w:ind w:left="0" w:firstLine="1276"/>
        <w:rPr>
          <w:rFonts w:ascii="Cambria" w:hAnsi="Cambria"/>
          <w:noProof w:val="0"/>
        </w:rPr>
      </w:pPr>
      <w:r w:rsidRPr="00FB5856">
        <w:rPr>
          <w:rFonts w:ascii="Cambria" w:hAnsi="Cambria"/>
          <w:noProof w:val="0"/>
        </w:rPr>
        <w:t>un montant d’1 435 000 </w:t>
      </w:r>
      <w:proofErr w:type="spellStart"/>
      <w:r w:rsidRPr="00FB5856">
        <w:rPr>
          <w:rFonts w:ascii="Cambria" w:hAnsi="Cambria"/>
          <w:noProof w:val="0"/>
        </w:rPr>
        <w:t>Fcfp</w:t>
      </w:r>
      <w:proofErr w:type="spellEnd"/>
      <w:r w:rsidRPr="00FB5856">
        <w:rPr>
          <w:rFonts w:ascii="Cambria" w:hAnsi="Cambria"/>
          <w:noProof w:val="0"/>
        </w:rPr>
        <w:t xml:space="preserve"> en faveur de l’association Coopérative scolaire fonds propres de l’école primaire de </w:t>
      </w:r>
      <w:proofErr w:type="spellStart"/>
      <w:r w:rsidRPr="00FB5856">
        <w:rPr>
          <w:rFonts w:ascii="Cambria" w:hAnsi="Cambria"/>
          <w:noProof w:val="0"/>
        </w:rPr>
        <w:t>Maharepa</w:t>
      </w:r>
      <w:proofErr w:type="spellEnd"/>
      <w:r w:rsidRPr="00FB5856">
        <w:rPr>
          <w:rFonts w:ascii="Cambria" w:hAnsi="Cambria"/>
          <w:noProof w:val="0"/>
        </w:rPr>
        <w:t xml:space="preserve"> pour la mise en œuvre d’un modèle polynésien d’économie et d’alimentation circulaire ;</w:t>
      </w:r>
    </w:p>
    <w:p w:rsidR="000E392B" w:rsidRPr="00FB5856" w:rsidRDefault="000E392B" w:rsidP="000E392B">
      <w:pPr>
        <w:pStyle w:val="-LettreTexteGEDA"/>
        <w:numPr>
          <w:ilvl w:val="0"/>
          <w:numId w:val="13"/>
        </w:numPr>
        <w:tabs>
          <w:tab w:val="clear" w:pos="1211"/>
          <w:tab w:val="num" w:pos="0"/>
        </w:tabs>
        <w:ind w:left="0" w:firstLine="1276"/>
        <w:rPr>
          <w:rFonts w:ascii="Cambria" w:hAnsi="Cambria"/>
          <w:noProof w:val="0"/>
        </w:rPr>
      </w:pPr>
      <w:r w:rsidRPr="00FB5856">
        <w:rPr>
          <w:rFonts w:ascii="Cambria" w:hAnsi="Cambria"/>
          <w:noProof w:val="0"/>
        </w:rPr>
        <w:t>un montant de 781 983 </w:t>
      </w:r>
      <w:proofErr w:type="spellStart"/>
      <w:r w:rsidRPr="00FB5856">
        <w:rPr>
          <w:rFonts w:ascii="Cambria" w:hAnsi="Cambria"/>
          <w:noProof w:val="0"/>
        </w:rPr>
        <w:t>Fcfp</w:t>
      </w:r>
      <w:proofErr w:type="spellEnd"/>
      <w:r w:rsidRPr="00FB5856">
        <w:rPr>
          <w:rFonts w:ascii="Cambria" w:hAnsi="Cambria"/>
          <w:noProof w:val="0"/>
        </w:rPr>
        <w:t xml:space="preserve"> en faveur de l’association des Enseignants en Activité Physique Adaptée no </w:t>
      </w:r>
      <w:proofErr w:type="spellStart"/>
      <w:r w:rsidRPr="00FB5856">
        <w:rPr>
          <w:rFonts w:ascii="Cambria" w:hAnsi="Cambria"/>
          <w:noProof w:val="0"/>
        </w:rPr>
        <w:t>Porinetia</w:t>
      </w:r>
      <w:proofErr w:type="spellEnd"/>
      <w:r w:rsidRPr="00FB5856">
        <w:rPr>
          <w:rFonts w:ascii="Cambria" w:hAnsi="Cambria"/>
          <w:noProof w:val="0"/>
        </w:rPr>
        <w:t xml:space="preserve"> – E.A.P.A.P  pour l’organisation d’activité physique adaptée auprès de public en insuffisance rénale au titre de l’exercice 2020.</w:t>
      </w:r>
    </w:p>
    <w:p w:rsidR="000E392B" w:rsidRDefault="000E392B" w:rsidP="000E392B">
      <w:pPr>
        <w:pStyle w:val="-LettreSuiteORefPJGEDA"/>
        <w:ind w:left="0"/>
        <w:rPr>
          <w:rFonts w:asciiTheme="majorHAnsi" w:hAnsiTheme="majorHAnsi"/>
        </w:rPr>
      </w:pPr>
    </w:p>
    <w:p w:rsidR="000E392B" w:rsidRPr="00A21959" w:rsidRDefault="000E392B" w:rsidP="000E392B">
      <w:pPr>
        <w:autoSpaceDE w:val="0"/>
        <w:autoSpaceDN w:val="0"/>
        <w:spacing w:before="240" w:after="240"/>
        <w:jc w:val="both"/>
        <w:rPr>
          <w:rFonts w:ascii="Cambria" w:hAnsi="Cambria"/>
          <w:b/>
          <w:bCs/>
          <w:iCs/>
        </w:rPr>
      </w:pPr>
      <w:r w:rsidRPr="00A21959">
        <w:rPr>
          <w:rFonts w:ascii="Cambria" w:hAnsi="Cambria"/>
          <w:b/>
          <w:bCs/>
          <w:iCs/>
        </w:rPr>
        <w:t>Création d’un comité territorial de l’aide médicale urgente et des transports sanitaires</w:t>
      </w:r>
    </w:p>
    <w:p w:rsidR="000E392B" w:rsidRPr="00A21959" w:rsidRDefault="000E392B" w:rsidP="000E392B">
      <w:pPr>
        <w:pStyle w:val="-LettreTexteGEDA"/>
        <w:spacing w:before="240" w:after="240"/>
        <w:ind w:firstLine="0"/>
        <w:rPr>
          <w:rFonts w:asciiTheme="majorHAnsi" w:hAnsiTheme="majorHAnsi"/>
          <w:szCs w:val="24"/>
        </w:rPr>
      </w:pPr>
      <w:r w:rsidRPr="00A21959">
        <w:rPr>
          <w:rFonts w:asciiTheme="majorHAnsi" w:hAnsiTheme="majorHAnsi"/>
          <w:szCs w:val="24"/>
        </w:rPr>
        <w:t xml:space="preserve">Conformément aux dispositions de la délibération </w:t>
      </w:r>
      <w:r>
        <w:rPr>
          <w:rFonts w:asciiTheme="majorHAnsi" w:hAnsiTheme="majorHAnsi"/>
          <w:szCs w:val="24"/>
        </w:rPr>
        <w:t>de l’Assemblée de Polynésie</w:t>
      </w:r>
      <w:r w:rsidRPr="00A21959">
        <w:rPr>
          <w:rFonts w:asciiTheme="majorHAnsi" w:hAnsiTheme="majorHAnsi"/>
          <w:szCs w:val="24"/>
        </w:rPr>
        <w:t xml:space="preserve"> du 11 février 1999 modifiée, constitue un transport sanitaire, tout transport d’une personne malade, blessée ou parturiente, pour des raisons de soins ou de diagnostic, sur prescription médicale ou en cas d’urgence médicale, effectué à l’aide de moyens de transports spécialement adaptés à cet effet. </w:t>
      </w:r>
    </w:p>
    <w:p w:rsidR="000E392B" w:rsidRPr="00A21959" w:rsidRDefault="000E392B" w:rsidP="000E392B">
      <w:pPr>
        <w:pStyle w:val="-LettreTexteGEDA"/>
        <w:spacing w:before="240" w:after="240"/>
        <w:ind w:firstLine="0"/>
        <w:rPr>
          <w:rFonts w:asciiTheme="majorHAnsi" w:hAnsiTheme="majorHAnsi"/>
          <w:szCs w:val="24"/>
        </w:rPr>
      </w:pPr>
      <w:r w:rsidRPr="00A21959">
        <w:rPr>
          <w:rFonts w:asciiTheme="majorHAnsi" w:hAnsiTheme="majorHAnsi"/>
          <w:szCs w:val="24"/>
        </w:rPr>
        <w:t xml:space="preserve">En ce sens, l’arrêté </w:t>
      </w:r>
      <w:r>
        <w:rPr>
          <w:rFonts w:asciiTheme="majorHAnsi" w:hAnsiTheme="majorHAnsi"/>
          <w:szCs w:val="24"/>
        </w:rPr>
        <w:t>du Conseil des ministres</w:t>
      </w:r>
      <w:r w:rsidRPr="00A21959">
        <w:rPr>
          <w:rFonts w:asciiTheme="majorHAnsi" w:hAnsiTheme="majorHAnsi"/>
          <w:szCs w:val="24"/>
        </w:rPr>
        <w:t xml:space="preserve"> du 9 février 2001 fixe les adaptations spécifiques prévues par la délibération pour les véhicules terrestres. Y sont ainsi mentionnées</w:t>
      </w:r>
      <w:r>
        <w:rPr>
          <w:rFonts w:asciiTheme="majorHAnsi" w:hAnsiTheme="majorHAnsi"/>
          <w:szCs w:val="24"/>
        </w:rPr>
        <w:t>,</w:t>
      </w:r>
      <w:r w:rsidRPr="00A21959">
        <w:rPr>
          <w:rFonts w:asciiTheme="majorHAnsi" w:hAnsiTheme="majorHAnsi"/>
          <w:szCs w:val="24"/>
        </w:rPr>
        <w:t xml:space="preserve"> en annexe, les conditions techniques nécessaires.</w:t>
      </w:r>
    </w:p>
    <w:p w:rsidR="000E392B" w:rsidRPr="00A21959" w:rsidRDefault="000E392B" w:rsidP="000E392B">
      <w:pPr>
        <w:pStyle w:val="-LettreTexteGEDA"/>
        <w:spacing w:before="240" w:after="240"/>
        <w:ind w:firstLine="0"/>
        <w:rPr>
          <w:rFonts w:asciiTheme="majorHAnsi" w:hAnsiTheme="majorHAnsi"/>
          <w:szCs w:val="24"/>
        </w:rPr>
      </w:pPr>
      <w:r w:rsidRPr="00A21959">
        <w:rPr>
          <w:rFonts w:asciiTheme="majorHAnsi" w:hAnsiTheme="majorHAnsi"/>
          <w:szCs w:val="24"/>
        </w:rPr>
        <w:lastRenderedPageBreak/>
        <w:t xml:space="preserve">Depuis 2002, les conditions techniques des véhicules sanitaires n’ont jamais été révisées ou remises à jour. Or, les normes, mais également les besoins en transports sanitaires ont évolué et se sont renforcés ces dernières années. </w:t>
      </w:r>
    </w:p>
    <w:p w:rsidR="000E392B" w:rsidRDefault="000E392B" w:rsidP="000E392B">
      <w:pPr>
        <w:pStyle w:val="-LettreTexteGEDA"/>
        <w:spacing w:before="0"/>
        <w:ind w:firstLine="0"/>
        <w:rPr>
          <w:rFonts w:asciiTheme="majorHAnsi" w:hAnsiTheme="majorHAnsi"/>
          <w:szCs w:val="24"/>
        </w:rPr>
      </w:pPr>
      <w:r w:rsidRPr="00A21959">
        <w:rPr>
          <w:rFonts w:asciiTheme="majorHAnsi" w:hAnsiTheme="majorHAnsi"/>
          <w:szCs w:val="24"/>
        </w:rPr>
        <w:t>Le gouvernement a adopté un arrêté assurant</w:t>
      </w:r>
      <w:r>
        <w:rPr>
          <w:rFonts w:asciiTheme="majorHAnsi" w:hAnsiTheme="majorHAnsi"/>
          <w:szCs w:val="24"/>
        </w:rPr>
        <w:t>,</w:t>
      </w:r>
      <w:r w:rsidRPr="00A21959">
        <w:rPr>
          <w:rFonts w:asciiTheme="majorHAnsi" w:hAnsiTheme="majorHAnsi"/>
          <w:szCs w:val="24"/>
        </w:rPr>
        <w:t xml:space="preserve"> pour l’essentiel, la mise à jour complète de l’annexe 2 de l’arrêté </w:t>
      </w:r>
      <w:r>
        <w:rPr>
          <w:rFonts w:asciiTheme="majorHAnsi" w:hAnsiTheme="majorHAnsi"/>
          <w:szCs w:val="24"/>
        </w:rPr>
        <w:t xml:space="preserve">du Conseil des ministres </w:t>
      </w:r>
      <w:r w:rsidRPr="00A21959">
        <w:rPr>
          <w:rFonts w:asciiTheme="majorHAnsi" w:hAnsiTheme="majorHAnsi"/>
          <w:szCs w:val="24"/>
        </w:rPr>
        <w:t xml:space="preserve">du 9 février 2001 modifié cela afin de tenir compte des normes récentes en matière d’équipement et de répondre aussi et surtout </w:t>
      </w:r>
      <w:r>
        <w:rPr>
          <w:rFonts w:asciiTheme="majorHAnsi" w:hAnsiTheme="majorHAnsi"/>
          <w:szCs w:val="24"/>
        </w:rPr>
        <w:t>aux</w:t>
      </w:r>
      <w:r w:rsidRPr="00A21959">
        <w:rPr>
          <w:rFonts w:asciiTheme="majorHAnsi" w:hAnsiTheme="majorHAnsi"/>
          <w:szCs w:val="24"/>
        </w:rPr>
        <w:t xml:space="preserve"> besoins spécifiques en matière de transport sanitaire pour </w:t>
      </w:r>
      <w:r>
        <w:rPr>
          <w:rFonts w:asciiTheme="majorHAnsi" w:hAnsiTheme="majorHAnsi"/>
          <w:szCs w:val="24"/>
        </w:rPr>
        <w:t>le</w:t>
      </w:r>
      <w:r w:rsidRPr="00A21959">
        <w:rPr>
          <w:rFonts w:asciiTheme="majorHAnsi" w:hAnsiTheme="majorHAnsi"/>
          <w:szCs w:val="24"/>
        </w:rPr>
        <w:t>s îles.</w:t>
      </w:r>
    </w:p>
    <w:p w:rsidR="000E392B" w:rsidRDefault="000E392B" w:rsidP="000E392B">
      <w:pPr>
        <w:pStyle w:val="-LettreSuiteORefPJGEDA"/>
        <w:ind w:left="0"/>
        <w:rPr>
          <w:rFonts w:asciiTheme="majorHAnsi" w:hAnsiTheme="majorHAnsi"/>
        </w:rPr>
      </w:pPr>
    </w:p>
    <w:p w:rsidR="000E392B" w:rsidRDefault="000E392B" w:rsidP="000E392B">
      <w:pPr>
        <w:pStyle w:val="-LettreSuiteORefPJGEDA"/>
        <w:ind w:left="0"/>
        <w:rPr>
          <w:rFonts w:asciiTheme="majorHAnsi" w:hAnsiTheme="majorHAnsi"/>
        </w:rPr>
      </w:pPr>
    </w:p>
    <w:p w:rsidR="000E392B" w:rsidRPr="0075769B" w:rsidRDefault="000E392B" w:rsidP="000E392B">
      <w:pPr>
        <w:pStyle w:val="-LettreSuiteORefPJGEDA"/>
        <w:ind w:left="0"/>
        <w:rPr>
          <w:rFonts w:ascii="Cambria" w:hAnsi="Cambria"/>
          <w:b/>
        </w:rPr>
      </w:pPr>
      <w:r w:rsidRPr="0075769B">
        <w:rPr>
          <w:rFonts w:ascii="Cambria" w:hAnsi="Cambria"/>
          <w:b/>
        </w:rPr>
        <w:t>Construction du lycée de Moorea: partenariat entre la Polynésie française et l’AFD</w:t>
      </w:r>
      <w:r w:rsidRPr="0075769B">
        <w:rPr>
          <w:rFonts w:ascii="Cambria" w:hAnsi="Cambria"/>
          <w:b/>
          <w:color w:val="000000"/>
          <w:szCs w:val="24"/>
        </w:rPr>
        <w:t xml:space="preserve"> </w:t>
      </w:r>
      <w:r w:rsidRPr="0075769B">
        <w:rPr>
          <w:rFonts w:ascii="Cambria" w:hAnsi="Cambria"/>
          <w:b/>
        </w:rPr>
        <w:t xml:space="preserve">pour le financement d’une étude sur la qualité environnementale du bâtiment </w:t>
      </w:r>
    </w:p>
    <w:p w:rsidR="000E392B" w:rsidRPr="0075769B" w:rsidRDefault="000E392B" w:rsidP="000E392B">
      <w:pPr>
        <w:pStyle w:val="-LettreSuiteORefPJGEDA"/>
        <w:ind w:left="0"/>
        <w:rPr>
          <w:rFonts w:ascii="Cambria" w:hAnsi="Cambria"/>
        </w:rPr>
      </w:pPr>
    </w:p>
    <w:p w:rsidR="000E392B" w:rsidRPr="0075769B" w:rsidRDefault="000E392B" w:rsidP="000E392B">
      <w:pPr>
        <w:jc w:val="both"/>
        <w:rPr>
          <w:rFonts w:ascii="Cambria" w:hAnsi="Cambria"/>
        </w:rPr>
      </w:pPr>
      <w:r w:rsidRPr="0075769B">
        <w:rPr>
          <w:rFonts w:ascii="Cambria" w:hAnsi="Cambria"/>
        </w:rPr>
        <w:t xml:space="preserve">La ministre de l’Education, de la jeunesse et des sports souhaite une élévation générale du niveau des élèves de Polynésie française. Une amélioration sensible du cadre de vie et de travail en établissement est propice à un meilleur apprentissage des élèves, et offre également de meilleures conditions de travail aux personnels que sont notamment les enseignants. </w:t>
      </w:r>
    </w:p>
    <w:p w:rsidR="000E392B" w:rsidRPr="0075769B" w:rsidRDefault="000E392B" w:rsidP="000E392B">
      <w:pPr>
        <w:ind w:firstLine="708"/>
        <w:jc w:val="both"/>
        <w:rPr>
          <w:rFonts w:ascii="Cambria" w:hAnsi="Cambria"/>
        </w:rPr>
      </w:pPr>
    </w:p>
    <w:p w:rsidR="000E392B" w:rsidRPr="0075769B" w:rsidRDefault="000E392B" w:rsidP="000E392B">
      <w:pPr>
        <w:jc w:val="both"/>
        <w:rPr>
          <w:rFonts w:ascii="Cambria" w:hAnsi="Cambria"/>
        </w:rPr>
      </w:pPr>
      <w:r w:rsidRPr="0075769B">
        <w:rPr>
          <w:rFonts w:ascii="Cambria" w:hAnsi="Cambria"/>
        </w:rPr>
        <w:t xml:space="preserve">Ainsi, </w:t>
      </w:r>
      <w:r>
        <w:rPr>
          <w:rFonts w:ascii="Cambria" w:hAnsi="Cambria"/>
        </w:rPr>
        <w:t>la ministre de l’E</w:t>
      </w:r>
      <w:r w:rsidRPr="0075769B">
        <w:rPr>
          <w:rFonts w:ascii="Cambria" w:hAnsi="Cambria"/>
        </w:rPr>
        <w:t xml:space="preserve">ducation souhaite lancer sa démarche de constitution d’un patrimoine bâti à plus haute qualité environnementale afin de pouvoir répondre à cet objectif, mais également à d’autres objectifs comme limiter l’impact environnemental global des projets du </w:t>
      </w:r>
      <w:r>
        <w:rPr>
          <w:rFonts w:ascii="Cambria" w:hAnsi="Cambria"/>
        </w:rPr>
        <w:t>m</w:t>
      </w:r>
      <w:r w:rsidRPr="0075769B">
        <w:rPr>
          <w:rFonts w:ascii="Cambria" w:hAnsi="Cambria"/>
        </w:rPr>
        <w:t>inistère, optimiser les consommations en énergies primaires ou encore une meilleure intégration des projets dans leur environnement.</w:t>
      </w:r>
    </w:p>
    <w:p w:rsidR="000E392B" w:rsidRPr="0075769B" w:rsidRDefault="000E392B" w:rsidP="000E392B">
      <w:pPr>
        <w:ind w:firstLine="708"/>
        <w:jc w:val="both"/>
        <w:rPr>
          <w:rFonts w:ascii="Cambria" w:hAnsi="Cambria"/>
        </w:rPr>
      </w:pPr>
    </w:p>
    <w:p w:rsidR="000E392B" w:rsidRPr="0075769B" w:rsidRDefault="000E392B" w:rsidP="000E392B">
      <w:pPr>
        <w:jc w:val="both"/>
        <w:rPr>
          <w:rFonts w:ascii="Cambria" w:hAnsi="Cambria"/>
        </w:rPr>
      </w:pPr>
      <w:r w:rsidRPr="0075769B">
        <w:rPr>
          <w:rFonts w:ascii="Cambria" w:hAnsi="Cambria"/>
        </w:rPr>
        <w:t xml:space="preserve">Le projet du Lycée de Moorea est né de la volonté de créer un lycée d’enseignement général et professionnel sur l’île de Moorea, </w:t>
      </w:r>
      <w:r>
        <w:rPr>
          <w:rFonts w:ascii="Cambria" w:hAnsi="Cambria"/>
        </w:rPr>
        <w:t>ce qui n’existe pas</w:t>
      </w:r>
      <w:r w:rsidRPr="0075769B">
        <w:rPr>
          <w:rFonts w:ascii="Cambria" w:hAnsi="Cambria"/>
        </w:rPr>
        <w:t xml:space="preserve"> pour l’heure sur l’île. </w:t>
      </w:r>
      <w:r>
        <w:rPr>
          <w:rFonts w:ascii="Cambria" w:hAnsi="Cambria"/>
        </w:rPr>
        <w:t>Ce</w:t>
      </w:r>
      <w:r w:rsidRPr="0075769B">
        <w:rPr>
          <w:rFonts w:ascii="Cambria" w:hAnsi="Cambria"/>
        </w:rPr>
        <w:t xml:space="preserve"> lycée sera conçu et construit en intégrant une approche environnementale au sein de son programme technique détaillé.</w:t>
      </w:r>
    </w:p>
    <w:p w:rsidR="000E392B" w:rsidRPr="0075769B" w:rsidRDefault="000E392B" w:rsidP="000E392B">
      <w:pPr>
        <w:ind w:firstLine="708"/>
        <w:jc w:val="both"/>
        <w:rPr>
          <w:rFonts w:ascii="Cambria" w:hAnsi="Cambria"/>
        </w:rPr>
      </w:pPr>
    </w:p>
    <w:p w:rsidR="000E392B" w:rsidRPr="0075769B" w:rsidRDefault="000E392B" w:rsidP="000E392B">
      <w:pPr>
        <w:jc w:val="both"/>
        <w:rPr>
          <w:rFonts w:ascii="Cambria" w:hAnsi="Cambria"/>
        </w:rPr>
      </w:pPr>
      <w:r>
        <w:rPr>
          <w:rFonts w:ascii="Cambria" w:hAnsi="Cambria"/>
        </w:rPr>
        <w:t>Le ministère de l’Education</w:t>
      </w:r>
      <w:r w:rsidRPr="0075769B">
        <w:rPr>
          <w:rFonts w:ascii="Cambria" w:hAnsi="Cambria"/>
        </w:rPr>
        <w:t xml:space="preserve"> a </w:t>
      </w:r>
      <w:r>
        <w:rPr>
          <w:rFonts w:ascii="Cambria" w:hAnsi="Cambria"/>
        </w:rPr>
        <w:t xml:space="preserve">ainsi </w:t>
      </w:r>
      <w:r w:rsidRPr="0075769B">
        <w:rPr>
          <w:rFonts w:ascii="Cambria" w:hAnsi="Cambria"/>
        </w:rPr>
        <w:t xml:space="preserve">pour </w:t>
      </w:r>
      <w:r>
        <w:rPr>
          <w:rFonts w:ascii="Cambria" w:hAnsi="Cambria"/>
        </w:rPr>
        <w:t xml:space="preserve">objectif que cet établissement </w:t>
      </w:r>
      <w:r w:rsidRPr="0075769B">
        <w:rPr>
          <w:rFonts w:ascii="Cambria" w:hAnsi="Cambria"/>
        </w:rPr>
        <w:t>soit conforme dès son ouverture à la future régle</w:t>
      </w:r>
      <w:r>
        <w:rPr>
          <w:rFonts w:ascii="Cambria" w:hAnsi="Cambria"/>
        </w:rPr>
        <w:t xml:space="preserve">mentation thermique du Pays, </w:t>
      </w:r>
      <w:r w:rsidRPr="0075769B">
        <w:rPr>
          <w:rFonts w:ascii="Cambria" w:hAnsi="Cambria"/>
        </w:rPr>
        <w:t>favorise la mise en pl</w:t>
      </w:r>
      <w:r>
        <w:rPr>
          <w:rFonts w:ascii="Cambria" w:hAnsi="Cambria"/>
        </w:rPr>
        <w:t xml:space="preserve">ace des énergies renouvelables, </w:t>
      </w:r>
      <w:r w:rsidRPr="0075769B">
        <w:rPr>
          <w:rFonts w:ascii="Cambria" w:hAnsi="Cambria"/>
        </w:rPr>
        <w:t>améliore le c</w:t>
      </w:r>
      <w:r>
        <w:rPr>
          <w:rFonts w:ascii="Cambria" w:hAnsi="Cambria"/>
        </w:rPr>
        <w:t xml:space="preserve">onfort global des utilisateurs, </w:t>
      </w:r>
      <w:r w:rsidRPr="0075769B">
        <w:rPr>
          <w:rFonts w:ascii="Cambria" w:hAnsi="Cambria"/>
        </w:rPr>
        <w:t xml:space="preserve">améliore la qualité des matériaux mis en œuvre et la protection solaire, </w:t>
      </w:r>
      <w:r>
        <w:rPr>
          <w:rFonts w:ascii="Cambria" w:hAnsi="Cambria"/>
        </w:rPr>
        <w:t xml:space="preserve">en </w:t>
      </w:r>
      <w:r w:rsidRPr="0075769B">
        <w:rPr>
          <w:rFonts w:ascii="Cambria" w:hAnsi="Cambria"/>
        </w:rPr>
        <w:t>isol</w:t>
      </w:r>
      <w:r>
        <w:rPr>
          <w:rFonts w:ascii="Cambria" w:hAnsi="Cambria"/>
        </w:rPr>
        <w:t>ant</w:t>
      </w:r>
      <w:r w:rsidRPr="0075769B">
        <w:rPr>
          <w:rFonts w:ascii="Cambria" w:hAnsi="Cambria"/>
        </w:rPr>
        <w:t xml:space="preserve"> les ouvrages afin de dimin</w:t>
      </w:r>
      <w:r>
        <w:rPr>
          <w:rFonts w:ascii="Cambria" w:hAnsi="Cambria"/>
        </w:rPr>
        <w:t>uer les coûts de fonctionnement, tout en faisant en sorte</w:t>
      </w:r>
      <w:r w:rsidRPr="0075769B">
        <w:rPr>
          <w:rFonts w:ascii="Cambria" w:hAnsi="Cambria"/>
        </w:rPr>
        <w:t xml:space="preserve"> que du bois local issu de la forêt de pin du domaine d’</w:t>
      </w:r>
      <w:proofErr w:type="spellStart"/>
      <w:r w:rsidRPr="0075769B">
        <w:rPr>
          <w:rFonts w:ascii="Cambria" w:hAnsi="Cambria"/>
        </w:rPr>
        <w:t>Opunohu</w:t>
      </w:r>
      <w:proofErr w:type="spellEnd"/>
      <w:r w:rsidRPr="0075769B">
        <w:rPr>
          <w:rFonts w:ascii="Cambria" w:hAnsi="Cambria"/>
        </w:rPr>
        <w:t xml:space="preserve"> soit utilisé pour sa construction</w:t>
      </w:r>
      <w:r>
        <w:rPr>
          <w:rFonts w:ascii="Cambria" w:hAnsi="Cambria"/>
        </w:rPr>
        <w:t>.</w:t>
      </w:r>
    </w:p>
    <w:p w:rsidR="000E392B" w:rsidRDefault="000E392B" w:rsidP="000E392B">
      <w:pPr>
        <w:pStyle w:val="Paragraphedeliste"/>
        <w:ind w:left="0"/>
        <w:jc w:val="both"/>
        <w:rPr>
          <w:rFonts w:ascii="Cambria" w:eastAsia="Times New Roman" w:hAnsi="Cambria"/>
          <w:sz w:val="24"/>
          <w:szCs w:val="24"/>
          <w:lang w:eastAsia="es-ES"/>
        </w:rPr>
      </w:pPr>
    </w:p>
    <w:p w:rsidR="000E392B" w:rsidRPr="0075769B" w:rsidRDefault="000E392B" w:rsidP="000E392B">
      <w:pPr>
        <w:pStyle w:val="Paragraphedeliste"/>
        <w:ind w:left="0"/>
        <w:jc w:val="both"/>
        <w:rPr>
          <w:rFonts w:ascii="Cambria" w:hAnsi="Cambria"/>
          <w:sz w:val="24"/>
          <w:szCs w:val="24"/>
        </w:rPr>
      </w:pPr>
      <w:r w:rsidRPr="0075769B">
        <w:rPr>
          <w:rFonts w:ascii="Cambria" w:hAnsi="Cambria"/>
          <w:sz w:val="24"/>
          <w:szCs w:val="24"/>
        </w:rPr>
        <w:t xml:space="preserve">L’Agence de l'environnement et de la maîtrise de l'énergie (ADEME) et l’Agence française de Développement (AFD), </w:t>
      </w:r>
      <w:proofErr w:type="gramStart"/>
      <w:r w:rsidRPr="0075769B">
        <w:rPr>
          <w:rFonts w:ascii="Cambria" w:hAnsi="Cambria"/>
          <w:sz w:val="24"/>
          <w:szCs w:val="24"/>
        </w:rPr>
        <w:t>ont</w:t>
      </w:r>
      <w:proofErr w:type="gramEnd"/>
      <w:r w:rsidRPr="0075769B">
        <w:rPr>
          <w:rFonts w:ascii="Cambria" w:hAnsi="Cambria"/>
          <w:sz w:val="24"/>
          <w:szCs w:val="24"/>
        </w:rPr>
        <w:t xml:space="preserve"> été sollicité</w:t>
      </w:r>
      <w:r>
        <w:rPr>
          <w:rFonts w:ascii="Cambria" w:hAnsi="Cambria"/>
          <w:sz w:val="24"/>
          <w:szCs w:val="24"/>
        </w:rPr>
        <w:t>e</w:t>
      </w:r>
      <w:r w:rsidRPr="0075769B">
        <w:rPr>
          <w:rFonts w:ascii="Cambria" w:hAnsi="Cambria"/>
          <w:sz w:val="24"/>
          <w:szCs w:val="24"/>
        </w:rPr>
        <w:t>s et ont favorablement répondu à la demande de participation au financement de ce type de mission novateur dans le monde de la construction en Polynésie française</w:t>
      </w:r>
      <w:r>
        <w:rPr>
          <w:rFonts w:ascii="Cambria" w:hAnsi="Cambria"/>
          <w:sz w:val="24"/>
          <w:szCs w:val="24"/>
        </w:rPr>
        <w:t xml:space="preserve">. </w:t>
      </w:r>
      <w:r w:rsidRPr="0075769B">
        <w:rPr>
          <w:rFonts w:ascii="Cambria" w:hAnsi="Cambria"/>
          <w:sz w:val="24"/>
          <w:szCs w:val="24"/>
        </w:rPr>
        <w:t xml:space="preserve">Avec l’accord du Haut-commissariat de la République en Polynésie française et la validation de la Direction Générale des Outre-mer (DGOM), l’AFD consent au </w:t>
      </w:r>
      <w:r>
        <w:rPr>
          <w:rFonts w:ascii="Cambria" w:hAnsi="Cambria"/>
          <w:sz w:val="24"/>
          <w:szCs w:val="24"/>
        </w:rPr>
        <w:t>m</w:t>
      </w:r>
      <w:r w:rsidRPr="0075769B">
        <w:rPr>
          <w:rFonts w:ascii="Cambria" w:hAnsi="Cambria"/>
          <w:sz w:val="24"/>
          <w:szCs w:val="24"/>
        </w:rPr>
        <w:t>inistère de l’</w:t>
      </w:r>
      <w:r>
        <w:rPr>
          <w:rFonts w:ascii="Cambria" w:hAnsi="Cambria"/>
          <w:sz w:val="24"/>
          <w:szCs w:val="24"/>
        </w:rPr>
        <w:t>E</w:t>
      </w:r>
      <w:r w:rsidRPr="0075769B">
        <w:rPr>
          <w:rFonts w:ascii="Cambria" w:hAnsi="Cambria"/>
          <w:sz w:val="24"/>
          <w:szCs w:val="24"/>
        </w:rPr>
        <w:t xml:space="preserve">ducation, de la jeunesse et des sports une contribution financière via le Fonds d’AMO équivalent Fonds Vert pour le Pacifique pour cofinancer </w:t>
      </w:r>
      <w:r>
        <w:rPr>
          <w:rFonts w:ascii="Cambria" w:hAnsi="Cambria"/>
          <w:sz w:val="24"/>
          <w:szCs w:val="24"/>
        </w:rPr>
        <w:t xml:space="preserve">une </w:t>
      </w:r>
      <w:r w:rsidRPr="0075769B">
        <w:rPr>
          <w:rFonts w:ascii="Cambria" w:hAnsi="Cambria"/>
          <w:sz w:val="24"/>
          <w:szCs w:val="24"/>
        </w:rPr>
        <w:t>étude</w:t>
      </w:r>
      <w:r>
        <w:rPr>
          <w:rFonts w:ascii="Cambria" w:hAnsi="Cambria"/>
          <w:sz w:val="24"/>
          <w:szCs w:val="24"/>
        </w:rPr>
        <w:t xml:space="preserve"> sur le sujet</w:t>
      </w:r>
      <w:r w:rsidRPr="0075769B">
        <w:rPr>
          <w:rFonts w:ascii="Cambria" w:hAnsi="Cambria"/>
          <w:sz w:val="24"/>
          <w:szCs w:val="24"/>
        </w:rPr>
        <w:t>.</w:t>
      </w:r>
    </w:p>
    <w:p w:rsidR="000E392B" w:rsidRPr="0075769B" w:rsidRDefault="000E392B" w:rsidP="000E392B">
      <w:pPr>
        <w:pStyle w:val="Paragraphedeliste"/>
        <w:ind w:left="0" w:firstLine="708"/>
        <w:jc w:val="both"/>
        <w:rPr>
          <w:rFonts w:ascii="Cambria" w:hAnsi="Cambria"/>
          <w:sz w:val="24"/>
          <w:szCs w:val="24"/>
        </w:rPr>
      </w:pPr>
    </w:p>
    <w:p w:rsidR="000E392B" w:rsidRDefault="000E392B" w:rsidP="007611A0">
      <w:pPr>
        <w:pStyle w:val="Paragraphedeliste"/>
        <w:ind w:left="0"/>
        <w:jc w:val="both"/>
        <w:rPr>
          <w:rFonts w:ascii="Cambria" w:hAnsi="Cambria"/>
          <w:sz w:val="24"/>
          <w:szCs w:val="24"/>
        </w:rPr>
      </w:pPr>
      <w:r>
        <w:rPr>
          <w:rFonts w:ascii="Cambria" w:hAnsi="Cambria"/>
          <w:sz w:val="24"/>
          <w:szCs w:val="24"/>
        </w:rPr>
        <w:lastRenderedPageBreak/>
        <w:t>La</w:t>
      </w:r>
      <w:r w:rsidRPr="0075769B">
        <w:rPr>
          <w:rFonts w:ascii="Cambria" w:hAnsi="Cambria"/>
          <w:sz w:val="24"/>
          <w:szCs w:val="24"/>
        </w:rPr>
        <w:t xml:space="preserve"> convention </w:t>
      </w:r>
      <w:r>
        <w:rPr>
          <w:rFonts w:ascii="Cambria" w:hAnsi="Cambria"/>
          <w:sz w:val="24"/>
          <w:szCs w:val="24"/>
        </w:rPr>
        <w:t>prévue</w:t>
      </w:r>
      <w:r w:rsidRPr="0075769B">
        <w:rPr>
          <w:rFonts w:ascii="Cambria" w:hAnsi="Cambria"/>
          <w:sz w:val="24"/>
          <w:szCs w:val="24"/>
        </w:rPr>
        <w:t xml:space="preserve"> a </w:t>
      </w:r>
      <w:r>
        <w:rPr>
          <w:rFonts w:ascii="Cambria" w:hAnsi="Cambria"/>
          <w:sz w:val="24"/>
          <w:szCs w:val="24"/>
        </w:rPr>
        <w:t xml:space="preserve">ainsi </w:t>
      </w:r>
      <w:r w:rsidRPr="0075769B">
        <w:rPr>
          <w:rFonts w:ascii="Cambria" w:hAnsi="Cambria"/>
          <w:sz w:val="24"/>
          <w:szCs w:val="24"/>
        </w:rPr>
        <w:t xml:space="preserve">pour objectif de définir les modalités de partenariat entre l’AFD et la Polynésie française pour le financement d’une étude sur la qualité environnementale du bâtiment dans le cadre du projet de construction du lycée de Moorea. </w:t>
      </w:r>
      <w:r>
        <w:rPr>
          <w:rFonts w:ascii="Cambria" w:hAnsi="Cambria"/>
          <w:sz w:val="24"/>
          <w:szCs w:val="24"/>
        </w:rPr>
        <w:t>Il</w:t>
      </w:r>
      <w:r w:rsidRPr="0075769B">
        <w:rPr>
          <w:rFonts w:ascii="Cambria" w:hAnsi="Cambria"/>
          <w:sz w:val="24"/>
          <w:szCs w:val="24"/>
        </w:rPr>
        <w:t xml:space="preserve"> est notamment prévu qu</w:t>
      </w:r>
      <w:r>
        <w:rPr>
          <w:rFonts w:ascii="Cambria" w:hAnsi="Cambria"/>
          <w:sz w:val="24"/>
          <w:szCs w:val="24"/>
        </w:rPr>
        <w:t>e l’AFD accompagne</w:t>
      </w:r>
      <w:r w:rsidRPr="0075769B">
        <w:rPr>
          <w:rFonts w:ascii="Cambria" w:hAnsi="Cambria"/>
          <w:sz w:val="24"/>
          <w:szCs w:val="24"/>
        </w:rPr>
        <w:t xml:space="preserve"> le financement de la mission à hauteur de 35% du montant total hors taxes du marché, dans la limite de </w:t>
      </w:r>
      <w:r>
        <w:rPr>
          <w:rFonts w:ascii="Cambria" w:hAnsi="Cambria"/>
          <w:sz w:val="24"/>
          <w:szCs w:val="24"/>
        </w:rPr>
        <w:t xml:space="preserve">8 412 888 </w:t>
      </w:r>
      <w:proofErr w:type="spellStart"/>
      <w:r>
        <w:rPr>
          <w:rFonts w:ascii="Cambria" w:hAnsi="Cambria"/>
          <w:sz w:val="24"/>
          <w:szCs w:val="24"/>
        </w:rPr>
        <w:t>Fcfp</w:t>
      </w:r>
      <w:proofErr w:type="spellEnd"/>
      <w:r>
        <w:rPr>
          <w:rFonts w:ascii="Cambria" w:hAnsi="Cambria"/>
          <w:sz w:val="24"/>
          <w:szCs w:val="24"/>
        </w:rPr>
        <w:t xml:space="preserve"> </w:t>
      </w:r>
      <w:r w:rsidRPr="0075769B">
        <w:rPr>
          <w:rFonts w:ascii="Cambria" w:hAnsi="Cambria"/>
          <w:sz w:val="24"/>
          <w:szCs w:val="24"/>
        </w:rPr>
        <w:t>HT.</w:t>
      </w:r>
      <w:r>
        <w:rPr>
          <w:rFonts w:ascii="Cambria" w:hAnsi="Cambria"/>
          <w:sz w:val="24"/>
          <w:szCs w:val="24"/>
        </w:rPr>
        <w:t xml:space="preserve"> </w:t>
      </w:r>
      <w:r w:rsidRPr="0075769B">
        <w:rPr>
          <w:rFonts w:ascii="Cambria" w:hAnsi="Cambria"/>
          <w:sz w:val="24"/>
          <w:szCs w:val="24"/>
        </w:rPr>
        <w:t>La signature de cette convention conclura la mise en application de cette démarche novatrice, au service de la construction d’un établissement modèle et pilote pour les années à venir.</w:t>
      </w:r>
    </w:p>
    <w:p w:rsidR="007611A0" w:rsidRPr="007611A0" w:rsidRDefault="007611A0" w:rsidP="007611A0">
      <w:pPr>
        <w:pStyle w:val="Paragraphedeliste"/>
        <w:ind w:left="0"/>
        <w:jc w:val="both"/>
        <w:rPr>
          <w:rFonts w:ascii="Cambria" w:hAnsi="Cambria"/>
          <w:sz w:val="24"/>
          <w:szCs w:val="24"/>
        </w:rPr>
      </w:pPr>
    </w:p>
    <w:p w:rsidR="000E392B" w:rsidRPr="00A075D9" w:rsidRDefault="000E392B" w:rsidP="000E392B">
      <w:pPr>
        <w:pStyle w:val="-LettreSuiteORefPJGEDA"/>
        <w:ind w:left="0"/>
        <w:rPr>
          <w:rFonts w:ascii="Cambria" w:hAnsi="Cambria"/>
          <w:szCs w:val="24"/>
        </w:rPr>
      </w:pPr>
    </w:p>
    <w:p w:rsidR="000E392B" w:rsidRPr="001670AB" w:rsidRDefault="000E392B" w:rsidP="000E392B">
      <w:pPr>
        <w:pStyle w:val="-LettreSuiteORefPJGEDA"/>
        <w:ind w:left="0"/>
        <w:rPr>
          <w:rFonts w:ascii="Cambria" w:hAnsi="Cambria"/>
          <w:b/>
          <w:noProof w:val="0"/>
        </w:rPr>
      </w:pPr>
      <w:r w:rsidRPr="001670AB">
        <w:rPr>
          <w:rFonts w:ascii="Cambria" w:hAnsi="Cambria"/>
          <w:b/>
          <w:noProof w:val="0"/>
        </w:rPr>
        <w:t xml:space="preserve">Début des ateliers pilotes d’éducation </w:t>
      </w:r>
      <w:proofErr w:type="gramStart"/>
      <w:r w:rsidRPr="001670AB">
        <w:rPr>
          <w:rFonts w:ascii="Cambria" w:hAnsi="Cambria"/>
          <w:b/>
          <w:noProof w:val="0"/>
        </w:rPr>
        <w:t>à la</w:t>
      </w:r>
      <w:proofErr w:type="gramEnd"/>
      <w:r w:rsidRPr="001670AB">
        <w:rPr>
          <w:rFonts w:ascii="Cambria" w:hAnsi="Cambria"/>
          <w:b/>
          <w:noProof w:val="0"/>
        </w:rPr>
        <w:t xml:space="preserve"> </w:t>
      </w:r>
      <w:proofErr w:type="spellStart"/>
      <w:r w:rsidRPr="001670AB">
        <w:rPr>
          <w:rFonts w:ascii="Cambria" w:hAnsi="Cambria"/>
          <w:b/>
          <w:noProof w:val="0"/>
        </w:rPr>
        <w:t>non violence</w:t>
      </w:r>
      <w:proofErr w:type="spellEnd"/>
      <w:r w:rsidRPr="001670AB">
        <w:rPr>
          <w:rFonts w:ascii="Cambria" w:hAnsi="Cambria"/>
          <w:b/>
          <w:noProof w:val="0"/>
        </w:rPr>
        <w:t xml:space="preserve"> et à la paix</w:t>
      </w:r>
    </w:p>
    <w:p w:rsidR="000E392B" w:rsidRPr="001670AB" w:rsidRDefault="000E392B" w:rsidP="000E392B">
      <w:pPr>
        <w:pStyle w:val="-LettreSuiteORefPJGEDA"/>
        <w:ind w:left="0"/>
        <w:rPr>
          <w:rFonts w:ascii="Cambria" w:hAnsi="Cambria"/>
          <w:noProof w:val="0"/>
        </w:rPr>
      </w:pPr>
    </w:p>
    <w:p w:rsidR="000E392B" w:rsidRPr="001670AB" w:rsidRDefault="000E392B" w:rsidP="000E392B">
      <w:pPr>
        <w:pStyle w:val="-LettreTexteGEDA"/>
        <w:ind w:firstLine="0"/>
        <w:rPr>
          <w:rFonts w:ascii="Cambria" w:hAnsi="Cambria"/>
          <w:noProof w:val="0"/>
        </w:rPr>
      </w:pPr>
      <w:r w:rsidRPr="001670AB">
        <w:rPr>
          <w:rFonts w:ascii="Cambria" w:hAnsi="Cambria"/>
          <w:noProof w:val="0"/>
        </w:rPr>
        <w:t xml:space="preserve">Suite à la présentation du Plan pour la paix que faite l’année dernière, des ateliers pilotes d’éducation </w:t>
      </w:r>
      <w:proofErr w:type="gramStart"/>
      <w:r w:rsidRPr="001670AB">
        <w:rPr>
          <w:rFonts w:ascii="Cambria" w:hAnsi="Cambria"/>
          <w:noProof w:val="0"/>
        </w:rPr>
        <w:t>à la</w:t>
      </w:r>
      <w:proofErr w:type="gramEnd"/>
      <w:r w:rsidRPr="001670AB">
        <w:rPr>
          <w:rFonts w:ascii="Cambria" w:hAnsi="Cambria"/>
          <w:noProof w:val="0"/>
        </w:rPr>
        <w:t xml:space="preserve"> </w:t>
      </w:r>
      <w:proofErr w:type="spellStart"/>
      <w:r w:rsidRPr="001670AB">
        <w:rPr>
          <w:rFonts w:ascii="Cambria" w:hAnsi="Cambria"/>
          <w:noProof w:val="0"/>
        </w:rPr>
        <w:t>non violence</w:t>
      </w:r>
      <w:proofErr w:type="spellEnd"/>
      <w:r w:rsidRPr="001670AB">
        <w:rPr>
          <w:rFonts w:ascii="Cambria" w:hAnsi="Cambria"/>
          <w:noProof w:val="0"/>
        </w:rPr>
        <w:t xml:space="preserve"> et à la paix</w:t>
      </w:r>
      <w:r>
        <w:rPr>
          <w:rFonts w:ascii="Cambria" w:hAnsi="Cambria"/>
          <w:noProof w:val="0"/>
        </w:rPr>
        <w:t xml:space="preserve"> vont être mis en </w:t>
      </w:r>
      <w:proofErr w:type="spellStart"/>
      <w:r>
        <w:rPr>
          <w:rFonts w:ascii="Cambria" w:hAnsi="Cambria"/>
          <w:noProof w:val="0"/>
        </w:rPr>
        <w:t>oeuvre</w:t>
      </w:r>
      <w:proofErr w:type="spellEnd"/>
      <w:r w:rsidRPr="001670AB">
        <w:rPr>
          <w:rFonts w:ascii="Cambria" w:hAnsi="Cambria"/>
          <w:noProof w:val="0"/>
        </w:rPr>
        <w:t xml:space="preserve">. </w:t>
      </w:r>
    </w:p>
    <w:p w:rsidR="000E392B" w:rsidRPr="001670AB" w:rsidRDefault="000E392B" w:rsidP="000E392B">
      <w:pPr>
        <w:pStyle w:val="-LettreTexteGEDA"/>
        <w:ind w:firstLine="0"/>
        <w:rPr>
          <w:rFonts w:ascii="Cambria" w:hAnsi="Cambria" w:cs="Calibri"/>
          <w:szCs w:val="28"/>
        </w:rPr>
      </w:pPr>
      <w:r w:rsidRPr="001670AB">
        <w:rPr>
          <w:rFonts w:ascii="Cambria" w:hAnsi="Cambria" w:cs="Calibri"/>
          <w:szCs w:val="28"/>
        </w:rPr>
        <w:t xml:space="preserve">Ils seront proposés à des publics variés de façon à assurer une mixité sociale concourrant à la cohésion sociale et à la prévention de la marginalisation. Ces outils et ces opportunités de transformation doivent atteindre tous les niveaux de la société pour </w:t>
      </w:r>
      <w:r>
        <w:rPr>
          <w:rFonts w:ascii="Cambria" w:hAnsi="Cambria" w:cs="Calibri"/>
          <w:szCs w:val="28"/>
        </w:rPr>
        <w:t>parvenir à l’</w:t>
      </w:r>
      <w:r w:rsidRPr="001670AB">
        <w:rPr>
          <w:rFonts w:ascii="Cambria" w:hAnsi="Cambria" w:cs="Calibri"/>
          <w:szCs w:val="28"/>
        </w:rPr>
        <w:t>objectif d’une population</w:t>
      </w:r>
      <w:r>
        <w:rPr>
          <w:rFonts w:ascii="Cambria" w:hAnsi="Cambria" w:cs="Calibri"/>
          <w:szCs w:val="28"/>
        </w:rPr>
        <w:t xml:space="preserve"> sereine, bien </w:t>
      </w:r>
      <w:r w:rsidRPr="001670AB">
        <w:rPr>
          <w:rFonts w:ascii="Cambria" w:hAnsi="Cambria" w:cs="Calibri"/>
          <w:szCs w:val="28"/>
        </w:rPr>
        <w:t>physiquement et psychiquement</w:t>
      </w:r>
      <w:r>
        <w:rPr>
          <w:rFonts w:ascii="Cambria" w:hAnsi="Cambria" w:cs="Calibri"/>
          <w:szCs w:val="28"/>
        </w:rPr>
        <w:t xml:space="preserve">. Ainsi, </w:t>
      </w:r>
      <w:r w:rsidRPr="001670AB">
        <w:rPr>
          <w:rFonts w:ascii="Cambria" w:hAnsi="Cambria" w:cs="Calibri"/>
          <w:szCs w:val="28"/>
        </w:rPr>
        <w:t>chaque polynésienne et polynésien pourra contribuer de façon responsable à la vie d’une société solidement ancrée dans son identité et ses valeurs.</w:t>
      </w:r>
    </w:p>
    <w:p w:rsidR="000E392B" w:rsidRPr="001670AB" w:rsidRDefault="000E392B" w:rsidP="000E392B">
      <w:pPr>
        <w:pStyle w:val="-LettreTexteGEDA"/>
        <w:ind w:firstLine="0"/>
        <w:rPr>
          <w:rFonts w:ascii="Cambria" w:hAnsi="Cambria" w:cs="Calibri"/>
          <w:szCs w:val="28"/>
        </w:rPr>
      </w:pPr>
      <w:r w:rsidRPr="001670AB">
        <w:rPr>
          <w:rFonts w:ascii="Cambria" w:hAnsi="Cambria" w:cs="Calibri"/>
          <w:szCs w:val="28"/>
        </w:rPr>
        <w:t xml:space="preserve">Sur les trois premiers mois, seulement, de l’année 2020, 690 personnes ont été victimes de violences non crapuleuses, 497 dans le cadre familial. </w:t>
      </w:r>
      <w:r>
        <w:rPr>
          <w:rFonts w:ascii="Cambria" w:hAnsi="Cambria" w:cs="Calibri"/>
          <w:szCs w:val="28"/>
        </w:rPr>
        <w:t>Des</w:t>
      </w:r>
      <w:r w:rsidRPr="001670AB">
        <w:rPr>
          <w:rFonts w:ascii="Cambria" w:hAnsi="Cambria"/>
        </w:rPr>
        <w:t xml:space="preserve"> situations de colère, de jalousie, d’incompréhension, d’intolérance sur fond d’excès d’alcool et de trafic de stupéfiants</w:t>
      </w:r>
      <w:r>
        <w:rPr>
          <w:rFonts w:ascii="Cambria" w:hAnsi="Cambria"/>
        </w:rPr>
        <w:t xml:space="preserve"> sont régulièrement observées</w:t>
      </w:r>
      <w:r w:rsidRPr="001670AB">
        <w:rPr>
          <w:rFonts w:ascii="Cambria" w:hAnsi="Cambria"/>
        </w:rPr>
        <w:t>.</w:t>
      </w:r>
      <w:r w:rsidRPr="001670AB">
        <w:rPr>
          <w:rFonts w:ascii="Cambria" w:hAnsi="Cambria" w:cs="Calibri"/>
          <w:szCs w:val="28"/>
        </w:rPr>
        <w:t xml:space="preserve"> Il y a </w:t>
      </w:r>
      <w:r>
        <w:rPr>
          <w:rFonts w:ascii="Cambria" w:hAnsi="Cambria" w:cs="Calibri"/>
          <w:szCs w:val="28"/>
        </w:rPr>
        <w:t xml:space="preserve">donc </w:t>
      </w:r>
      <w:r w:rsidRPr="001670AB">
        <w:rPr>
          <w:rFonts w:ascii="Cambria" w:hAnsi="Cambria" w:cs="Calibri"/>
          <w:szCs w:val="28"/>
        </w:rPr>
        <w:t xml:space="preserve">matière à travailler « l’humain » pour agir à la source de ces violences. Cela a mené </w:t>
      </w:r>
      <w:r>
        <w:rPr>
          <w:rFonts w:ascii="Cambria" w:hAnsi="Cambria" w:cs="Calibri"/>
          <w:szCs w:val="28"/>
        </w:rPr>
        <w:t xml:space="preserve">le ministère de la Famille </w:t>
      </w:r>
      <w:r w:rsidRPr="001670AB">
        <w:rPr>
          <w:rFonts w:ascii="Cambria" w:hAnsi="Cambria" w:cs="Calibri"/>
          <w:szCs w:val="28"/>
        </w:rPr>
        <w:t xml:space="preserve">à concevoir une stratégie de prévention. La paix dans </w:t>
      </w:r>
      <w:r>
        <w:rPr>
          <w:rFonts w:ascii="Cambria" w:hAnsi="Cambria" w:cs="Calibri"/>
          <w:szCs w:val="28"/>
        </w:rPr>
        <w:t>les</w:t>
      </w:r>
      <w:r w:rsidRPr="001670AB">
        <w:rPr>
          <w:rFonts w:ascii="Cambria" w:hAnsi="Cambria" w:cs="Calibri"/>
          <w:szCs w:val="28"/>
        </w:rPr>
        <w:t xml:space="preserve"> relations est précieuse et elle se construit dès le plus jeune âge, dans la mutualité et la confiance. </w:t>
      </w:r>
      <w:r>
        <w:rPr>
          <w:rFonts w:ascii="Cambria" w:hAnsi="Cambria" w:cs="Calibri"/>
          <w:szCs w:val="28"/>
        </w:rPr>
        <w:t>Le ministère de la Famille entend ainsi</w:t>
      </w:r>
      <w:r w:rsidRPr="001670AB">
        <w:rPr>
          <w:rFonts w:ascii="Cambria" w:hAnsi="Cambria" w:cs="Calibri"/>
          <w:szCs w:val="28"/>
        </w:rPr>
        <w:t xml:space="preserve"> contribuer à redonner des repères aux femmes, aux hommes et aux enfants de notre Pays.</w:t>
      </w:r>
    </w:p>
    <w:p w:rsidR="000E392B" w:rsidRPr="001670AB" w:rsidRDefault="000E392B" w:rsidP="000E392B">
      <w:pPr>
        <w:spacing w:before="240"/>
        <w:jc w:val="both"/>
        <w:rPr>
          <w:rFonts w:ascii="Cambria" w:hAnsi="Cambria" w:cs="Calibri"/>
          <w:noProof/>
          <w:szCs w:val="28"/>
        </w:rPr>
      </w:pPr>
      <w:r w:rsidRPr="001670AB">
        <w:rPr>
          <w:rFonts w:ascii="Cambria" w:hAnsi="Cambria" w:cs="Calibri"/>
          <w:noProof/>
          <w:szCs w:val="28"/>
        </w:rPr>
        <w:t xml:space="preserve">Depuis des décennies, des outils sont développés à travers le monde pour accompagner les personnes vers des relations pacifiées et constructives. </w:t>
      </w:r>
      <w:r>
        <w:rPr>
          <w:rFonts w:ascii="Cambria" w:hAnsi="Cambria" w:cs="Calibri"/>
          <w:noProof/>
          <w:szCs w:val="28"/>
        </w:rPr>
        <w:t>Il s’agit</w:t>
      </w:r>
      <w:r w:rsidRPr="001670AB">
        <w:rPr>
          <w:rFonts w:ascii="Cambria" w:hAnsi="Cambria" w:cs="Calibri"/>
          <w:noProof/>
          <w:szCs w:val="28"/>
        </w:rPr>
        <w:t xml:space="preserve"> de permettre à chacune et chacun d’y avoir accès et d’être mieux outillé pour prendre sa place et apporter sa contribution particulière à la vie de la société.</w:t>
      </w:r>
    </w:p>
    <w:p w:rsidR="000E392B" w:rsidRPr="008A4324" w:rsidRDefault="000E392B" w:rsidP="000E392B">
      <w:pPr>
        <w:pStyle w:val="-LettreTexteGEDA"/>
        <w:ind w:firstLine="0"/>
        <w:rPr>
          <w:rFonts w:ascii="Cambria" w:hAnsi="Cambria"/>
          <w:noProof w:val="0"/>
        </w:rPr>
      </w:pPr>
      <w:r w:rsidRPr="001670AB">
        <w:rPr>
          <w:rFonts w:ascii="Cambria" w:hAnsi="Cambria"/>
          <w:noProof w:val="0"/>
        </w:rPr>
        <w:t xml:space="preserve">Ces ateliers d’éducation à la paix débuteront le 30 septembre et se dérouleront jusqu’au mois de décembre sur </w:t>
      </w:r>
      <w:r>
        <w:rPr>
          <w:rFonts w:ascii="Cambria" w:hAnsi="Cambria"/>
          <w:noProof w:val="0"/>
        </w:rPr>
        <w:t xml:space="preserve">un total </w:t>
      </w:r>
      <w:r w:rsidRPr="001670AB">
        <w:rPr>
          <w:rFonts w:ascii="Cambria" w:hAnsi="Cambria"/>
          <w:noProof w:val="0"/>
        </w:rPr>
        <w:t xml:space="preserve">42h. Ils seront animés par une entreprise locale de médiation et bénéficieront à deux groupes de quinze personnes. Une rencontre préalable a été planifiée entre la DSFE, le </w:t>
      </w:r>
      <w:r>
        <w:rPr>
          <w:rFonts w:ascii="Cambria" w:hAnsi="Cambria"/>
          <w:noProof w:val="0"/>
        </w:rPr>
        <w:t>m</w:t>
      </w:r>
      <w:r w:rsidRPr="001670AB">
        <w:rPr>
          <w:rFonts w:ascii="Cambria" w:hAnsi="Cambria"/>
          <w:noProof w:val="0"/>
        </w:rPr>
        <w:t xml:space="preserve">inistère </w:t>
      </w:r>
      <w:r>
        <w:rPr>
          <w:rFonts w:ascii="Cambria" w:hAnsi="Cambria"/>
          <w:noProof w:val="0"/>
        </w:rPr>
        <w:t xml:space="preserve">de Famille </w:t>
      </w:r>
      <w:r w:rsidRPr="001670AB">
        <w:rPr>
          <w:rFonts w:ascii="Cambria" w:hAnsi="Cambria"/>
          <w:noProof w:val="0"/>
        </w:rPr>
        <w:t>et le centre de médiation afin de préciser les critères d</w:t>
      </w:r>
      <w:r>
        <w:rPr>
          <w:rFonts w:ascii="Cambria" w:hAnsi="Cambria"/>
          <w:noProof w:val="0"/>
        </w:rPr>
        <w:t>’</w:t>
      </w:r>
      <w:r w:rsidRPr="001670AB">
        <w:rPr>
          <w:rFonts w:ascii="Cambria" w:hAnsi="Cambria"/>
          <w:noProof w:val="0"/>
        </w:rPr>
        <w:t xml:space="preserve">évaluation qui seront utilisés pour mesurer l’atteinte </w:t>
      </w:r>
      <w:r>
        <w:rPr>
          <w:rFonts w:ascii="Cambria" w:hAnsi="Cambria"/>
          <w:noProof w:val="0"/>
        </w:rPr>
        <w:t xml:space="preserve">des objectifs. </w:t>
      </w:r>
      <w:r w:rsidRPr="001670AB">
        <w:rPr>
          <w:rFonts w:ascii="Cambria" w:hAnsi="Cambria"/>
          <w:noProof w:val="0"/>
        </w:rPr>
        <w:t xml:space="preserve">Il s’agit d’une première étape de sensibilisation dont les résultats attendus sont une meilleure gestion des émotions et des conflits. </w:t>
      </w:r>
    </w:p>
    <w:p w:rsidR="000E392B" w:rsidRDefault="000E392B" w:rsidP="000E392B">
      <w:pPr>
        <w:pStyle w:val="-LettreSuiteORefPJGEDA"/>
        <w:ind w:left="0"/>
        <w:rPr>
          <w:rFonts w:asciiTheme="majorHAnsi" w:hAnsiTheme="majorHAnsi"/>
        </w:rPr>
      </w:pPr>
    </w:p>
    <w:p w:rsidR="000E392B" w:rsidRDefault="000E392B" w:rsidP="003C5FFF">
      <w:pPr>
        <w:pStyle w:val="-LettreSuiteORefPJGEDA"/>
        <w:ind w:left="0"/>
        <w:rPr>
          <w:rFonts w:ascii="Cambria" w:hAnsi="Cambria"/>
          <w:b/>
          <w:noProof w:val="0"/>
          <w:szCs w:val="24"/>
          <w:lang w:eastAsia="es-ES"/>
        </w:rPr>
      </w:pPr>
    </w:p>
    <w:p w:rsidR="00FB5856" w:rsidRDefault="00FB5856" w:rsidP="000E392B">
      <w:pPr>
        <w:pStyle w:val="-LettreTexteGEDA"/>
        <w:ind w:firstLine="0"/>
        <w:rPr>
          <w:rFonts w:asciiTheme="majorHAnsi" w:hAnsiTheme="majorHAnsi"/>
          <w:noProof w:val="0"/>
          <w:szCs w:val="24"/>
        </w:rPr>
      </w:pPr>
    </w:p>
    <w:p w:rsidR="008059E4" w:rsidRPr="00DA69B1" w:rsidRDefault="00264EF2" w:rsidP="00CD5D51">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sectPr w:rsidR="008059E4" w:rsidRPr="00DA69B1" w:rsidSect="00922ABB">
      <w:footerReference w:type="even" r:id="rId10"/>
      <w:footerReference w:type="default" r:id="rId1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A5C" w:rsidRDefault="00644A5C">
      <w:r>
        <w:separator/>
      </w:r>
    </w:p>
  </w:endnote>
  <w:endnote w:type="continuationSeparator" w:id="0">
    <w:p w:rsidR="00644A5C" w:rsidRDefault="0064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Gentium Basic"/>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A2" w:rsidRDefault="00642DA2"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42DA2" w:rsidRDefault="00644A5C" w:rsidP="00922ABB">
    <w:pPr>
      <w:pStyle w:val="Pieddepage"/>
      <w:ind w:right="360"/>
    </w:pPr>
    <w:sdt>
      <w:sdtPr>
        <w:id w:val="969400743"/>
        <w:temporary/>
        <w:showingPlcHdr/>
      </w:sdtPr>
      <w:sdtEndPr/>
      <w:sdtContent>
        <w:r w:rsidR="00642DA2">
          <w:t>[Tapez le texte]</w:t>
        </w:r>
      </w:sdtContent>
    </w:sdt>
    <w:r w:rsidR="00642DA2">
      <w:ptab w:relativeTo="margin" w:alignment="center" w:leader="none"/>
    </w:r>
    <w:sdt>
      <w:sdtPr>
        <w:id w:val="969400748"/>
        <w:temporary/>
        <w:showingPlcHdr/>
      </w:sdtPr>
      <w:sdtEndPr/>
      <w:sdtContent>
        <w:r w:rsidR="00642DA2">
          <w:t>[Tapez le texte]</w:t>
        </w:r>
      </w:sdtContent>
    </w:sdt>
    <w:r w:rsidR="00642DA2">
      <w:ptab w:relativeTo="margin" w:alignment="right" w:leader="none"/>
    </w:r>
    <w:sdt>
      <w:sdtPr>
        <w:id w:val="969400753"/>
        <w:temporary/>
        <w:showingPlcHdr/>
      </w:sdtPr>
      <w:sdtEndPr/>
      <w:sdtContent>
        <w:r w:rsidR="00642DA2">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A2" w:rsidRPr="00BA209E" w:rsidRDefault="00642DA2" w:rsidP="00922ABB">
    <w:pPr>
      <w:pStyle w:val="Pieddepage"/>
      <w:jc w:val="center"/>
      <w:rPr>
        <w:i/>
        <w:sz w:val="20"/>
        <w:szCs w:val="20"/>
      </w:rPr>
    </w:pPr>
    <w:r w:rsidRPr="00BA209E">
      <w:rPr>
        <w:i/>
        <w:sz w:val="20"/>
        <w:szCs w:val="20"/>
      </w:rPr>
      <w:t>Présidence de la Polynésie Française</w:t>
    </w:r>
  </w:p>
  <w:p w:rsidR="00642DA2" w:rsidRPr="00BA209E" w:rsidRDefault="00642DA2" w:rsidP="00922ABB">
    <w:pPr>
      <w:pStyle w:val="Pieddepage"/>
      <w:jc w:val="center"/>
      <w:rPr>
        <w:i/>
        <w:sz w:val="20"/>
        <w:szCs w:val="20"/>
      </w:rPr>
    </w:pPr>
    <w:r w:rsidRPr="00BA209E">
      <w:rPr>
        <w:i/>
        <w:sz w:val="20"/>
        <w:szCs w:val="20"/>
      </w:rPr>
      <w:t xml:space="preserve">Service </w:t>
    </w:r>
    <w:r>
      <w:rPr>
        <w:i/>
        <w:sz w:val="20"/>
        <w:szCs w:val="20"/>
      </w:rPr>
      <w:t>de la communication</w:t>
    </w:r>
  </w:p>
  <w:p w:rsidR="00642DA2" w:rsidRPr="00BA209E" w:rsidRDefault="00644A5C" w:rsidP="00922ABB">
    <w:pPr>
      <w:pStyle w:val="Pieddepage"/>
      <w:jc w:val="center"/>
      <w:rPr>
        <w:sz w:val="20"/>
        <w:szCs w:val="20"/>
      </w:rPr>
    </w:pPr>
    <w:hyperlink r:id="rId1" w:history="1">
      <w:r w:rsidR="00642DA2" w:rsidRPr="00E264FC">
        <w:rPr>
          <w:rStyle w:val="Lienhypertexte"/>
          <w:sz w:val="20"/>
        </w:rPr>
        <w:t>communication@presidence.pf</w:t>
      </w:r>
    </w:hyperlink>
    <w:r w:rsidR="00642DA2" w:rsidRPr="00BA209E">
      <w:rPr>
        <w:sz w:val="20"/>
        <w:szCs w:val="20"/>
      </w:rPr>
      <w:t xml:space="preserve"> – </w:t>
    </w:r>
    <w:r w:rsidR="00642DA2">
      <w:rPr>
        <w:sz w:val="20"/>
        <w:szCs w:val="20"/>
      </w:rPr>
      <w:t xml:space="preserve">40 </w:t>
    </w:r>
    <w:r w:rsidR="00642DA2" w:rsidRPr="00BA209E">
      <w:rPr>
        <w:sz w:val="20"/>
        <w:szCs w:val="20"/>
      </w:rPr>
      <w:t>47 20 00</w:t>
    </w:r>
  </w:p>
  <w:p w:rsidR="00642DA2" w:rsidRDefault="00642D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A5C" w:rsidRDefault="00644A5C">
      <w:r>
        <w:separator/>
      </w:r>
    </w:p>
  </w:footnote>
  <w:footnote w:type="continuationSeparator" w:id="0">
    <w:p w:rsidR="00644A5C" w:rsidRDefault="00644A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909AA"/>
    <w:multiLevelType w:val="hybridMultilevel"/>
    <w:tmpl w:val="CE040A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C15ECF"/>
    <w:multiLevelType w:val="singleLevel"/>
    <w:tmpl w:val="83CCB92C"/>
    <w:lvl w:ilvl="0">
      <w:start w:val="1"/>
      <w:numFmt w:val="none"/>
      <w:pStyle w:val="Titre4"/>
      <w:lvlText w:val="Réf. : "/>
      <w:legacy w:legacy="1" w:legacySpace="0" w:legacyIndent="851"/>
      <w:lvlJc w:val="left"/>
      <w:pPr>
        <w:ind w:left="851" w:hanging="851"/>
      </w:pPr>
      <w:rPr>
        <w:b/>
        <w:i w:val="0"/>
        <w:sz w:val="24"/>
        <w:u w:val="single"/>
      </w:rPr>
    </w:lvl>
  </w:abstractNum>
  <w:abstractNum w:abstractNumId="2">
    <w:nsid w:val="21E472A9"/>
    <w:multiLevelType w:val="hybridMultilevel"/>
    <w:tmpl w:val="3DE0258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nsid w:val="2AD2756B"/>
    <w:multiLevelType w:val="hybridMultilevel"/>
    <w:tmpl w:val="803E2B0C"/>
    <w:lvl w:ilvl="0" w:tplc="06B0D4CE">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nsid w:val="2F033B37"/>
    <w:multiLevelType w:val="hybridMultilevel"/>
    <w:tmpl w:val="C3763D74"/>
    <w:styleLink w:val="Style9import"/>
    <w:lvl w:ilvl="0" w:tplc="D48EF734">
      <w:start w:val="1"/>
      <w:numFmt w:val="bullet"/>
      <w:lvlText w:val="-"/>
      <w:lvlJc w:val="left"/>
      <w:pPr>
        <w:tabs>
          <w:tab w:val="num" w:pos="1778"/>
        </w:tabs>
        <w:ind w:left="10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58A468">
      <w:start w:val="1"/>
      <w:numFmt w:val="bullet"/>
      <w:lvlText w:val="o"/>
      <w:lvlJc w:val="left"/>
      <w:pPr>
        <w:tabs>
          <w:tab w:val="num" w:pos="2498"/>
        </w:tabs>
        <w:ind w:left="17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28DBB0">
      <w:start w:val="1"/>
      <w:numFmt w:val="bullet"/>
      <w:lvlText w:val="▪"/>
      <w:lvlJc w:val="left"/>
      <w:pPr>
        <w:tabs>
          <w:tab w:val="num" w:pos="3218"/>
        </w:tabs>
        <w:ind w:left="25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146B6A">
      <w:start w:val="1"/>
      <w:numFmt w:val="bullet"/>
      <w:lvlText w:val="•"/>
      <w:lvlJc w:val="left"/>
      <w:pPr>
        <w:tabs>
          <w:tab w:val="num" w:pos="3938"/>
        </w:tabs>
        <w:ind w:left="32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3C131E">
      <w:start w:val="1"/>
      <w:numFmt w:val="bullet"/>
      <w:lvlText w:val="o"/>
      <w:lvlJc w:val="left"/>
      <w:pPr>
        <w:tabs>
          <w:tab w:val="num" w:pos="4658"/>
        </w:tabs>
        <w:ind w:left="394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106CCE">
      <w:start w:val="1"/>
      <w:numFmt w:val="bullet"/>
      <w:lvlText w:val="▪"/>
      <w:lvlJc w:val="left"/>
      <w:pPr>
        <w:tabs>
          <w:tab w:val="num" w:pos="5378"/>
        </w:tabs>
        <w:ind w:left="46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E00A46">
      <w:start w:val="1"/>
      <w:numFmt w:val="bullet"/>
      <w:lvlText w:val="•"/>
      <w:lvlJc w:val="left"/>
      <w:pPr>
        <w:tabs>
          <w:tab w:val="num" w:pos="6098"/>
        </w:tabs>
        <w:ind w:left="53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4A8152">
      <w:start w:val="1"/>
      <w:numFmt w:val="bullet"/>
      <w:lvlText w:val="o"/>
      <w:lvlJc w:val="left"/>
      <w:pPr>
        <w:tabs>
          <w:tab w:val="num" w:pos="6818"/>
        </w:tabs>
        <w:ind w:left="61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84B7DE">
      <w:start w:val="1"/>
      <w:numFmt w:val="bullet"/>
      <w:lvlText w:val="▪"/>
      <w:lvlJc w:val="left"/>
      <w:pPr>
        <w:tabs>
          <w:tab w:val="num" w:pos="7538"/>
        </w:tabs>
        <w:ind w:left="68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30903B23"/>
    <w:multiLevelType w:val="hybridMultilevel"/>
    <w:tmpl w:val="06346F34"/>
    <w:lvl w:ilvl="0" w:tplc="0C160238">
      <w:numFmt w:val="bullet"/>
      <w:lvlText w:val="-"/>
      <w:lvlJc w:val="left"/>
      <w:pPr>
        <w:tabs>
          <w:tab w:val="num" w:pos="1211"/>
        </w:tabs>
        <w:ind w:left="1211" w:hanging="360"/>
      </w:pPr>
      <w:rPr>
        <w:rFonts w:ascii="Times New Roman" w:eastAsia="Times New Roman" w:hAnsi="Times New Roman" w:cs="Times New Roman" w:hint="default"/>
      </w:rPr>
    </w:lvl>
    <w:lvl w:ilvl="1" w:tplc="040C0003">
      <w:start w:val="1"/>
      <w:numFmt w:val="bullet"/>
      <w:lvlText w:val="o"/>
      <w:lvlJc w:val="left"/>
      <w:pPr>
        <w:tabs>
          <w:tab w:val="num" w:pos="1931"/>
        </w:tabs>
        <w:ind w:left="1931" w:hanging="360"/>
      </w:pPr>
      <w:rPr>
        <w:rFonts w:ascii="Courier New" w:hAnsi="Courier New" w:cs="Courier New" w:hint="default"/>
      </w:rPr>
    </w:lvl>
    <w:lvl w:ilvl="2" w:tplc="040C0005">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6">
    <w:nsid w:val="3C8E5A12"/>
    <w:multiLevelType w:val="hybridMultilevel"/>
    <w:tmpl w:val="D88AE964"/>
    <w:lvl w:ilvl="0" w:tplc="C9DA2946">
      <w:start w:val="16"/>
      <w:numFmt w:val="bullet"/>
      <w:lvlText w:val="-"/>
      <w:lvlJc w:val="left"/>
      <w:pPr>
        <w:ind w:left="501" w:hanging="360"/>
      </w:pPr>
      <w:rPr>
        <w:rFonts w:ascii="Times New Roman" w:eastAsia="Times New Roman" w:hAnsi="Times New Roman" w:cs="Times New Roman"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7">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8">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9">
    <w:nsid w:val="4A666337"/>
    <w:multiLevelType w:val="hybridMultilevel"/>
    <w:tmpl w:val="CB447612"/>
    <w:lvl w:ilvl="0" w:tplc="15DCE854">
      <w:start w:val="1"/>
      <w:numFmt w:val="none"/>
      <w:pStyle w:val="-LettreAffairesuivieGEDA"/>
      <w:lvlText w:val="%1Affaire suivie par :"/>
      <w:lvlJc w:val="left"/>
      <w:pPr>
        <w:tabs>
          <w:tab w:val="num" w:pos="2880"/>
        </w:tabs>
        <w:ind w:left="1080" w:hanging="360"/>
      </w:pPr>
      <w:rPr>
        <w:rFonts w:hint="default"/>
        <w:b w:val="0"/>
        <w:i/>
        <w:sz w:val="18"/>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5FD10FCF"/>
    <w:multiLevelType w:val="hybridMultilevel"/>
    <w:tmpl w:val="2FA4FBFC"/>
    <w:lvl w:ilvl="0" w:tplc="040C0001">
      <w:start w:val="1"/>
      <w:numFmt w:val="bullet"/>
      <w:lvlText w:val=""/>
      <w:lvlJc w:val="left"/>
      <w:pPr>
        <w:ind w:left="720" w:hanging="360"/>
      </w:pPr>
      <w:rPr>
        <w:rFonts w:ascii="Symbol" w:hAnsi="Symbol" w:hint="default"/>
      </w:rPr>
    </w:lvl>
    <w:lvl w:ilvl="1" w:tplc="8BA244AC">
      <w:numFmt w:val="bullet"/>
      <w:lvlText w:val="•"/>
      <w:lvlJc w:val="left"/>
      <w:pPr>
        <w:ind w:left="1785" w:hanging="705"/>
      </w:pPr>
      <w:rPr>
        <w:rFonts w:ascii="Calibri" w:eastAsia="Calibri"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12">
    <w:nsid w:val="720E636C"/>
    <w:multiLevelType w:val="hybridMultilevel"/>
    <w:tmpl w:val="B39025FC"/>
    <w:lvl w:ilvl="0" w:tplc="14A8DC2A">
      <w:numFmt w:val="bullet"/>
      <w:lvlText w:val="-"/>
      <w:lvlJc w:val="left"/>
      <w:pPr>
        <w:ind w:left="720" w:hanging="360"/>
      </w:pPr>
      <w:rPr>
        <w:rFonts w:ascii="Calibri" w:eastAsia="Calibri" w:hAnsi="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3">
    <w:nsid w:val="73205825"/>
    <w:multiLevelType w:val="singleLevel"/>
    <w:tmpl w:val="C20E3398"/>
    <w:lvl w:ilvl="0">
      <w:start w:val="1"/>
      <w:numFmt w:val="none"/>
      <w:pStyle w:val="-ActeAttenduConsidrantGEDA"/>
      <w:lvlText w:val="Considérant"/>
      <w:lvlJc w:val="left"/>
      <w:pPr>
        <w:tabs>
          <w:tab w:val="num" w:pos="1080"/>
        </w:tabs>
        <w:ind w:left="340" w:hanging="340"/>
      </w:pPr>
      <w:rPr>
        <w:rFonts w:hint="default"/>
        <w:sz w:val="20"/>
      </w:rPr>
    </w:lvl>
  </w:abstractNum>
  <w:abstractNum w:abstractNumId="14">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7"/>
  </w:num>
  <w:num w:numId="2">
    <w:abstractNumId w:val="8"/>
  </w:num>
  <w:num w:numId="3">
    <w:abstractNumId w:val="14"/>
  </w:num>
  <w:num w:numId="4">
    <w:abstractNumId w:val="11"/>
  </w:num>
  <w:num w:numId="5">
    <w:abstractNumId w:val="13"/>
  </w:num>
  <w:num w:numId="6">
    <w:abstractNumId w:val="1"/>
  </w:num>
  <w:num w:numId="7">
    <w:abstractNumId w:val="4"/>
  </w:num>
  <w:num w:numId="8">
    <w:abstractNumId w:val="9"/>
  </w:num>
  <w:num w:numId="9">
    <w:abstractNumId w:val="3"/>
  </w:num>
  <w:num w:numId="10">
    <w:abstractNumId w:val="2"/>
  </w:num>
  <w:num w:numId="11">
    <w:abstractNumId w:val="6"/>
  </w:num>
  <w:num w:numId="12">
    <w:abstractNumId w:val="0"/>
  </w:num>
  <w:num w:numId="13">
    <w:abstractNumId w:val="5"/>
  </w:num>
  <w:num w:numId="14">
    <w:abstractNumId w:val="10"/>
  </w:num>
  <w:num w:numId="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1FE8"/>
    <w:rsid w:val="00002B31"/>
    <w:rsid w:val="00011CE8"/>
    <w:rsid w:val="00015FF2"/>
    <w:rsid w:val="00021602"/>
    <w:rsid w:val="000224F9"/>
    <w:rsid w:val="00027CD3"/>
    <w:rsid w:val="0003093E"/>
    <w:rsid w:val="00033658"/>
    <w:rsid w:val="00040642"/>
    <w:rsid w:val="000442CB"/>
    <w:rsid w:val="000448E5"/>
    <w:rsid w:val="0004526C"/>
    <w:rsid w:val="00045E81"/>
    <w:rsid w:val="00047992"/>
    <w:rsid w:val="000508C8"/>
    <w:rsid w:val="000561CA"/>
    <w:rsid w:val="00063EA4"/>
    <w:rsid w:val="00064A61"/>
    <w:rsid w:val="00066013"/>
    <w:rsid w:val="000678D5"/>
    <w:rsid w:val="000728E0"/>
    <w:rsid w:val="0007390E"/>
    <w:rsid w:val="0008409F"/>
    <w:rsid w:val="00086538"/>
    <w:rsid w:val="0008783B"/>
    <w:rsid w:val="00087CFE"/>
    <w:rsid w:val="0009440F"/>
    <w:rsid w:val="00094FC4"/>
    <w:rsid w:val="000A0CBC"/>
    <w:rsid w:val="000A7995"/>
    <w:rsid w:val="000B0B49"/>
    <w:rsid w:val="000B150B"/>
    <w:rsid w:val="000B4563"/>
    <w:rsid w:val="000B77CD"/>
    <w:rsid w:val="000C0F06"/>
    <w:rsid w:val="000C103D"/>
    <w:rsid w:val="000C3FED"/>
    <w:rsid w:val="000C44EB"/>
    <w:rsid w:val="000C55DA"/>
    <w:rsid w:val="000C5D90"/>
    <w:rsid w:val="000D41CD"/>
    <w:rsid w:val="000D5AC8"/>
    <w:rsid w:val="000D5C6D"/>
    <w:rsid w:val="000D5EAC"/>
    <w:rsid w:val="000D60AF"/>
    <w:rsid w:val="000E392B"/>
    <w:rsid w:val="000E790C"/>
    <w:rsid w:val="000F1E19"/>
    <w:rsid w:val="000F7373"/>
    <w:rsid w:val="001053EF"/>
    <w:rsid w:val="00112BB8"/>
    <w:rsid w:val="00114615"/>
    <w:rsid w:val="00121991"/>
    <w:rsid w:val="00121B8F"/>
    <w:rsid w:val="0012265F"/>
    <w:rsid w:val="00124A38"/>
    <w:rsid w:val="001260E1"/>
    <w:rsid w:val="001308E2"/>
    <w:rsid w:val="00131CED"/>
    <w:rsid w:val="00131F0F"/>
    <w:rsid w:val="00132659"/>
    <w:rsid w:val="00141919"/>
    <w:rsid w:val="001510DE"/>
    <w:rsid w:val="00164559"/>
    <w:rsid w:val="0016503A"/>
    <w:rsid w:val="00165D74"/>
    <w:rsid w:val="001702D3"/>
    <w:rsid w:val="00172F9E"/>
    <w:rsid w:val="001775EE"/>
    <w:rsid w:val="0018145E"/>
    <w:rsid w:val="00186F29"/>
    <w:rsid w:val="0019566B"/>
    <w:rsid w:val="001A2D2F"/>
    <w:rsid w:val="001A2EBB"/>
    <w:rsid w:val="001A5551"/>
    <w:rsid w:val="001A5B63"/>
    <w:rsid w:val="001A731D"/>
    <w:rsid w:val="001B1A33"/>
    <w:rsid w:val="001B28FD"/>
    <w:rsid w:val="001C2250"/>
    <w:rsid w:val="001C36AB"/>
    <w:rsid w:val="001C4DE4"/>
    <w:rsid w:val="001C5819"/>
    <w:rsid w:val="001C6C5E"/>
    <w:rsid w:val="001C6CF3"/>
    <w:rsid w:val="001C74FC"/>
    <w:rsid w:val="001D25B7"/>
    <w:rsid w:val="001D6BE1"/>
    <w:rsid w:val="001E0F84"/>
    <w:rsid w:val="001E128A"/>
    <w:rsid w:val="001E15A7"/>
    <w:rsid w:val="001E20C7"/>
    <w:rsid w:val="001E2C77"/>
    <w:rsid w:val="001E3419"/>
    <w:rsid w:val="001E3E58"/>
    <w:rsid w:val="001E4B80"/>
    <w:rsid w:val="001E547E"/>
    <w:rsid w:val="001E5D1D"/>
    <w:rsid w:val="001E5D7F"/>
    <w:rsid w:val="001E69FF"/>
    <w:rsid w:val="001F02DD"/>
    <w:rsid w:val="001F2760"/>
    <w:rsid w:val="001F6D55"/>
    <w:rsid w:val="0020266C"/>
    <w:rsid w:val="002045B4"/>
    <w:rsid w:val="00216AFA"/>
    <w:rsid w:val="002206D4"/>
    <w:rsid w:val="0022221E"/>
    <w:rsid w:val="002345BD"/>
    <w:rsid w:val="00235683"/>
    <w:rsid w:val="002359E5"/>
    <w:rsid w:val="00243141"/>
    <w:rsid w:val="00247536"/>
    <w:rsid w:val="002512C5"/>
    <w:rsid w:val="00261E72"/>
    <w:rsid w:val="002648E4"/>
    <w:rsid w:val="00264EF2"/>
    <w:rsid w:val="002678FB"/>
    <w:rsid w:val="00270AE2"/>
    <w:rsid w:val="00276B3E"/>
    <w:rsid w:val="00277481"/>
    <w:rsid w:val="00285425"/>
    <w:rsid w:val="00286EAD"/>
    <w:rsid w:val="00286FFA"/>
    <w:rsid w:val="002904DD"/>
    <w:rsid w:val="00292FC0"/>
    <w:rsid w:val="00297A93"/>
    <w:rsid w:val="002A1123"/>
    <w:rsid w:val="002A79DA"/>
    <w:rsid w:val="002B1B00"/>
    <w:rsid w:val="002B5364"/>
    <w:rsid w:val="002B5710"/>
    <w:rsid w:val="002B5B92"/>
    <w:rsid w:val="002C05FC"/>
    <w:rsid w:val="002C134A"/>
    <w:rsid w:val="002C3C82"/>
    <w:rsid w:val="002C5958"/>
    <w:rsid w:val="002D0563"/>
    <w:rsid w:val="002D0A26"/>
    <w:rsid w:val="002D5E49"/>
    <w:rsid w:val="002D6359"/>
    <w:rsid w:val="002E1D40"/>
    <w:rsid w:val="002E42D2"/>
    <w:rsid w:val="002F1933"/>
    <w:rsid w:val="002F1E93"/>
    <w:rsid w:val="002F733A"/>
    <w:rsid w:val="00303FF2"/>
    <w:rsid w:val="00306799"/>
    <w:rsid w:val="003107CB"/>
    <w:rsid w:val="003116D5"/>
    <w:rsid w:val="0031428F"/>
    <w:rsid w:val="00314D05"/>
    <w:rsid w:val="003175DF"/>
    <w:rsid w:val="0032141A"/>
    <w:rsid w:val="00331349"/>
    <w:rsid w:val="00335461"/>
    <w:rsid w:val="0033691B"/>
    <w:rsid w:val="00342B70"/>
    <w:rsid w:val="003444A6"/>
    <w:rsid w:val="00347372"/>
    <w:rsid w:val="0035386E"/>
    <w:rsid w:val="00357DC7"/>
    <w:rsid w:val="003625D8"/>
    <w:rsid w:val="00366694"/>
    <w:rsid w:val="00374615"/>
    <w:rsid w:val="0037539F"/>
    <w:rsid w:val="00375466"/>
    <w:rsid w:val="0037614E"/>
    <w:rsid w:val="00376D41"/>
    <w:rsid w:val="00393D5F"/>
    <w:rsid w:val="00395780"/>
    <w:rsid w:val="00395BE4"/>
    <w:rsid w:val="00396E20"/>
    <w:rsid w:val="003A1378"/>
    <w:rsid w:val="003A3094"/>
    <w:rsid w:val="003A6507"/>
    <w:rsid w:val="003B06C4"/>
    <w:rsid w:val="003B14D7"/>
    <w:rsid w:val="003B57C8"/>
    <w:rsid w:val="003B5A14"/>
    <w:rsid w:val="003B6B55"/>
    <w:rsid w:val="003C3872"/>
    <w:rsid w:val="003C5469"/>
    <w:rsid w:val="003C5FFF"/>
    <w:rsid w:val="003D2A49"/>
    <w:rsid w:val="003D37E1"/>
    <w:rsid w:val="003D55CF"/>
    <w:rsid w:val="003D62F0"/>
    <w:rsid w:val="003E3D40"/>
    <w:rsid w:val="003E44BD"/>
    <w:rsid w:val="003E55EF"/>
    <w:rsid w:val="003E59BB"/>
    <w:rsid w:val="003F0DC9"/>
    <w:rsid w:val="003F3E11"/>
    <w:rsid w:val="003F7F57"/>
    <w:rsid w:val="00403CBD"/>
    <w:rsid w:val="004045BC"/>
    <w:rsid w:val="00407286"/>
    <w:rsid w:val="00407DBC"/>
    <w:rsid w:val="004119C3"/>
    <w:rsid w:val="00412883"/>
    <w:rsid w:val="004138E7"/>
    <w:rsid w:val="00414234"/>
    <w:rsid w:val="00415AE9"/>
    <w:rsid w:val="00416ABB"/>
    <w:rsid w:val="00416B42"/>
    <w:rsid w:val="0042162D"/>
    <w:rsid w:val="0042227C"/>
    <w:rsid w:val="00424B02"/>
    <w:rsid w:val="00432970"/>
    <w:rsid w:val="00436764"/>
    <w:rsid w:val="00440583"/>
    <w:rsid w:val="004419CA"/>
    <w:rsid w:val="004443F9"/>
    <w:rsid w:val="0044573A"/>
    <w:rsid w:val="00447307"/>
    <w:rsid w:val="004504FA"/>
    <w:rsid w:val="00454BA7"/>
    <w:rsid w:val="00456F05"/>
    <w:rsid w:val="00464DBA"/>
    <w:rsid w:val="00466539"/>
    <w:rsid w:val="00467EC1"/>
    <w:rsid w:val="00471C2A"/>
    <w:rsid w:val="00477702"/>
    <w:rsid w:val="004824BE"/>
    <w:rsid w:val="004859C9"/>
    <w:rsid w:val="004901D8"/>
    <w:rsid w:val="004945F1"/>
    <w:rsid w:val="004A0C8B"/>
    <w:rsid w:val="004B281C"/>
    <w:rsid w:val="004B389F"/>
    <w:rsid w:val="004C04C6"/>
    <w:rsid w:val="004C0B54"/>
    <w:rsid w:val="004D2C02"/>
    <w:rsid w:val="004D4B76"/>
    <w:rsid w:val="004D78E7"/>
    <w:rsid w:val="004E1879"/>
    <w:rsid w:val="004E35E1"/>
    <w:rsid w:val="004E59E4"/>
    <w:rsid w:val="004F1581"/>
    <w:rsid w:val="004F1C5F"/>
    <w:rsid w:val="004F2666"/>
    <w:rsid w:val="004F594B"/>
    <w:rsid w:val="004F6811"/>
    <w:rsid w:val="004F6AB0"/>
    <w:rsid w:val="00500045"/>
    <w:rsid w:val="005019FE"/>
    <w:rsid w:val="00502252"/>
    <w:rsid w:val="005071D6"/>
    <w:rsid w:val="005104B4"/>
    <w:rsid w:val="00511481"/>
    <w:rsid w:val="005115BC"/>
    <w:rsid w:val="005117FB"/>
    <w:rsid w:val="00514734"/>
    <w:rsid w:val="00520306"/>
    <w:rsid w:val="00526FDB"/>
    <w:rsid w:val="00537381"/>
    <w:rsid w:val="0054277A"/>
    <w:rsid w:val="00546CAE"/>
    <w:rsid w:val="00551CEE"/>
    <w:rsid w:val="00554294"/>
    <w:rsid w:val="00555562"/>
    <w:rsid w:val="00557CBF"/>
    <w:rsid w:val="005611E3"/>
    <w:rsid w:val="0057103B"/>
    <w:rsid w:val="00572539"/>
    <w:rsid w:val="0057273D"/>
    <w:rsid w:val="00580ED3"/>
    <w:rsid w:val="00581CCF"/>
    <w:rsid w:val="00582D1E"/>
    <w:rsid w:val="005942B2"/>
    <w:rsid w:val="0059665C"/>
    <w:rsid w:val="005968D2"/>
    <w:rsid w:val="00597666"/>
    <w:rsid w:val="005A1430"/>
    <w:rsid w:val="005A2DD5"/>
    <w:rsid w:val="005B25CA"/>
    <w:rsid w:val="005B7E08"/>
    <w:rsid w:val="005C0F65"/>
    <w:rsid w:val="005C23D4"/>
    <w:rsid w:val="005C3A17"/>
    <w:rsid w:val="005C542C"/>
    <w:rsid w:val="005C64E3"/>
    <w:rsid w:val="005D0C9C"/>
    <w:rsid w:val="005D1E56"/>
    <w:rsid w:val="005D300C"/>
    <w:rsid w:val="005D3628"/>
    <w:rsid w:val="005E110E"/>
    <w:rsid w:val="005E1F37"/>
    <w:rsid w:val="005E3D2E"/>
    <w:rsid w:val="005E4119"/>
    <w:rsid w:val="005F11F1"/>
    <w:rsid w:val="005F1FF3"/>
    <w:rsid w:val="005F5786"/>
    <w:rsid w:val="005F67A7"/>
    <w:rsid w:val="006065EA"/>
    <w:rsid w:val="00610132"/>
    <w:rsid w:val="00620349"/>
    <w:rsid w:val="006220B2"/>
    <w:rsid w:val="00625CF0"/>
    <w:rsid w:val="00633CEC"/>
    <w:rsid w:val="006351F3"/>
    <w:rsid w:val="00636B0B"/>
    <w:rsid w:val="00637337"/>
    <w:rsid w:val="006404E4"/>
    <w:rsid w:val="00642DA2"/>
    <w:rsid w:val="00643DB5"/>
    <w:rsid w:val="00643F5E"/>
    <w:rsid w:val="0064491E"/>
    <w:rsid w:val="00644A5C"/>
    <w:rsid w:val="006453D4"/>
    <w:rsid w:val="00646D25"/>
    <w:rsid w:val="006531C2"/>
    <w:rsid w:val="006545ED"/>
    <w:rsid w:val="00654764"/>
    <w:rsid w:val="00655FF1"/>
    <w:rsid w:val="0066052A"/>
    <w:rsid w:val="006619B5"/>
    <w:rsid w:val="006701A9"/>
    <w:rsid w:val="00672ED4"/>
    <w:rsid w:val="00676F7E"/>
    <w:rsid w:val="00683D1F"/>
    <w:rsid w:val="006855B9"/>
    <w:rsid w:val="006867CF"/>
    <w:rsid w:val="00690C84"/>
    <w:rsid w:val="00691CAE"/>
    <w:rsid w:val="00691F42"/>
    <w:rsid w:val="0069242B"/>
    <w:rsid w:val="00693771"/>
    <w:rsid w:val="00693A0D"/>
    <w:rsid w:val="00693F08"/>
    <w:rsid w:val="00697133"/>
    <w:rsid w:val="006A3579"/>
    <w:rsid w:val="006A6904"/>
    <w:rsid w:val="006B3196"/>
    <w:rsid w:val="006B3785"/>
    <w:rsid w:val="006B3B14"/>
    <w:rsid w:val="006B623F"/>
    <w:rsid w:val="006C3B44"/>
    <w:rsid w:val="006C7CA5"/>
    <w:rsid w:val="006D3AAC"/>
    <w:rsid w:val="006E411F"/>
    <w:rsid w:val="006E478C"/>
    <w:rsid w:val="006E7470"/>
    <w:rsid w:val="006E76C6"/>
    <w:rsid w:val="006F0A62"/>
    <w:rsid w:val="006F13F3"/>
    <w:rsid w:val="006F217C"/>
    <w:rsid w:val="006F2E69"/>
    <w:rsid w:val="006F3B1B"/>
    <w:rsid w:val="006F7090"/>
    <w:rsid w:val="007052A3"/>
    <w:rsid w:val="00706485"/>
    <w:rsid w:val="00706A5D"/>
    <w:rsid w:val="00711F71"/>
    <w:rsid w:val="007126F8"/>
    <w:rsid w:val="00716A05"/>
    <w:rsid w:val="00724158"/>
    <w:rsid w:val="0073038C"/>
    <w:rsid w:val="0073277F"/>
    <w:rsid w:val="00733923"/>
    <w:rsid w:val="00733EE6"/>
    <w:rsid w:val="00734600"/>
    <w:rsid w:val="00736200"/>
    <w:rsid w:val="00744311"/>
    <w:rsid w:val="00744E22"/>
    <w:rsid w:val="00745751"/>
    <w:rsid w:val="007466DF"/>
    <w:rsid w:val="00747E8F"/>
    <w:rsid w:val="007503DC"/>
    <w:rsid w:val="00753BF6"/>
    <w:rsid w:val="00754A99"/>
    <w:rsid w:val="0075769B"/>
    <w:rsid w:val="007611A0"/>
    <w:rsid w:val="00762278"/>
    <w:rsid w:val="00762E29"/>
    <w:rsid w:val="00764607"/>
    <w:rsid w:val="0076469B"/>
    <w:rsid w:val="00764CDD"/>
    <w:rsid w:val="00767E72"/>
    <w:rsid w:val="00770EDA"/>
    <w:rsid w:val="0077109E"/>
    <w:rsid w:val="0077577E"/>
    <w:rsid w:val="007768E0"/>
    <w:rsid w:val="00781048"/>
    <w:rsid w:val="00781933"/>
    <w:rsid w:val="007917AC"/>
    <w:rsid w:val="007969D9"/>
    <w:rsid w:val="00796D0D"/>
    <w:rsid w:val="007A103C"/>
    <w:rsid w:val="007A6288"/>
    <w:rsid w:val="007A6645"/>
    <w:rsid w:val="007A699A"/>
    <w:rsid w:val="007A6D8A"/>
    <w:rsid w:val="007A7556"/>
    <w:rsid w:val="007B2644"/>
    <w:rsid w:val="007B3B1E"/>
    <w:rsid w:val="007B3FE4"/>
    <w:rsid w:val="007B453D"/>
    <w:rsid w:val="007B5747"/>
    <w:rsid w:val="007B7965"/>
    <w:rsid w:val="007C215C"/>
    <w:rsid w:val="007C4CCE"/>
    <w:rsid w:val="007C61B0"/>
    <w:rsid w:val="007D57D7"/>
    <w:rsid w:val="007D7D62"/>
    <w:rsid w:val="007E0471"/>
    <w:rsid w:val="007E4745"/>
    <w:rsid w:val="007E5AD4"/>
    <w:rsid w:val="007E5D80"/>
    <w:rsid w:val="007E6573"/>
    <w:rsid w:val="007F5664"/>
    <w:rsid w:val="007F71F9"/>
    <w:rsid w:val="00800575"/>
    <w:rsid w:val="00802907"/>
    <w:rsid w:val="008059E4"/>
    <w:rsid w:val="008142E4"/>
    <w:rsid w:val="00815E32"/>
    <w:rsid w:val="0081648B"/>
    <w:rsid w:val="00816AD6"/>
    <w:rsid w:val="00822799"/>
    <w:rsid w:val="00822FDE"/>
    <w:rsid w:val="00825657"/>
    <w:rsid w:val="008261E3"/>
    <w:rsid w:val="0082621E"/>
    <w:rsid w:val="008276FE"/>
    <w:rsid w:val="00827B40"/>
    <w:rsid w:val="0083120F"/>
    <w:rsid w:val="008336DF"/>
    <w:rsid w:val="00852F12"/>
    <w:rsid w:val="008537CB"/>
    <w:rsid w:val="00856EBE"/>
    <w:rsid w:val="008621A3"/>
    <w:rsid w:val="00863C9B"/>
    <w:rsid w:val="00864279"/>
    <w:rsid w:val="0086475C"/>
    <w:rsid w:val="00866990"/>
    <w:rsid w:val="00871A3F"/>
    <w:rsid w:val="008720B3"/>
    <w:rsid w:val="008848AD"/>
    <w:rsid w:val="008856F9"/>
    <w:rsid w:val="008859A0"/>
    <w:rsid w:val="00886F51"/>
    <w:rsid w:val="00887D74"/>
    <w:rsid w:val="00891EDE"/>
    <w:rsid w:val="00892735"/>
    <w:rsid w:val="00893B1C"/>
    <w:rsid w:val="00894690"/>
    <w:rsid w:val="008A241A"/>
    <w:rsid w:val="008A56B9"/>
    <w:rsid w:val="008B080B"/>
    <w:rsid w:val="008B21C4"/>
    <w:rsid w:val="008C219B"/>
    <w:rsid w:val="008C255E"/>
    <w:rsid w:val="008C4B24"/>
    <w:rsid w:val="008C7BA4"/>
    <w:rsid w:val="008D02F0"/>
    <w:rsid w:val="008D409F"/>
    <w:rsid w:val="008D6C23"/>
    <w:rsid w:val="008E053C"/>
    <w:rsid w:val="008E1AB5"/>
    <w:rsid w:val="008E4691"/>
    <w:rsid w:val="008F245A"/>
    <w:rsid w:val="00902FF5"/>
    <w:rsid w:val="00906A19"/>
    <w:rsid w:val="00906D50"/>
    <w:rsid w:val="00910FD4"/>
    <w:rsid w:val="009142E5"/>
    <w:rsid w:val="009179FF"/>
    <w:rsid w:val="00917D79"/>
    <w:rsid w:val="0092093D"/>
    <w:rsid w:val="00922ABB"/>
    <w:rsid w:val="0093137C"/>
    <w:rsid w:val="0093313C"/>
    <w:rsid w:val="009401EA"/>
    <w:rsid w:val="0094463C"/>
    <w:rsid w:val="00946318"/>
    <w:rsid w:val="00950864"/>
    <w:rsid w:val="00950F40"/>
    <w:rsid w:val="009516A6"/>
    <w:rsid w:val="00952102"/>
    <w:rsid w:val="00954182"/>
    <w:rsid w:val="00960A98"/>
    <w:rsid w:val="00961FA8"/>
    <w:rsid w:val="00967DD6"/>
    <w:rsid w:val="0097077C"/>
    <w:rsid w:val="00970D2F"/>
    <w:rsid w:val="009740B4"/>
    <w:rsid w:val="00974CB1"/>
    <w:rsid w:val="00976B85"/>
    <w:rsid w:val="00982775"/>
    <w:rsid w:val="00985303"/>
    <w:rsid w:val="00986537"/>
    <w:rsid w:val="00990AE0"/>
    <w:rsid w:val="0099197F"/>
    <w:rsid w:val="00994824"/>
    <w:rsid w:val="00994A64"/>
    <w:rsid w:val="009A0987"/>
    <w:rsid w:val="009A1A25"/>
    <w:rsid w:val="009A2109"/>
    <w:rsid w:val="009A2709"/>
    <w:rsid w:val="009A3BA0"/>
    <w:rsid w:val="009B11A7"/>
    <w:rsid w:val="009B5FE5"/>
    <w:rsid w:val="009B73C8"/>
    <w:rsid w:val="009B778E"/>
    <w:rsid w:val="009C0DEF"/>
    <w:rsid w:val="009C2F64"/>
    <w:rsid w:val="009D1DF3"/>
    <w:rsid w:val="009E14D0"/>
    <w:rsid w:val="009E3228"/>
    <w:rsid w:val="009E3801"/>
    <w:rsid w:val="009E43D5"/>
    <w:rsid w:val="009F27E2"/>
    <w:rsid w:val="009F48D8"/>
    <w:rsid w:val="00A01888"/>
    <w:rsid w:val="00A126D4"/>
    <w:rsid w:val="00A17AA2"/>
    <w:rsid w:val="00A2140B"/>
    <w:rsid w:val="00A21E46"/>
    <w:rsid w:val="00A24863"/>
    <w:rsid w:val="00A251E2"/>
    <w:rsid w:val="00A31033"/>
    <w:rsid w:val="00A31AE6"/>
    <w:rsid w:val="00A40622"/>
    <w:rsid w:val="00A41FD7"/>
    <w:rsid w:val="00A442F1"/>
    <w:rsid w:val="00A44770"/>
    <w:rsid w:val="00A45B8E"/>
    <w:rsid w:val="00A46498"/>
    <w:rsid w:val="00A46AF8"/>
    <w:rsid w:val="00A46EA3"/>
    <w:rsid w:val="00A5545D"/>
    <w:rsid w:val="00A565B7"/>
    <w:rsid w:val="00A62A77"/>
    <w:rsid w:val="00A73389"/>
    <w:rsid w:val="00A73AC6"/>
    <w:rsid w:val="00A80857"/>
    <w:rsid w:val="00A87746"/>
    <w:rsid w:val="00A9007E"/>
    <w:rsid w:val="00A93D19"/>
    <w:rsid w:val="00AA06CE"/>
    <w:rsid w:val="00AA198C"/>
    <w:rsid w:val="00AA5DB0"/>
    <w:rsid w:val="00AB1414"/>
    <w:rsid w:val="00AB5E4B"/>
    <w:rsid w:val="00AB7D79"/>
    <w:rsid w:val="00AC1952"/>
    <w:rsid w:val="00AC42CB"/>
    <w:rsid w:val="00AC52AE"/>
    <w:rsid w:val="00AC57FB"/>
    <w:rsid w:val="00AC6946"/>
    <w:rsid w:val="00AD3266"/>
    <w:rsid w:val="00AD5069"/>
    <w:rsid w:val="00AD5D6D"/>
    <w:rsid w:val="00AD5EDD"/>
    <w:rsid w:val="00AD5EE0"/>
    <w:rsid w:val="00AD6E64"/>
    <w:rsid w:val="00AE3010"/>
    <w:rsid w:val="00AE3F88"/>
    <w:rsid w:val="00AE4FD0"/>
    <w:rsid w:val="00AF07FB"/>
    <w:rsid w:val="00AF2B57"/>
    <w:rsid w:val="00AF4C0B"/>
    <w:rsid w:val="00B123F5"/>
    <w:rsid w:val="00B140D4"/>
    <w:rsid w:val="00B1494D"/>
    <w:rsid w:val="00B14FEF"/>
    <w:rsid w:val="00B15DF0"/>
    <w:rsid w:val="00B21CAB"/>
    <w:rsid w:val="00B21E1D"/>
    <w:rsid w:val="00B226E7"/>
    <w:rsid w:val="00B312EF"/>
    <w:rsid w:val="00B31AD4"/>
    <w:rsid w:val="00B332D7"/>
    <w:rsid w:val="00B35597"/>
    <w:rsid w:val="00B447A7"/>
    <w:rsid w:val="00B45D18"/>
    <w:rsid w:val="00B51388"/>
    <w:rsid w:val="00B52542"/>
    <w:rsid w:val="00B54749"/>
    <w:rsid w:val="00B64483"/>
    <w:rsid w:val="00B6565D"/>
    <w:rsid w:val="00B709A4"/>
    <w:rsid w:val="00B74014"/>
    <w:rsid w:val="00B74B8A"/>
    <w:rsid w:val="00B76EC6"/>
    <w:rsid w:val="00B802BB"/>
    <w:rsid w:val="00B82454"/>
    <w:rsid w:val="00B83D50"/>
    <w:rsid w:val="00B95C0A"/>
    <w:rsid w:val="00B9752A"/>
    <w:rsid w:val="00BA1EBE"/>
    <w:rsid w:val="00BA3B8B"/>
    <w:rsid w:val="00BA7440"/>
    <w:rsid w:val="00BA76E3"/>
    <w:rsid w:val="00BB1024"/>
    <w:rsid w:val="00BB15C2"/>
    <w:rsid w:val="00BB66F6"/>
    <w:rsid w:val="00BC1461"/>
    <w:rsid w:val="00BC5AC8"/>
    <w:rsid w:val="00BC620E"/>
    <w:rsid w:val="00BC75D2"/>
    <w:rsid w:val="00BD7B99"/>
    <w:rsid w:val="00BD7FCE"/>
    <w:rsid w:val="00BF02E7"/>
    <w:rsid w:val="00BF6DB2"/>
    <w:rsid w:val="00BF6F91"/>
    <w:rsid w:val="00BF7572"/>
    <w:rsid w:val="00BF7937"/>
    <w:rsid w:val="00C04626"/>
    <w:rsid w:val="00C109C3"/>
    <w:rsid w:val="00C10AEC"/>
    <w:rsid w:val="00C15AEE"/>
    <w:rsid w:val="00C16652"/>
    <w:rsid w:val="00C16FEC"/>
    <w:rsid w:val="00C2035B"/>
    <w:rsid w:val="00C23E46"/>
    <w:rsid w:val="00C25610"/>
    <w:rsid w:val="00C34DFF"/>
    <w:rsid w:val="00C354A8"/>
    <w:rsid w:val="00C453A5"/>
    <w:rsid w:val="00C45D17"/>
    <w:rsid w:val="00C4614C"/>
    <w:rsid w:val="00C50704"/>
    <w:rsid w:val="00C53ED1"/>
    <w:rsid w:val="00C575D9"/>
    <w:rsid w:val="00C575E2"/>
    <w:rsid w:val="00C57F44"/>
    <w:rsid w:val="00C630D6"/>
    <w:rsid w:val="00C637CF"/>
    <w:rsid w:val="00C72B3E"/>
    <w:rsid w:val="00C83E94"/>
    <w:rsid w:val="00C84CFA"/>
    <w:rsid w:val="00C84EB3"/>
    <w:rsid w:val="00C85666"/>
    <w:rsid w:val="00C85BDA"/>
    <w:rsid w:val="00C85FE3"/>
    <w:rsid w:val="00C86F4D"/>
    <w:rsid w:val="00C9156B"/>
    <w:rsid w:val="00CA0B67"/>
    <w:rsid w:val="00CA20F8"/>
    <w:rsid w:val="00CA5FA6"/>
    <w:rsid w:val="00CB19D2"/>
    <w:rsid w:val="00CB4050"/>
    <w:rsid w:val="00CB6A2E"/>
    <w:rsid w:val="00CC0122"/>
    <w:rsid w:val="00CC0DAF"/>
    <w:rsid w:val="00CC20A0"/>
    <w:rsid w:val="00CC37AD"/>
    <w:rsid w:val="00CC4DD6"/>
    <w:rsid w:val="00CC4E02"/>
    <w:rsid w:val="00CC6370"/>
    <w:rsid w:val="00CD2C00"/>
    <w:rsid w:val="00CD41CD"/>
    <w:rsid w:val="00CD5D51"/>
    <w:rsid w:val="00CE1868"/>
    <w:rsid w:val="00CE1BFF"/>
    <w:rsid w:val="00CE27DC"/>
    <w:rsid w:val="00CE47CE"/>
    <w:rsid w:val="00CE51BA"/>
    <w:rsid w:val="00CF1B46"/>
    <w:rsid w:val="00CF4D51"/>
    <w:rsid w:val="00CF614D"/>
    <w:rsid w:val="00CF6903"/>
    <w:rsid w:val="00D0020F"/>
    <w:rsid w:val="00D032A7"/>
    <w:rsid w:val="00D04AC3"/>
    <w:rsid w:val="00D07036"/>
    <w:rsid w:val="00D1407C"/>
    <w:rsid w:val="00D14C8E"/>
    <w:rsid w:val="00D245D5"/>
    <w:rsid w:val="00D24AAC"/>
    <w:rsid w:val="00D305DD"/>
    <w:rsid w:val="00D332FD"/>
    <w:rsid w:val="00D4017A"/>
    <w:rsid w:val="00D409EF"/>
    <w:rsid w:val="00D40DA6"/>
    <w:rsid w:val="00D41691"/>
    <w:rsid w:val="00D424C2"/>
    <w:rsid w:val="00D42763"/>
    <w:rsid w:val="00D43377"/>
    <w:rsid w:val="00D4396A"/>
    <w:rsid w:val="00D44320"/>
    <w:rsid w:val="00D52A17"/>
    <w:rsid w:val="00D531A2"/>
    <w:rsid w:val="00D61A9C"/>
    <w:rsid w:val="00D626CC"/>
    <w:rsid w:val="00D7084B"/>
    <w:rsid w:val="00D71284"/>
    <w:rsid w:val="00D7269F"/>
    <w:rsid w:val="00D735F5"/>
    <w:rsid w:val="00D77283"/>
    <w:rsid w:val="00D7791F"/>
    <w:rsid w:val="00D83D64"/>
    <w:rsid w:val="00DA14AE"/>
    <w:rsid w:val="00DA56BE"/>
    <w:rsid w:val="00DA69B1"/>
    <w:rsid w:val="00DA6DE1"/>
    <w:rsid w:val="00DB2820"/>
    <w:rsid w:val="00DB2D68"/>
    <w:rsid w:val="00DB51B3"/>
    <w:rsid w:val="00DB7748"/>
    <w:rsid w:val="00DC0C10"/>
    <w:rsid w:val="00DC31B0"/>
    <w:rsid w:val="00DC4669"/>
    <w:rsid w:val="00DD023E"/>
    <w:rsid w:val="00DD6581"/>
    <w:rsid w:val="00DD7B19"/>
    <w:rsid w:val="00DE148E"/>
    <w:rsid w:val="00DE1B5F"/>
    <w:rsid w:val="00DE4216"/>
    <w:rsid w:val="00DF0E19"/>
    <w:rsid w:val="00DF1B4E"/>
    <w:rsid w:val="00DF48D3"/>
    <w:rsid w:val="00DF5503"/>
    <w:rsid w:val="00E0064A"/>
    <w:rsid w:val="00E0177C"/>
    <w:rsid w:val="00E021CE"/>
    <w:rsid w:val="00E060F5"/>
    <w:rsid w:val="00E066DB"/>
    <w:rsid w:val="00E069DD"/>
    <w:rsid w:val="00E10795"/>
    <w:rsid w:val="00E145D0"/>
    <w:rsid w:val="00E14BA1"/>
    <w:rsid w:val="00E14DBC"/>
    <w:rsid w:val="00E16311"/>
    <w:rsid w:val="00E17500"/>
    <w:rsid w:val="00E26E50"/>
    <w:rsid w:val="00E32361"/>
    <w:rsid w:val="00E32EB0"/>
    <w:rsid w:val="00E36FA7"/>
    <w:rsid w:val="00E43EDF"/>
    <w:rsid w:val="00E45CA5"/>
    <w:rsid w:val="00E50620"/>
    <w:rsid w:val="00E508A5"/>
    <w:rsid w:val="00E5142D"/>
    <w:rsid w:val="00E51A41"/>
    <w:rsid w:val="00E55B39"/>
    <w:rsid w:val="00E56A91"/>
    <w:rsid w:val="00E57CF3"/>
    <w:rsid w:val="00E64585"/>
    <w:rsid w:val="00E6755C"/>
    <w:rsid w:val="00E726B6"/>
    <w:rsid w:val="00E726CC"/>
    <w:rsid w:val="00E72D76"/>
    <w:rsid w:val="00E7394B"/>
    <w:rsid w:val="00E73B1A"/>
    <w:rsid w:val="00E75455"/>
    <w:rsid w:val="00E807A7"/>
    <w:rsid w:val="00E81773"/>
    <w:rsid w:val="00E8405D"/>
    <w:rsid w:val="00E84AD1"/>
    <w:rsid w:val="00E879D4"/>
    <w:rsid w:val="00E91879"/>
    <w:rsid w:val="00EA00C5"/>
    <w:rsid w:val="00EA108B"/>
    <w:rsid w:val="00EA2304"/>
    <w:rsid w:val="00EA5932"/>
    <w:rsid w:val="00EA73B5"/>
    <w:rsid w:val="00EA7C9E"/>
    <w:rsid w:val="00EB0177"/>
    <w:rsid w:val="00EB025D"/>
    <w:rsid w:val="00EB0736"/>
    <w:rsid w:val="00EB145A"/>
    <w:rsid w:val="00EB73A7"/>
    <w:rsid w:val="00EC0E91"/>
    <w:rsid w:val="00EC1544"/>
    <w:rsid w:val="00EC4488"/>
    <w:rsid w:val="00EC4E4B"/>
    <w:rsid w:val="00EC7D90"/>
    <w:rsid w:val="00ED0838"/>
    <w:rsid w:val="00ED2109"/>
    <w:rsid w:val="00ED5755"/>
    <w:rsid w:val="00ED71EE"/>
    <w:rsid w:val="00EE3200"/>
    <w:rsid w:val="00EF2709"/>
    <w:rsid w:val="00EF2FA8"/>
    <w:rsid w:val="00EF33F2"/>
    <w:rsid w:val="00EF67B9"/>
    <w:rsid w:val="00F00F3E"/>
    <w:rsid w:val="00F01372"/>
    <w:rsid w:val="00F06EBE"/>
    <w:rsid w:val="00F07235"/>
    <w:rsid w:val="00F10B6A"/>
    <w:rsid w:val="00F12291"/>
    <w:rsid w:val="00F131FF"/>
    <w:rsid w:val="00F1507F"/>
    <w:rsid w:val="00F16DA5"/>
    <w:rsid w:val="00F17756"/>
    <w:rsid w:val="00F20FFC"/>
    <w:rsid w:val="00F21C84"/>
    <w:rsid w:val="00F246BA"/>
    <w:rsid w:val="00F30D9B"/>
    <w:rsid w:val="00F357DF"/>
    <w:rsid w:val="00F36CE9"/>
    <w:rsid w:val="00F372AE"/>
    <w:rsid w:val="00F375EA"/>
    <w:rsid w:val="00F40C7C"/>
    <w:rsid w:val="00F41ADF"/>
    <w:rsid w:val="00F478A6"/>
    <w:rsid w:val="00F50185"/>
    <w:rsid w:val="00F52E28"/>
    <w:rsid w:val="00F53784"/>
    <w:rsid w:val="00F553AE"/>
    <w:rsid w:val="00F559BC"/>
    <w:rsid w:val="00F564CF"/>
    <w:rsid w:val="00F56FF9"/>
    <w:rsid w:val="00F5759B"/>
    <w:rsid w:val="00F6507B"/>
    <w:rsid w:val="00F67571"/>
    <w:rsid w:val="00F72A91"/>
    <w:rsid w:val="00F72D1E"/>
    <w:rsid w:val="00F80684"/>
    <w:rsid w:val="00F868AE"/>
    <w:rsid w:val="00F90E7B"/>
    <w:rsid w:val="00F92D64"/>
    <w:rsid w:val="00F93C10"/>
    <w:rsid w:val="00F94E8B"/>
    <w:rsid w:val="00F9532F"/>
    <w:rsid w:val="00FA4035"/>
    <w:rsid w:val="00FB12AD"/>
    <w:rsid w:val="00FB5856"/>
    <w:rsid w:val="00FB6916"/>
    <w:rsid w:val="00FC477B"/>
    <w:rsid w:val="00FD339F"/>
    <w:rsid w:val="00FD34C3"/>
    <w:rsid w:val="00FD726B"/>
    <w:rsid w:val="00FE2E70"/>
    <w:rsid w:val="00FE6788"/>
    <w:rsid w:val="00FF4012"/>
    <w:rsid w:val="00FF4B2B"/>
    <w:rsid w:val="00FF4E27"/>
    <w:rsid w:val="00FF7C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34987-A044-4B99-8469-57C07E1C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456F05"/>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Titre3"/>
    <w:next w:val="-LettreTexteGEDA"/>
    <w:link w:val="Titre4Car"/>
    <w:qFormat/>
    <w:rsid w:val="00456F05"/>
    <w:pPr>
      <w:keepLines w:val="0"/>
      <w:numPr>
        <w:numId w:val="6"/>
      </w:numPr>
      <w:spacing w:before="180"/>
      <w:ind w:left="283" w:hanging="283"/>
      <w:outlineLvl w:val="3"/>
    </w:pPr>
    <w:rPr>
      <w:rFonts w:ascii="Times New Roman" w:eastAsia="Times New Roman" w:hAnsi="Times New Roman" w:cs="Arial"/>
      <w:bCs w:val="0"/>
      <w:iCs/>
      <w:caps/>
      <w:color w:val="auto"/>
      <w:szCs w:val="20"/>
      <w:lang w:eastAsia="en-U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aliases w:val="Paragraphe de liste num,Paragraphe de liste 1,Listes"/>
    <w:basedOn w:val="Normal"/>
    <w:link w:val="ParagraphedelisteCar"/>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uiPriority w:val="99"/>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aliases w:val="Paragraphe de liste num Car,Paragraphe de liste 1 Car,Listes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rsid w:val="00825657"/>
    <w:rPr>
      <w:rFonts w:ascii="Times New Roman" w:hAnsi="Times New Roman" w:cs="Times New Roman"/>
      <w:sz w:val="20"/>
      <w:szCs w:val="20"/>
    </w:rPr>
  </w:style>
  <w:style w:type="character" w:styleId="Appelnotedebasdep">
    <w:name w:val="footnote reference"/>
    <w:basedOn w:val="Policepardfaut"/>
    <w:uiPriority w:val="99"/>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 w:type="paragraph" w:customStyle="1" w:styleId="paragraph">
    <w:name w:val="paragraph"/>
    <w:basedOn w:val="Normal"/>
    <w:rsid w:val="0077577E"/>
    <w:pPr>
      <w:spacing w:before="100" w:beforeAutospacing="1" w:after="100" w:afterAutospacing="1"/>
    </w:pPr>
    <w:rPr>
      <w:rFonts w:eastAsiaTheme="minorHAnsi"/>
      <w:lang w:eastAsia="fr-FR"/>
    </w:rPr>
  </w:style>
  <w:style w:type="character" w:customStyle="1" w:styleId="normaltextrun">
    <w:name w:val="normaltextrun"/>
    <w:basedOn w:val="Policepardfaut"/>
    <w:rsid w:val="0077577E"/>
  </w:style>
  <w:style w:type="character" w:customStyle="1" w:styleId="eop">
    <w:name w:val="eop"/>
    <w:basedOn w:val="Policepardfaut"/>
    <w:rsid w:val="0077577E"/>
  </w:style>
  <w:style w:type="character" w:customStyle="1" w:styleId="contextualspellingandgrammarerror">
    <w:name w:val="contextualspellingandgrammarerror"/>
    <w:basedOn w:val="Policepardfaut"/>
    <w:rsid w:val="0077577E"/>
  </w:style>
  <w:style w:type="paragraph" w:styleId="Sous-titre">
    <w:name w:val="Subtitle"/>
    <w:basedOn w:val="Normal"/>
    <w:next w:val="Normal"/>
    <w:link w:val="Sous-titreCar"/>
    <w:uiPriority w:val="11"/>
    <w:qFormat/>
    <w:rsid w:val="00B76EC6"/>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B76EC6"/>
    <w:rPr>
      <w:rFonts w:ascii="Cambria" w:eastAsia="Times New Roman" w:hAnsi="Cambria" w:cs="Times New Roman"/>
      <w:b/>
      <w:sz w:val="24"/>
      <w:szCs w:val="24"/>
      <w:u w:val="single"/>
      <w:lang w:eastAsia="fr-FR"/>
    </w:rPr>
  </w:style>
  <w:style w:type="paragraph" w:customStyle="1" w:styleId="-SignataireNomGEDA">
    <w:name w:val="- Signataire:Nom            GEDA"/>
    <w:rsid w:val="00DC0C10"/>
    <w:pPr>
      <w:keepNext/>
      <w:overflowPunct w:val="0"/>
      <w:autoSpaceDE w:val="0"/>
      <w:autoSpaceDN w:val="0"/>
      <w:adjustRightInd w:val="0"/>
      <w:spacing w:before="1080" w:after="0" w:line="240" w:lineRule="auto"/>
      <w:jc w:val="center"/>
    </w:pPr>
    <w:rPr>
      <w:rFonts w:ascii="Times New Roman" w:eastAsia="Times New Roman" w:hAnsi="Times New Roman" w:cs="Times New Roman"/>
      <w:sz w:val="24"/>
      <w:szCs w:val="20"/>
      <w:lang w:eastAsia="fr-FR"/>
    </w:rPr>
  </w:style>
  <w:style w:type="paragraph" w:customStyle="1" w:styleId="-ActeAttenduConsidrantGEDA">
    <w:name w:val="- Acte:Attendu (Considérant)  GEDA"/>
    <w:basedOn w:val="-ActeAttenduVuGEDA"/>
    <w:rsid w:val="00F16DA5"/>
    <w:pPr>
      <w:numPr>
        <w:numId w:val="5"/>
      </w:numPr>
    </w:pPr>
  </w:style>
  <w:style w:type="paragraph" w:customStyle="1" w:styleId="-LettreRefGEDA">
    <w:name w:val="- Lettre:Ref                  GEDA"/>
    <w:basedOn w:val="-LettreObjetGEDA"/>
    <w:next w:val="-LettreSuiteORefPJGEDA"/>
    <w:rsid w:val="00990AE0"/>
    <w:pPr>
      <w:spacing w:before="80"/>
    </w:pPr>
  </w:style>
  <w:style w:type="character" w:customStyle="1" w:styleId="Titre4Car">
    <w:name w:val="Titre 4 Car"/>
    <w:basedOn w:val="Policepardfaut"/>
    <w:link w:val="Titre4"/>
    <w:rsid w:val="00456F05"/>
    <w:rPr>
      <w:rFonts w:ascii="Times New Roman" w:eastAsia="Times New Roman" w:hAnsi="Times New Roman" w:cs="Arial"/>
      <w:b/>
      <w:iCs/>
      <w:caps/>
      <w:sz w:val="24"/>
      <w:szCs w:val="20"/>
    </w:rPr>
  </w:style>
  <w:style w:type="character" w:customStyle="1" w:styleId="Titre3Car">
    <w:name w:val="Titre 3 Car"/>
    <w:basedOn w:val="Policepardfaut"/>
    <w:link w:val="Titre3"/>
    <w:uiPriority w:val="9"/>
    <w:semiHidden/>
    <w:rsid w:val="00456F05"/>
    <w:rPr>
      <w:rFonts w:asciiTheme="majorHAnsi" w:eastAsiaTheme="majorEastAsia" w:hAnsiTheme="majorHAnsi" w:cstheme="majorBidi"/>
      <w:b/>
      <w:bCs/>
      <w:color w:val="4F81BD" w:themeColor="accent1"/>
      <w:sz w:val="24"/>
      <w:szCs w:val="24"/>
      <w:lang w:eastAsia="es-ES"/>
    </w:rPr>
  </w:style>
  <w:style w:type="table" w:customStyle="1" w:styleId="TableauGrille4-Accentuation41">
    <w:name w:val="Tableau Grille 4 - Accentuation 41"/>
    <w:basedOn w:val="TableauNormal"/>
    <w:uiPriority w:val="49"/>
    <w:rsid w:val="00164559"/>
    <w:pPr>
      <w:spacing w:after="0" w:line="240" w:lineRule="auto"/>
    </w:pPr>
    <w:rPr>
      <w:rFonts w:eastAsia="Times New Roman"/>
      <w:sz w:val="24"/>
      <w:szCs w:val="24"/>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EnteteLieuetdateGEDA">
    <w:name w:val="- Entete:Lieu et date      GEDA"/>
    <w:rsid w:val="00AA06CE"/>
    <w:pPr>
      <w:overflowPunct w:val="0"/>
      <w:autoSpaceDE w:val="0"/>
      <w:autoSpaceDN w:val="0"/>
      <w:adjustRightInd w:val="0"/>
      <w:spacing w:after="240" w:line="240" w:lineRule="auto"/>
      <w:ind w:left="851"/>
      <w:textAlignment w:val="baseline"/>
    </w:pPr>
    <w:rPr>
      <w:rFonts w:ascii="Times New Roman" w:eastAsia="Times New Roman" w:hAnsi="Times New Roman" w:cs="Times New Roman"/>
      <w:noProof/>
      <w:sz w:val="24"/>
      <w:szCs w:val="20"/>
      <w:lang w:eastAsia="fr-FR"/>
    </w:rPr>
  </w:style>
  <w:style w:type="character" w:customStyle="1" w:styleId="Aucun">
    <w:name w:val="Aucun"/>
    <w:rsid w:val="00C84EB3"/>
  </w:style>
  <w:style w:type="numbering" w:customStyle="1" w:styleId="Style9import">
    <w:name w:val="Style 9 importé"/>
    <w:rsid w:val="00C84EB3"/>
    <w:pPr>
      <w:numPr>
        <w:numId w:val="7"/>
      </w:numPr>
    </w:pPr>
  </w:style>
  <w:style w:type="character" w:customStyle="1" w:styleId="textexposedshow">
    <w:name w:val="text_exposed_show"/>
    <w:basedOn w:val="Policepardfaut"/>
    <w:rsid w:val="001E128A"/>
  </w:style>
  <w:style w:type="paragraph" w:customStyle="1" w:styleId="-LettreDestinataireGEDA">
    <w:name w:val="- Lettre:Destinataire    GEDA"/>
    <w:basedOn w:val="Normal"/>
    <w:next w:val="Normal"/>
    <w:rsid w:val="00C15AEE"/>
    <w:pPr>
      <w:overflowPunct w:val="0"/>
      <w:autoSpaceDE w:val="0"/>
      <w:autoSpaceDN w:val="0"/>
      <w:adjustRightInd w:val="0"/>
      <w:spacing w:before="360"/>
      <w:jc w:val="center"/>
    </w:pPr>
    <w:rPr>
      <w:b/>
      <w:noProof/>
      <w:szCs w:val="20"/>
      <w:lang w:eastAsia="fr-FR"/>
    </w:rPr>
  </w:style>
  <w:style w:type="paragraph" w:customStyle="1" w:styleId="-LettreAffairesuivieGEDA">
    <w:name w:val="- Lettre:Affaire suivie                GEDA"/>
    <w:rsid w:val="001E547E"/>
    <w:pPr>
      <w:numPr>
        <w:numId w:val="8"/>
      </w:numPr>
      <w:tabs>
        <w:tab w:val="clear" w:pos="2880"/>
        <w:tab w:val="num" w:pos="2160"/>
      </w:tabs>
      <w:spacing w:before="240" w:after="0" w:line="240" w:lineRule="auto"/>
      <w:ind w:left="180" w:right="5652" w:firstLine="180"/>
      <w:jc w:val="center"/>
    </w:pPr>
    <w:rPr>
      <w:rFonts w:ascii="Times New Roman" w:eastAsia="Times New Roman" w:hAnsi="Times New Roman" w:cs="Times New Roman"/>
      <w:i/>
      <w:iCs/>
      <w:noProof/>
      <w:sz w:val="18"/>
      <w:szCs w:val="20"/>
      <w:lang w:eastAsia="fr-FR"/>
    </w:rPr>
  </w:style>
  <w:style w:type="paragraph" w:customStyle="1" w:styleId="alinea">
    <w:name w:val="alinea"/>
    <w:basedOn w:val="Normal"/>
    <w:rsid w:val="00E726B6"/>
    <w:pPr>
      <w:spacing w:before="100" w:beforeAutospacing="1" w:after="100" w:afterAutospacing="1"/>
    </w:pPr>
    <w:rPr>
      <w:lang w:eastAsia="fr-FR"/>
    </w:rPr>
  </w:style>
  <w:style w:type="table" w:styleId="Grilledutableau">
    <w:name w:val="Table Grid"/>
    <w:basedOn w:val="TableauNormal"/>
    <w:uiPriority w:val="59"/>
    <w:rsid w:val="00C16FEC"/>
    <w:pPr>
      <w:spacing w:after="0" w:line="240" w:lineRule="auto"/>
    </w:pPr>
    <w:rPr>
      <w:rFonts w:ascii="Times New Roman" w:hAnsi="Times New Roman" w:cs="Times New Roman"/>
      <w:sz w:val="24"/>
      <w:szCs w:val="24"/>
      <w:u w:color="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
    <w:name w:val="Corps du texte_"/>
    <w:basedOn w:val="Policepardfaut"/>
    <w:link w:val="Corpsdutexte0"/>
    <w:rsid w:val="00CC6370"/>
    <w:rPr>
      <w:rFonts w:ascii="Times New Roman" w:eastAsia="Times New Roman" w:hAnsi="Times New Roman" w:cs="Times New Roman"/>
      <w:sz w:val="19"/>
      <w:szCs w:val="19"/>
      <w:shd w:val="clear" w:color="auto" w:fill="FFFFFF"/>
    </w:rPr>
  </w:style>
  <w:style w:type="paragraph" w:customStyle="1" w:styleId="Corpsdutexte0">
    <w:name w:val="Corps du texte"/>
    <w:basedOn w:val="Normal"/>
    <w:link w:val="Corpsdutexte"/>
    <w:rsid w:val="00CC6370"/>
    <w:pPr>
      <w:widowControl w:val="0"/>
      <w:shd w:val="clear" w:color="auto" w:fill="FFFFFF"/>
      <w:spacing w:before="480" w:after="240" w:line="269" w:lineRule="exact"/>
      <w:ind w:firstLine="720"/>
      <w:jc w:val="both"/>
    </w:pPr>
    <w:rPr>
      <w:sz w:val="19"/>
      <w:szCs w:val="19"/>
      <w:lang w:eastAsia="en-US"/>
    </w:rPr>
  </w:style>
  <w:style w:type="paragraph" w:customStyle="1" w:styleId="Normal1">
    <w:name w:val="Normal1"/>
    <w:rsid w:val="00CC6370"/>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240">
      <w:bodyDiv w:val="1"/>
      <w:marLeft w:val="0"/>
      <w:marRight w:val="0"/>
      <w:marTop w:val="0"/>
      <w:marBottom w:val="0"/>
      <w:divBdr>
        <w:top w:val="none" w:sz="0" w:space="0" w:color="auto"/>
        <w:left w:val="none" w:sz="0" w:space="0" w:color="auto"/>
        <w:bottom w:val="none" w:sz="0" w:space="0" w:color="auto"/>
        <w:right w:val="none" w:sz="0" w:space="0" w:color="auto"/>
      </w:divBdr>
    </w:div>
    <w:div w:id="27146237">
      <w:bodyDiv w:val="1"/>
      <w:marLeft w:val="0"/>
      <w:marRight w:val="0"/>
      <w:marTop w:val="0"/>
      <w:marBottom w:val="0"/>
      <w:divBdr>
        <w:top w:val="none" w:sz="0" w:space="0" w:color="auto"/>
        <w:left w:val="none" w:sz="0" w:space="0" w:color="auto"/>
        <w:bottom w:val="none" w:sz="0" w:space="0" w:color="auto"/>
        <w:right w:val="none" w:sz="0" w:space="0" w:color="auto"/>
      </w:divBdr>
    </w:div>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76099281">
      <w:bodyDiv w:val="1"/>
      <w:marLeft w:val="0"/>
      <w:marRight w:val="0"/>
      <w:marTop w:val="0"/>
      <w:marBottom w:val="0"/>
      <w:divBdr>
        <w:top w:val="none" w:sz="0" w:space="0" w:color="auto"/>
        <w:left w:val="none" w:sz="0" w:space="0" w:color="auto"/>
        <w:bottom w:val="none" w:sz="0" w:space="0" w:color="auto"/>
        <w:right w:val="none" w:sz="0" w:space="0" w:color="auto"/>
      </w:divBdr>
    </w:div>
    <w:div w:id="77139318">
      <w:bodyDiv w:val="1"/>
      <w:marLeft w:val="0"/>
      <w:marRight w:val="0"/>
      <w:marTop w:val="0"/>
      <w:marBottom w:val="0"/>
      <w:divBdr>
        <w:top w:val="none" w:sz="0" w:space="0" w:color="auto"/>
        <w:left w:val="none" w:sz="0" w:space="0" w:color="auto"/>
        <w:bottom w:val="none" w:sz="0" w:space="0" w:color="auto"/>
        <w:right w:val="none" w:sz="0" w:space="0" w:color="auto"/>
      </w:divBdr>
    </w:div>
    <w:div w:id="107480614">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23741808">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39613454">
      <w:bodyDiv w:val="1"/>
      <w:marLeft w:val="0"/>
      <w:marRight w:val="0"/>
      <w:marTop w:val="0"/>
      <w:marBottom w:val="0"/>
      <w:divBdr>
        <w:top w:val="none" w:sz="0" w:space="0" w:color="auto"/>
        <w:left w:val="none" w:sz="0" w:space="0" w:color="auto"/>
        <w:bottom w:val="none" w:sz="0" w:space="0" w:color="auto"/>
        <w:right w:val="none" w:sz="0" w:space="0" w:color="auto"/>
      </w:divBdr>
    </w:div>
    <w:div w:id="153298529">
      <w:bodyDiv w:val="1"/>
      <w:marLeft w:val="0"/>
      <w:marRight w:val="0"/>
      <w:marTop w:val="0"/>
      <w:marBottom w:val="0"/>
      <w:divBdr>
        <w:top w:val="none" w:sz="0" w:space="0" w:color="auto"/>
        <w:left w:val="none" w:sz="0" w:space="0" w:color="auto"/>
        <w:bottom w:val="none" w:sz="0" w:space="0" w:color="auto"/>
        <w:right w:val="none" w:sz="0" w:space="0" w:color="auto"/>
      </w:divBdr>
    </w:div>
    <w:div w:id="156699497">
      <w:bodyDiv w:val="1"/>
      <w:marLeft w:val="0"/>
      <w:marRight w:val="0"/>
      <w:marTop w:val="0"/>
      <w:marBottom w:val="0"/>
      <w:divBdr>
        <w:top w:val="none" w:sz="0" w:space="0" w:color="auto"/>
        <w:left w:val="none" w:sz="0" w:space="0" w:color="auto"/>
        <w:bottom w:val="none" w:sz="0" w:space="0" w:color="auto"/>
        <w:right w:val="none" w:sz="0" w:space="0" w:color="auto"/>
      </w:divBdr>
    </w:div>
    <w:div w:id="158274397">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198006304">
      <w:bodyDiv w:val="1"/>
      <w:marLeft w:val="0"/>
      <w:marRight w:val="0"/>
      <w:marTop w:val="0"/>
      <w:marBottom w:val="0"/>
      <w:divBdr>
        <w:top w:val="none" w:sz="0" w:space="0" w:color="auto"/>
        <w:left w:val="none" w:sz="0" w:space="0" w:color="auto"/>
        <w:bottom w:val="none" w:sz="0" w:space="0" w:color="auto"/>
        <w:right w:val="none" w:sz="0" w:space="0" w:color="auto"/>
      </w:divBdr>
    </w:div>
    <w:div w:id="214003931">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55872037">
      <w:bodyDiv w:val="1"/>
      <w:marLeft w:val="0"/>
      <w:marRight w:val="0"/>
      <w:marTop w:val="0"/>
      <w:marBottom w:val="0"/>
      <w:divBdr>
        <w:top w:val="none" w:sz="0" w:space="0" w:color="auto"/>
        <w:left w:val="none" w:sz="0" w:space="0" w:color="auto"/>
        <w:bottom w:val="none" w:sz="0" w:space="0" w:color="auto"/>
        <w:right w:val="none" w:sz="0" w:space="0" w:color="auto"/>
      </w:divBdr>
    </w:div>
    <w:div w:id="257493491">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1035735">
      <w:bodyDiv w:val="1"/>
      <w:marLeft w:val="0"/>
      <w:marRight w:val="0"/>
      <w:marTop w:val="0"/>
      <w:marBottom w:val="0"/>
      <w:divBdr>
        <w:top w:val="none" w:sz="0" w:space="0" w:color="auto"/>
        <w:left w:val="none" w:sz="0" w:space="0" w:color="auto"/>
        <w:bottom w:val="none" w:sz="0" w:space="0" w:color="auto"/>
        <w:right w:val="none" w:sz="0" w:space="0" w:color="auto"/>
      </w:divBdr>
    </w:div>
    <w:div w:id="282543905">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44796363">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83873001">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362796">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34440916">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68085270">
      <w:bodyDiv w:val="1"/>
      <w:marLeft w:val="0"/>
      <w:marRight w:val="0"/>
      <w:marTop w:val="0"/>
      <w:marBottom w:val="0"/>
      <w:divBdr>
        <w:top w:val="none" w:sz="0" w:space="0" w:color="auto"/>
        <w:left w:val="none" w:sz="0" w:space="0" w:color="auto"/>
        <w:bottom w:val="none" w:sz="0" w:space="0" w:color="auto"/>
        <w:right w:val="none" w:sz="0" w:space="0" w:color="auto"/>
      </w:divBdr>
    </w:div>
    <w:div w:id="478690919">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495145490">
      <w:bodyDiv w:val="1"/>
      <w:marLeft w:val="0"/>
      <w:marRight w:val="0"/>
      <w:marTop w:val="0"/>
      <w:marBottom w:val="0"/>
      <w:divBdr>
        <w:top w:val="none" w:sz="0" w:space="0" w:color="auto"/>
        <w:left w:val="none" w:sz="0" w:space="0" w:color="auto"/>
        <w:bottom w:val="none" w:sz="0" w:space="0" w:color="auto"/>
        <w:right w:val="none" w:sz="0" w:space="0" w:color="auto"/>
      </w:divBdr>
    </w:div>
    <w:div w:id="516695557">
      <w:bodyDiv w:val="1"/>
      <w:marLeft w:val="0"/>
      <w:marRight w:val="0"/>
      <w:marTop w:val="0"/>
      <w:marBottom w:val="0"/>
      <w:divBdr>
        <w:top w:val="none" w:sz="0" w:space="0" w:color="auto"/>
        <w:left w:val="none" w:sz="0" w:space="0" w:color="auto"/>
        <w:bottom w:val="none" w:sz="0" w:space="0" w:color="auto"/>
        <w:right w:val="none" w:sz="0" w:space="0" w:color="auto"/>
      </w:divBdr>
    </w:div>
    <w:div w:id="536087316">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49418902">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15255438">
      <w:bodyDiv w:val="1"/>
      <w:marLeft w:val="0"/>
      <w:marRight w:val="0"/>
      <w:marTop w:val="0"/>
      <w:marBottom w:val="0"/>
      <w:divBdr>
        <w:top w:val="none" w:sz="0" w:space="0" w:color="auto"/>
        <w:left w:val="none" w:sz="0" w:space="0" w:color="auto"/>
        <w:bottom w:val="none" w:sz="0" w:space="0" w:color="auto"/>
        <w:right w:val="none" w:sz="0" w:space="0" w:color="auto"/>
      </w:divBdr>
    </w:div>
    <w:div w:id="647394167">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86100649">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34857338">
      <w:bodyDiv w:val="1"/>
      <w:marLeft w:val="0"/>
      <w:marRight w:val="0"/>
      <w:marTop w:val="0"/>
      <w:marBottom w:val="0"/>
      <w:divBdr>
        <w:top w:val="none" w:sz="0" w:space="0" w:color="auto"/>
        <w:left w:val="none" w:sz="0" w:space="0" w:color="auto"/>
        <w:bottom w:val="none" w:sz="0" w:space="0" w:color="auto"/>
        <w:right w:val="none" w:sz="0" w:space="0" w:color="auto"/>
      </w:divBdr>
    </w:div>
    <w:div w:id="741412818">
      <w:bodyDiv w:val="1"/>
      <w:marLeft w:val="0"/>
      <w:marRight w:val="0"/>
      <w:marTop w:val="0"/>
      <w:marBottom w:val="0"/>
      <w:divBdr>
        <w:top w:val="none" w:sz="0" w:space="0" w:color="auto"/>
        <w:left w:val="none" w:sz="0" w:space="0" w:color="auto"/>
        <w:bottom w:val="none" w:sz="0" w:space="0" w:color="auto"/>
        <w:right w:val="none" w:sz="0" w:space="0" w:color="auto"/>
      </w:divBdr>
    </w:div>
    <w:div w:id="754861377">
      <w:bodyDiv w:val="1"/>
      <w:marLeft w:val="0"/>
      <w:marRight w:val="0"/>
      <w:marTop w:val="0"/>
      <w:marBottom w:val="0"/>
      <w:divBdr>
        <w:top w:val="none" w:sz="0" w:space="0" w:color="auto"/>
        <w:left w:val="none" w:sz="0" w:space="0" w:color="auto"/>
        <w:bottom w:val="none" w:sz="0" w:space="0" w:color="auto"/>
        <w:right w:val="none" w:sz="0" w:space="0" w:color="auto"/>
      </w:divBdr>
    </w:div>
    <w:div w:id="765417112">
      <w:bodyDiv w:val="1"/>
      <w:marLeft w:val="0"/>
      <w:marRight w:val="0"/>
      <w:marTop w:val="0"/>
      <w:marBottom w:val="0"/>
      <w:divBdr>
        <w:top w:val="none" w:sz="0" w:space="0" w:color="auto"/>
        <w:left w:val="none" w:sz="0" w:space="0" w:color="auto"/>
        <w:bottom w:val="none" w:sz="0" w:space="0" w:color="auto"/>
        <w:right w:val="none" w:sz="0" w:space="0" w:color="auto"/>
      </w:divBdr>
    </w:div>
    <w:div w:id="767652123">
      <w:bodyDiv w:val="1"/>
      <w:marLeft w:val="0"/>
      <w:marRight w:val="0"/>
      <w:marTop w:val="0"/>
      <w:marBottom w:val="0"/>
      <w:divBdr>
        <w:top w:val="none" w:sz="0" w:space="0" w:color="auto"/>
        <w:left w:val="none" w:sz="0" w:space="0" w:color="auto"/>
        <w:bottom w:val="none" w:sz="0" w:space="0" w:color="auto"/>
        <w:right w:val="none" w:sz="0" w:space="0" w:color="auto"/>
      </w:divBdr>
    </w:div>
    <w:div w:id="793329890">
      <w:bodyDiv w:val="1"/>
      <w:marLeft w:val="0"/>
      <w:marRight w:val="0"/>
      <w:marTop w:val="0"/>
      <w:marBottom w:val="0"/>
      <w:divBdr>
        <w:top w:val="none" w:sz="0" w:space="0" w:color="auto"/>
        <w:left w:val="none" w:sz="0" w:space="0" w:color="auto"/>
        <w:bottom w:val="none" w:sz="0" w:space="0" w:color="auto"/>
        <w:right w:val="none" w:sz="0" w:space="0" w:color="auto"/>
      </w:divBdr>
    </w:div>
    <w:div w:id="844170095">
      <w:bodyDiv w:val="1"/>
      <w:marLeft w:val="0"/>
      <w:marRight w:val="0"/>
      <w:marTop w:val="0"/>
      <w:marBottom w:val="0"/>
      <w:divBdr>
        <w:top w:val="none" w:sz="0" w:space="0" w:color="auto"/>
        <w:left w:val="none" w:sz="0" w:space="0" w:color="auto"/>
        <w:bottom w:val="none" w:sz="0" w:space="0" w:color="auto"/>
        <w:right w:val="none" w:sz="0" w:space="0" w:color="auto"/>
      </w:divBdr>
    </w:div>
    <w:div w:id="858086944">
      <w:bodyDiv w:val="1"/>
      <w:marLeft w:val="0"/>
      <w:marRight w:val="0"/>
      <w:marTop w:val="0"/>
      <w:marBottom w:val="0"/>
      <w:divBdr>
        <w:top w:val="none" w:sz="0" w:space="0" w:color="auto"/>
        <w:left w:val="none" w:sz="0" w:space="0" w:color="auto"/>
        <w:bottom w:val="none" w:sz="0" w:space="0" w:color="auto"/>
        <w:right w:val="none" w:sz="0" w:space="0" w:color="auto"/>
      </w:divBdr>
    </w:div>
    <w:div w:id="865944739">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886641880">
      <w:bodyDiv w:val="1"/>
      <w:marLeft w:val="0"/>
      <w:marRight w:val="0"/>
      <w:marTop w:val="0"/>
      <w:marBottom w:val="0"/>
      <w:divBdr>
        <w:top w:val="none" w:sz="0" w:space="0" w:color="auto"/>
        <w:left w:val="none" w:sz="0" w:space="0" w:color="auto"/>
        <w:bottom w:val="none" w:sz="0" w:space="0" w:color="auto"/>
        <w:right w:val="none" w:sz="0" w:space="0" w:color="auto"/>
      </w:divBdr>
    </w:div>
    <w:div w:id="903610673">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995113163">
      <w:bodyDiv w:val="1"/>
      <w:marLeft w:val="0"/>
      <w:marRight w:val="0"/>
      <w:marTop w:val="0"/>
      <w:marBottom w:val="0"/>
      <w:divBdr>
        <w:top w:val="none" w:sz="0" w:space="0" w:color="auto"/>
        <w:left w:val="none" w:sz="0" w:space="0" w:color="auto"/>
        <w:bottom w:val="none" w:sz="0" w:space="0" w:color="auto"/>
        <w:right w:val="none" w:sz="0" w:space="0" w:color="auto"/>
      </w:divBdr>
    </w:div>
    <w:div w:id="1041856012">
      <w:bodyDiv w:val="1"/>
      <w:marLeft w:val="0"/>
      <w:marRight w:val="0"/>
      <w:marTop w:val="0"/>
      <w:marBottom w:val="0"/>
      <w:divBdr>
        <w:top w:val="none" w:sz="0" w:space="0" w:color="auto"/>
        <w:left w:val="none" w:sz="0" w:space="0" w:color="auto"/>
        <w:bottom w:val="none" w:sz="0" w:space="0" w:color="auto"/>
        <w:right w:val="none" w:sz="0" w:space="0" w:color="auto"/>
      </w:divBdr>
    </w:div>
    <w:div w:id="1080101988">
      <w:bodyDiv w:val="1"/>
      <w:marLeft w:val="0"/>
      <w:marRight w:val="0"/>
      <w:marTop w:val="0"/>
      <w:marBottom w:val="0"/>
      <w:divBdr>
        <w:top w:val="none" w:sz="0" w:space="0" w:color="auto"/>
        <w:left w:val="none" w:sz="0" w:space="0" w:color="auto"/>
        <w:bottom w:val="none" w:sz="0" w:space="0" w:color="auto"/>
        <w:right w:val="none" w:sz="0" w:space="0" w:color="auto"/>
      </w:divBdr>
    </w:div>
    <w:div w:id="1084106740">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180393474">
      <w:bodyDiv w:val="1"/>
      <w:marLeft w:val="0"/>
      <w:marRight w:val="0"/>
      <w:marTop w:val="0"/>
      <w:marBottom w:val="0"/>
      <w:divBdr>
        <w:top w:val="none" w:sz="0" w:space="0" w:color="auto"/>
        <w:left w:val="none" w:sz="0" w:space="0" w:color="auto"/>
        <w:bottom w:val="none" w:sz="0" w:space="0" w:color="auto"/>
        <w:right w:val="none" w:sz="0" w:space="0" w:color="auto"/>
      </w:divBdr>
    </w:div>
    <w:div w:id="1188175135">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38124984">
      <w:bodyDiv w:val="1"/>
      <w:marLeft w:val="0"/>
      <w:marRight w:val="0"/>
      <w:marTop w:val="0"/>
      <w:marBottom w:val="0"/>
      <w:divBdr>
        <w:top w:val="none" w:sz="0" w:space="0" w:color="auto"/>
        <w:left w:val="none" w:sz="0" w:space="0" w:color="auto"/>
        <w:bottom w:val="none" w:sz="0" w:space="0" w:color="auto"/>
        <w:right w:val="none" w:sz="0" w:space="0" w:color="auto"/>
      </w:divBdr>
    </w:div>
    <w:div w:id="1242250885">
      <w:bodyDiv w:val="1"/>
      <w:marLeft w:val="0"/>
      <w:marRight w:val="0"/>
      <w:marTop w:val="0"/>
      <w:marBottom w:val="0"/>
      <w:divBdr>
        <w:top w:val="none" w:sz="0" w:space="0" w:color="auto"/>
        <w:left w:val="none" w:sz="0" w:space="0" w:color="auto"/>
        <w:bottom w:val="none" w:sz="0" w:space="0" w:color="auto"/>
        <w:right w:val="none" w:sz="0" w:space="0" w:color="auto"/>
      </w:divBdr>
    </w:div>
    <w:div w:id="1269121758">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56269440">
      <w:bodyDiv w:val="1"/>
      <w:marLeft w:val="0"/>
      <w:marRight w:val="0"/>
      <w:marTop w:val="0"/>
      <w:marBottom w:val="0"/>
      <w:divBdr>
        <w:top w:val="none" w:sz="0" w:space="0" w:color="auto"/>
        <w:left w:val="none" w:sz="0" w:space="0" w:color="auto"/>
        <w:bottom w:val="none" w:sz="0" w:space="0" w:color="auto"/>
        <w:right w:val="none" w:sz="0" w:space="0" w:color="auto"/>
      </w:divBdr>
    </w:div>
    <w:div w:id="1364985160">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83554933">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33937471">
      <w:bodyDiv w:val="1"/>
      <w:marLeft w:val="0"/>
      <w:marRight w:val="0"/>
      <w:marTop w:val="0"/>
      <w:marBottom w:val="0"/>
      <w:divBdr>
        <w:top w:val="none" w:sz="0" w:space="0" w:color="auto"/>
        <w:left w:val="none" w:sz="0" w:space="0" w:color="auto"/>
        <w:bottom w:val="none" w:sz="0" w:space="0" w:color="auto"/>
        <w:right w:val="none" w:sz="0" w:space="0" w:color="auto"/>
      </w:divBdr>
    </w:div>
    <w:div w:id="1451776235">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532256436">
      <w:bodyDiv w:val="1"/>
      <w:marLeft w:val="0"/>
      <w:marRight w:val="0"/>
      <w:marTop w:val="0"/>
      <w:marBottom w:val="0"/>
      <w:divBdr>
        <w:top w:val="none" w:sz="0" w:space="0" w:color="auto"/>
        <w:left w:val="none" w:sz="0" w:space="0" w:color="auto"/>
        <w:bottom w:val="none" w:sz="0" w:space="0" w:color="auto"/>
        <w:right w:val="none" w:sz="0" w:space="0" w:color="auto"/>
      </w:divBdr>
    </w:div>
    <w:div w:id="1537081444">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580749783">
      <w:bodyDiv w:val="1"/>
      <w:marLeft w:val="0"/>
      <w:marRight w:val="0"/>
      <w:marTop w:val="0"/>
      <w:marBottom w:val="0"/>
      <w:divBdr>
        <w:top w:val="none" w:sz="0" w:space="0" w:color="auto"/>
        <w:left w:val="none" w:sz="0" w:space="0" w:color="auto"/>
        <w:bottom w:val="none" w:sz="0" w:space="0" w:color="auto"/>
        <w:right w:val="none" w:sz="0" w:space="0" w:color="auto"/>
      </w:divBdr>
    </w:div>
    <w:div w:id="1616205794">
      <w:bodyDiv w:val="1"/>
      <w:marLeft w:val="0"/>
      <w:marRight w:val="0"/>
      <w:marTop w:val="0"/>
      <w:marBottom w:val="0"/>
      <w:divBdr>
        <w:top w:val="none" w:sz="0" w:space="0" w:color="auto"/>
        <w:left w:val="none" w:sz="0" w:space="0" w:color="auto"/>
        <w:bottom w:val="none" w:sz="0" w:space="0" w:color="auto"/>
        <w:right w:val="none" w:sz="0" w:space="0" w:color="auto"/>
      </w:divBdr>
    </w:div>
    <w:div w:id="1619482794">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690331189">
      <w:bodyDiv w:val="1"/>
      <w:marLeft w:val="0"/>
      <w:marRight w:val="0"/>
      <w:marTop w:val="0"/>
      <w:marBottom w:val="0"/>
      <w:divBdr>
        <w:top w:val="none" w:sz="0" w:space="0" w:color="auto"/>
        <w:left w:val="none" w:sz="0" w:space="0" w:color="auto"/>
        <w:bottom w:val="none" w:sz="0" w:space="0" w:color="auto"/>
        <w:right w:val="none" w:sz="0" w:space="0" w:color="auto"/>
      </w:divBdr>
    </w:div>
    <w:div w:id="17233585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37587376">
      <w:bodyDiv w:val="1"/>
      <w:marLeft w:val="0"/>
      <w:marRight w:val="0"/>
      <w:marTop w:val="0"/>
      <w:marBottom w:val="0"/>
      <w:divBdr>
        <w:top w:val="none" w:sz="0" w:space="0" w:color="auto"/>
        <w:left w:val="none" w:sz="0" w:space="0" w:color="auto"/>
        <w:bottom w:val="none" w:sz="0" w:space="0" w:color="auto"/>
        <w:right w:val="none" w:sz="0" w:space="0" w:color="auto"/>
      </w:divBdr>
    </w:div>
    <w:div w:id="1752506117">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59331871">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790203177">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24925955">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57766432">
      <w:bodyDiv w:val="1"/>
      <w:marLeft w:val="0"/>
      <w:marRight w:val="0"/>
      <w:marTop w:val="0"/>
      <w:marBottom w:val="0"/>
      <w:divBdr>
        <w:top w:val="none" w:sz="0" w:space="0" w:color="auto"/>
        <w:left w:val="none" w:sz="0" w:space="0" w:color="auto"/>
        <w:bottom w:val="none" w:sz="0" w:space="0" w:color="auto"/>
        <w:right w:val="none" w:sz="0" w:space="0" w:color="auto"/>
      </w:divBdr>
    </w:div>
    <w:div w:id="1890527503">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03370829">
      <w:bodyDiv w:val="1"/>
      <w:marLeft w:val="0"/>
      <w:marRight w:val="0"/>
      <w:marTop w:val="0"/>
      <w:marBottom w:val="0"/>
      <w:divBdr>
        <w:top w:val="none" w:sz="0" w:space="0" w:color="auto"/>
        <w:left w:val="none" w:sz="0" w:space="0" w:color="auto"/>
        <w:bottom w:val="none" w:sz="0" w:space="0" w:color="auto"/>
        <w:right w:val="none" w:sz="0" w:space="0" w:color="auto"/>
      </w:divBdr>
    </w:div>
    <w:div w:id="1913999567">
      <w:bodyDiv w:val="1"/>
      <w:marLeft w:val="0"/>
      <w:marRight w:val="0"/>
      <w:marTop w:val="0"/>
      <w:marBottom w:val="0"/>
      <w:divBdr>
        <w:top w:val="none" w:sz="0" w:space="0" w:color="auto"/>
        <w:left w:val="none" w:sz="0" w:space="0" w:color="auto"/>
        <w:bottom w:val="none" w:sz="0" w:space="0" w:color="auto"/>
        <w:right w:val="none" w:sz="0" w:space="0" w:color="auto"/>
      </w:divBdr>
    </w:div>
    <w:div w:id="1915775507">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1991596248">
      <w:bodyDiv w:val="1"/>
      <w:marLeft w:val="0"/>
      <w:marRight w:val="0"/>
      <w:marTop w:val="0"/>
      <w:marBottom w:val="0"/>
      <w:divBdr>
        <w:top w:val="none" w:sz="0" w:space="0" w:color="auto"/>
        <w:left w:val="none" w:sz="0" w:space="0" w:color="auto"/>
        <w:bottom w:val="none" w:sz="0" w:space="0" w:color="auto"/>
        <w:right w:val="none" w:sz="0" w:space="0" w:color="auto"/>
      </w:divBdr>
    </w:div>
    <w:div w:id="2001276612">
      <w:bodyDiv w:val="1"/>
      <w:marLeft w:val="0"/>
      <w:marRight w:val="0"/>
      <w:marTop w:val="0"/>
      <w:marBottom w:val="0"/>
      <w:divBdr>
        <w:top w:val="none" w:sz="0" w:space="0" w:color="auto"/>
        <w:left w:val="none" w:sz="0" w:space="0" w:color="auto"/>
        <w:bottom w:val="none" w:sz="0" w:space="0" w:color="auto"/>
        <w:right w:val="none" w:sz="0" w:space="0" w:color="auto"/>
      </w:divBdr>
    </w:div>
    <w:div w:id="2003042773">
      <w:bodyDiv w:val="1"/>
      <w:marLeft w:val="0"/>
      <w:marRight w:val="0"/>
      <w:marTop w:val="0"/>
      <w:marBottom w:val="0"/>
      <w:divBdr>
        <w:top w:val="none" w:sz="0" w:space="0" w:color="auto"/>
        <w:left w:val="none" w:sz="0" w:space="0" w:color="auto"/>
        <w:bottom w:val="none" w:sz="0" w:space="0" w:color="auto"/>
        <w:right w:val="none" w:sz="0" w:space="0" w:color="auto"/>
      </w:divBdr>
    </w:div>
    <w:div w:id="2003269296">
      <w:bodyDiv w:val="1"/>
      <w:marLeft w:val="0"/>
      <w:marRight w:val="0"/>
      <w:marTop w:val="0"/>
      <w:marBottom w:val="0"/>
      <w:divBdr>
        <w:top w:val="none" w:sz="0" w:space="0" w:color="auto"/>
        <w:left w:val="none" w:sz="0" w:space="0" w:color="auto"/>
        <w:bottom w:val="none" w:sz="0" w:space="0" w:color="auto"/>
        <w:right w:val="none" w:sz="0" w:space="0" w:color="auto"/>
      </w:divBdr>
    </w:div>
    <w:div w:id="2018267998">
      <w:bodyDiv w:val="1"/>
      <w:marLeft w:val="0"/>
      <w:marRight w:val="0"/>
      <w:marTop w:val="0"/>
      <w:marBottom w:val="0"/>
      <w:divBdr>
        <w:top w:val="none" w:sz="0" w:space="0" w:color="auto"/>
        <w:left w:val="none" w:sz="0" w:space="0" w:color="auto"/>
        <w:bottom w:val="none" w:sz="0" w:space="0" w:color="auto"/>
        <w:right w:val="none" w:sz="0" w:space="0" w:color="auto"/>
      </w:divBdr>
    </w:div>
    <w:div w:id="2043555743">
      <w:bodyDiv w:val="1"/>
      <w:marLeft w:val="0"/>
      <w:marRight w:val="0"/>
      <w:marTop w:val="0"/>
      <w:marBottom w:val="0"/>
      <w:divBdr>
        <w:top w:val="none" w:sz="0" w:space="0" w:color="auto"/>
        <w:left w:val="none" w:sz="0" w:space="0" w:color="auto"/>
        <w:bottom w:val="none" w:sz="0" w:space="0" w:color="auto"/>
        <w:right w:val="none" w:sz="0" w:space="0" w:color="auto"/>
      </w:divBdr>
    </w:div>
    <w:div w:id="2053460817">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66247172">
      <w:bodyDiv w:val="1"/>
      <w:marLeft w:val="0"/>
      <w:marRight w:val="0"/>
      <w:marTop w:val="0"/>
      <w:marBottom w:val="0"/>
      <w:divBdr>
        <w:top w:val="none" w:sz="0" w:space="0" w:color="auto"/>
        <w:left w:val="none" w:sz="0" w:space="0" w:color="auto"/>
        <w:bottom w:val="none" w:sz="0" w:space="0" w:color="auto"/>
        <w:right w:val="none" w:sz="0" w:space="0" w:color="auto"/>
      </w:divBdr>
    </w:div>
    <w:div w:id="208283073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089647736">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sondelaculture.p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D3556-8F89-4C96-A507-21355E403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3566</Words>
  <Characters>19616</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Katell KP. PERENNOU</dc:creator>
  <cp:lastModifiedBy>Thibault TM. MARAIS</cp:lastModifiedBy>
  <cp:revision>2</cp:revision>
  <cp:lastPrinted>2019-12-03T18:24:00Z</cp:lastPrinted>
  <dcterms:created xsi:type="dcterms:W3CDTF">2020-09-24T00:37:00Z</dcterms:created>
  <dcterms:modified xsi:type="dcterms:W3CDTF">2020-09-24T00:37:00Z</dcterms:modified>
</cp:coreProperties>
</file>