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693F08" w:rsidRDefault="00CE47CE" w:rsidP="00CE47CE">
      <w:pPr>
        <w:pStyle w:val="Sansinterligne"/>
        <w:rPr>
          <w:rFonts w:asciiTheme="majorHAnsi" w:hAnsiTheme="majorHAnsi"/>
          <w:lang w:eastAsia="fr-FR"/>
        </w:rPr>
      </w:pPr>
      <w:r w:rsidRPr="00693F08">
        <w:rPr>
          <w:rFonts w:asciiTheme="majorHAnsi" w:hAnsiTheme="majorHAnsi"/>
          <w:noProof/>
          <w:lang w:eastAsia="fr-FR"/>
        </w:rPr>
        <w:drawing>
          <wp:anchor distT="0" distB="0" distL="114300" distR="114300" simplePos="0" relativeHeight="251659264" behindDoc="1" locked="0" layoutInCell="1" allowOverlap="1" wp14:anchorId="340143FC" wp14:editId="2F99E627">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693F08">
        <w:rPr>
          <w:rFonts w:asciiTheme="majorHAnsi" w:hAnsiTheme="majorHAnsi"/>
          <w:noProof/>
          <w:lang w:eastAsia="fr-FR"/>
        </w:rPr>
        <mc:AlternateContent>
          <mc:Choice Requires="wps">
            <w:drawing>
              <wp:anchor distT="45720" distB="45720" distL="114300" distR="114300" simplePos="0" relativeHeight="251660288" behindDoc="0" locked="0" layoutInCell="1" allowOverlap="1" wp14:anchorId="3E1F2436" wp14:editId="4BBCEE61">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F2436"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693F08">
        <w:rPr>
          <w:rFonts w:asciiTheme="majorHAnsi" w:hAnsiTheme="majorHAnsi"/>
          <w:lang w:eastAsia="fr-FR"/>
        </w:rPr>
        <w:tab/>
        <w:t xml:space="preserve">      </w:t>
      </w:r>
    </w:p>
    <w:p w:rsidR="00CE47CE" w:rsidRPr="00693F08" w:rsidRDefault="00CE47CE" w:rsidP="00CE47CE">
      <w:pPr>
        <w:jc w:val="cente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tabs>
          <w:tab w:val="center" w:pos="4533"/>
          <w:tab w:val="left" w:pos="6544"/>
        </w:tabs>
        <w:rPr>
          <w:rFonts w:asciiTheme="majorHAnsi" w:hAnsiTheme="majorHAnsi"/>
          <w:u w:val="single"/>
        </w:rPr>
      </w:pPr>
      <w:r w:rsidRPr="00693F08">
        <w:rPr>
          <w:rFonts w:asciiTheme="majorHAnsi" w:hAnsiTheme="majorHAnsi" w:cs="Arial"/>
          <w:i/>
          <w:noProof/>
          <w:lang w:eastAsia="fr-FR"/>
        </w:rPr>
        <mc:AlternateContent>
          <mc:Choice Requires="wps">
            <w:drawing>
              <wp:anchor distT="4294967295" distB="4294967295" distL="114300" distR="114300" simplePos="0" relativeHeight="251662336" behindDoc="0" locked="0" layoutInCell="1" allowOverlap="1" wp14:anchorId="2A11D303" wp14:editId="08D8D06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80C08F"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693F08" w:rsidRDefault="00CE47CE" w:rsidP="00CE47CE">
      <w:pPr>
        <w:tabs>
          <w:tab w:val="left" w:pos="3240"/>
        </w:tabs>
        <w:jc w:val="center"/>
        <w:rPr>
          <w:rFonts w:asciiTheme="majorHAnsi" w:hAnsiTheme="majorHAnsi" w:cs="Arial"/>
          <w:b/>
        </w:rPr>
      </w:pPr>
      <w:r w:rsidRPr="00693F08">
        <w:rPr>
          <w:rFonts w:asciiTheme="majorHAnsi" w:hAnsiTheme="majorHAnsi" w:cs="Arial"/>
          <w:b/>
        </w:rPr>
        <w:t>BUREAU DE LA COMMUNICATION</w:t>
      </w:r>
    </w:p>
    <w:p w:rsidR="00CE47CE" w:rsidRPr="00693F08" w:rsidRDefault="007A7556" w:rsidP="00CE47CE">
      <w:pPr>
        <w:tabs>
          <w:tab w:val="left" w:pos="3240"/>
        </w:tabs>
        <w:jc w:val="center"/>
        <w:rPr>
          <w:rFonts w:asciiTheme="majorHAnsi" w:hAnsiTheme="majorHAnsi" w:cs="Arial"/>
          <w:b/>
          <w:i/>
        </w:rPr>
      </w:pPr>
      <w:r>
        <w:rPr>
          <w:rFonts w:asciiTheme="majorHAnsi" w:hAnsiTheme="majorHAnsi" w:cs="Arial"/>
          <w:b/>
          <w:i/>
        </w:rPr>
        <w:t>Mercredi 2</w:t>
      </w:r>
      <w:r w:rsidR="00762278">
        <w:rPr>
          <w:rFonts w:asciiTheme="majorHAnsi" w:hAnsiTheme="majorHAnsi" w:cs="Arial"/>
          <w:b/>
          <w:i/>
        </w:rPr>
        <w:t xml:space="preserve"> septembre</w:t>
      </w:r>
      <w:r>
        <w:rPr>
          <w:rFonts w:asciiTheme="majorHAnsi" w:hAnsiTheme="majorHAnsi" w:cs="Arial"/>
          <w:b/>
          <w:i/>
        </w:rPr>
        <w:t xml:space="preserve"> </w:t>
      </w:r>
      <w:r w:rsidR="00087CFE" w:rsidRPr="00693F08">
        <w:rPr>
          <w:rFonts w:asciiTheme="majorHAnsi" w:hAnsiTheme="majorHAnsi" w:cs="Arial"/>
          <w:b/>
          <w:i/>
        </w:rPr>
        <w:t>2020</w:t>
      </w:r>
    </w:p>
    <w:p w:rsidR="00CE47CE" w:rsidRPr="00693F08" w:rsidRDefault="00CE47CE" w:rsidP="00CE47CE">
      <w:pPr>
        <w:tabs>
          <w:tab w:val="left" w:pos="3240"/>
        </w:tabs>
        <w:jc w:val="center"/>
        <w:rPr>
          <w:rFonts w:asciiTheme="majorHAnsi" w:hAnsiTheme="majorHAnsi"/>
        </w:rPr>
      </w:pPr>
      <w:r w:rsidRPr="00693F08">
        <w:rPr>
          <w:rFonts w:asciiTheme="majorHAnsi" w:hAnsiTheme="majorHAnsi" w:cs="Arial"/>
          <w:i/>
          <w:noProof/>
          <w:lang w:eastAsia="fr-FR"/>
        </w:rPr>
        <mc:AlternateContent>
          <mc:Choice Requires="wps">
            <w:drawing>
              <wp:anchor distT="4294967295" distB="4294967295" distL="114300" distR="114300" simplePos="0" relativeHeight="251661312" behindDoc="0" locked="0" layoutInCell="1" allowOverlap="1" wp14:anchorId="00C04070" wp14:editId="6A74B890">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B70D7B"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693F08" w:rsidRDefault="00CE47CE" w:rsidP="00CE47CE">
      <w:pPr>
        <w:tabs>
          <w:tab w:val="left" w:pos="3240"/>
        </w:tabs>
        <w:rPr>
          <w:rFonts w:asciiTheme="majorHAnsi" w:hAnsiTheme="majorHAnsi" w:cs="Arial"/>
          <w:b/>
          <w:i/>
        </w:rPr>
      </w:pPr>
    </w:p>
    <w:p w:rsidR="00CE47CE" w:rsidRPr="00693F08"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Theme="majorHAnsi" w:hAnsiTheme="majorHAnsi"/>
          <w:b/>
        </w:rPr>
      </w:pPr>
      <w:r w:rsidRPr="00693F08">
        <w:rPr>
          <w:rFonts w:asciiTheme="majorHAnsi" w:hAnsiTheme="majorHAnsi"/>
          <w:b/>
        </w:rPr>
        <w:tab/>
        <w:t xml:space="preserve">Compte rendu du Conseil des ministres </w:t>
      </w:r>
    </w:p>
    <w:p w:rsidR="00762278" w:rsidRDefault="00762278" w:rsidP="003C5FFF">
      <w:pPr>
        <w:pStyle w:val="-LettreSuiteORefPJGEDA"/>
        <w:ind w:left="0"/>
        <w:rPr>
          <w:rFonts w:asciiTheme="majorHAnsi" w:hAnsiTheme="majorHAnsi"/>
        </w:rPr>
      </w:pPr>
    </w:p>
    <w:p w:rsidR="00762278" w:rsidRDefault="00762278" w:rsidP="003C5FFF">
      <w:pPr>
        <w:pStyle w:val="-LettreSuiteORefPJGEDA"/>
        <w:ind w:left="0"/>
        <w:rPr>
          <w:rFonts w:asciiTheme="majorHAnsi" w:hAnsiTheme="majorHAnsi"/>
        </w:rPr>
      </w:pPr>
    </w:p>
    <w:p w:rsidR="00762278" w:rsidRDefault="00762278" w:rsidP="00762278">
      <w:pPr>
        <w:jc w:val="both"/>
        <w:rPr>
          <w:sz w:val="22"/>
          <w:szCs w:val="22"/>
          <w:lang w:eastAsia="en-US"/>
        </w:rPr>
      </w:pPr>
      <w:r>
        <w:rPr>
          <w:rFonts w:ascii="Cambria" w:hAnsi="Cambria"/>
          <w:b/>
          <w:bCs/>
        </w:rPr>
        <w:t xml:space="preserve">Tarifs d’affranchissement postal </w:t>
      </w:r>
    </w:p>
    <w:p w:rsidR="00762278" w:rsidRDefault="00762278" w:rsidP="00762278">
      <w:pPr>
        <w:jc w:val="both"/>
      </w:pPr>
      <w:r>
        <w:rPr>
          <w:rFonts w:ascii="Cambria" w:hAnsi="Cambria"/>
        </w:rPr>
        <w:t> </w:t>
      </w:r>
    </w:p>
    <w:p w:rsidR="00762278" w:rsidRDefault="00762278" w:rsidP="00762278">
      <w:pPr>
        <w:jc w:val="both"/>
      </w:pPr>
      <w:r>
        <w:rPr>
          <w:rFonts w:ascii="Cambria" w:hAnsi="Cambria"/>
        </w:rPr>
        <w:t xml:space="preserve">Le Conseil des ministres a approuvé l’arrêté rendant exécutoire la délibération du Conseil d’administration du 18 août dernier relative à la tarification d’affranchissement du courrier de la SAS </w:t>
      </w:r>
      <w:proofErr w:type="spellStart"/>
      <w:r>
        <w:rPr>
          <w:rFonts w:ascii="Cambria" w:hAnsi="Cambria"/>
        </w:rPr>
        <w:t>Fare</w:t>
      </w:r>
      <w:proofErr w:type="spellEnd"/>
      <w:r>
        <w:rPr>
          <w:rFonts w:ascii="Cambria" w:hAnsi="Cambria"/>
        </w:rPr>
        <w:t xml:space="preserve"> Rata. Depuis novembre 2015, en effet, aucune révision du tarif de la lettre de moins de 20g n’était intervenue, le tarif ayant été fixé à 80 </w:t>
      </w:r>
      <w:proofErr w:type="spellStart"/>
      <w:r>
        <w:rPr>
          <w:rFonts w:ascii="Cambria" w:hAnsi="Cambria"/>
        </w:rPr>
        <w:t>Fcfp</w:t>
      </w:r>
      <w:proofErr w:type="spellEnd"/>
      <w:r>
        <w:rPr>
          <w:rFonts w:ascii="Cambria" w:hAnsi="Cambria"/>
        </w:rPr>
        <w:t>, alors même que sur la période considérée, les charges de transport ont augmenté. Cette situation a impacté le compte de résultat de l’activité postale qui s’avère être déficitaire du fait d’un contexte économique postal polynésien qui connaît des contraintes particulières: géographiques notamment (acheminement et distribution sur une surface équivalent à celle de l’Europe), mais aussi économiques (taille des marchés insuffisante, structure déséquilibrée des flux internationaux, concurrence sur le secteur du colis rapide par des sociétés internationales), avec un coût élevé des acheminements avions et bateaux, et une forte tendance au développement du courrier électronique, avec également des nouveaux modes et moyens de correspondance et d’échange tirés des nouvelles technologies de la communication.</w:t>
      </w:r>
    </w:p>
    <w:p w:rsidR="00762278" w:rsidRDefault="00762278" w:rsidP="00762278">
      <w:pPr>
        <w:pStyle w:val="-LettreTexteGEDA"/>
        <w:spacing w:line="228" w:lineRule="auto"/>
        <w:ind w:firstLine="0"/>
      </w:pPr>
      <w:r>
        <w:rPr>
          <w:rFonts w:ascii="Cambria" w:hAnsi="Cambria"/>
        </w:rPr>
        <w:t> </w:t>
      </w:r>
    </w:p>
    <w:p w:rsidR="00762278" w:rsidRDefault="00762278" w:rsidP="00762278">
      <w:pPr>
        <w:pStyle w:val="-LettreTexteGEDA"/>
        <w:spacing w:line="228" w:lineRule="auto"/>
        <w:ind w:firstLine="0"/>
        <w:rPr>
          <w:rFonts w:ascii="Cambria" w:hAnsi="Cambria"/>
        </w:rPr>
      </w:pPr>
      <w:r>
        <w:rPr>
          <w:rFonts w:ascii="Cambria" w:hAnsi="Cambria"/>
        </w:rPr>
        <w:t>La convention d’objectifs de performance entre la SAS Fare Rata, l’OPT (Office des postes et télécommunications) et le Pays, prévoit une augmentation des tarifs d’affranchissement de 20 % par an sur la période 2020-2022, applicable à compter du 1</w:t>
      </w:r>
      <w:r>
        <w:rPr>
          <w:rFonts w:ascii="Cambria" w:hAnsi="Cambria"/>
          <w:vertAlign w:val="superscript"/>
        </w:rPr>
        <w:t>er</w:t>
      </w:r>
      <w:r>
        <w:rPr>
          <w:rFonts w:ascii="Cambria" w:hAnsi="Cambria"/>
        </w:rPr>
        <w:t xml:space="preserve"> janvier de chaque année. Néanmoins, compte-tenu du contexte de la crise sanitaire du Covid, intervenue depuis le mois de mars 2020, et de ses répercussions sur la santé économique des entreprises polynésiennes, une augmentation modérée de 12,5 % a été </w:t>
      </w:r>
      <w:r w:rsidRPr="004B64D9">
        <w:rPr>
          <w:rFonts w:ascii="Cambria" w:hAnsi="Cambria"/>
        </w:rPr>
        <w:t>proposée pour l’année 2020, soit une hausse de 10 Fcfp par rapport au tarif actuel. Le tarif postal pour une lettre de 20 grammes va ainsi passer de 80 à 90 Fcfp pour cette année, à 110 Fcfp en 2021 et 130 Fcfp pour 2022.</w:t>
      </w:r>
    </w:p>
    <w:p w:rsidR="00C630D6" w:rsidRDefault="00C630D6" w:rsidP="00762278">
      <w:pPr>
        <w:pStyle w:val="-LettreTexteGEDA"/>
        <w:spacing w:line="228" w:lineRule="auto"/>
        <w:ind w:firstLine="0"/>
        <w:rPr>
          <w:rFonts w:ascii="Cambria" w:hAnsi="Cambria"/>
        </w:rPr>
      </w:pPr>
    </w:p>
    <w:p w:rsidR="003B6B55" w:rsidRDefault="00C630D6" w:rsidP="003B6B55">
      <w:pPr>
        <w:jc w:val="both"/>
        <w:rPr>
          <w:rFonts w:ascii="Cambria" w:hAnsi="Cambria"/>
        </w:rPr>
      </w:pPr>
      <w:r>
        <w:rPr>
          <w:rFonts w:ascii="Cambria" w:hAnsi="Cambria"/>
        </w:rPr>
        <w:t xml:space="preserve">Il convient de rappeler qu’en France métropolitaine, l’opérateur La Poste procède, une fois par an, à la révision de ses tarifs, qui est justifiée là aussi par une décroissance persistante des volumes de courrier. Ainsi, en France, le tarif de la lettre de moins de 20g est passé à 138,4 </w:t>
      </w:r>
      <w:proofErr w:type="spellStart"/>
      <w:r>
        <w:rPr>
          <w:rFonts w:ascii="Cambria" w:hAnsi="Cambria"/>
        </w:rPr>
        <w:t>Fcfp</w:t>
      </w:r>
      <w:proofErr w:type="spellEnd"/>
      <w:r>
        <w:rPr>
          <w:rFonts w:ascii="Cambria" w:hAnsi="Cambria"/>
        </w:rPr>
        <w:t xml:space="preserve"> en janvier 2020 et sera de 152,7 </w:t>
      </w:r>
      <w:proofErr w:type="spellStart"/>
      <w:r>
        <w:rPr>
          <w:rFonts w:ascii="Cambria" w:hAnsi="Cambria"/>
        </w:rPr>
        <w:t>Fcfp</w:t>
      </w:r>
      <w:proofErr w:type="spellEnd"/>
      <w:r>
        <w:rPr>
          <w:rFonts w:ascii="Cambria" w:hAnsi="Cambria"/>
        </w:rPr>
        <w:t xml:space="preserve"> au 1</w:t>
      </w:r>
      <w:r>
        <w:rPr>
          <w:rFonts w:ascii="Cambria" w:hAnsi="Cambria"/>
          <w:vertAlign w:val="superscript"/>
        </w:rPr>
        <w:t>er</w:t>
      </w:r>
      <w:r>
        <w:rPr>
          <w:rFonts w:ascii="Cambria" w:hAnsi="Cambria"/>
        </w:rPr>
        <w:t> janvier 2021. De même, l’OPT de la Nouvelle Calédonie a modifié le 1</w:t>
      </w:r>
      <w:r>
        <w:rPr>
          <w:rFonts w:ascii="Cambria" w:hAnsi="Cambria"/>
          <w:vertAlign w:val="superscript"/>
        </w:rPr>
        <w:t>er</w:t>
      </w:r>
      <w:r>
        <w:rPr>
          <w:rFonts w:ascii="Cambria" w:hAnsi="Cambria"/>
        </w:rPr>
        <w:t xml:space="preserve"> mai 2020 son tarif de la lettre de moins de 20g, qui est passé de 75 </w:t>
      </w:r>
      <w:proofErr w:type="spellStart"/>
      <w:r>
        <w:rPr>
          <w:rFonts w:ascii="Cambria" w:hAnsi="Cambria"/>
        </w:rPr>
        <w:t>Fcfp</w:t>
      </w:r>
      <w:proofErr w:type="spellEnd"/>
      <w:r>
        <w:rPr>
          <w:rFonts w:ascii="Cambria" w:hAnsi="Cambria"/>
        </w:rPr>
        <w:t xml:space="preserve"> à 140 </w:t>
      </w:r>
      <w:proofErr w:type="spellStart"/>
      <w:r>
        <w:rPr>
          <w:rFonts w:ascii="Cambria" w:hAnsi="Cambria"/>
        </w:rPr>
        <w:t>Fcfp</w:t>
      </w:r>
      <w:proofErr w:type="spellEnd"/>
      <w:r>
        <w:rPr>
          <w:rFonts w:ascii="Cambria" w:hAnsi="Cambria"/>
        </w:rPr>
        <w:t xml:space="preserve">, et prévoit une augmentation de ce tarif à 180 </w:t>
      </w:r>
      <w:proofErr w:type="spellStart"/>
      <w:r>
        <w:rPr>
          <w:rFonts w:ascii="Cambria" w:hAnsi="Cambria"/>
        </w:rPr>
        <w:t>Fcfp</w:t>
      </w:r>
      <w:proofErr w:type="spellEnd"/>
      <w:r>
        <w:rPr>
          <w:rFonts w:ascii="Cambria" w:hAnsi="Cambria"/>
        </w:rPr>
        <w:t xml:space="preserve"> en mai 2021 et à 210 </w:t>
      </w:r>
      <w:proofErr w:type="spellStart"/>
      <w:r>
        <w:rPr>
          <w:rFonts w:ascii="Cambria" w:hAnsi="Cambria"/>
        </w:rPr>
        <w:t>Fcfp</w:t>
      </w:r>
      <w:proofErr w:type="spellEnd"/>
      <w:r>
        <w:rPr>
          <w:rFonts w:ascii="Cambria" w:hAnsi="Cambria"/>
        </w:rPr>
        <w:t xml:space="preserve"> en mai 2022, soit une augmentation en deux ans de 50 %.</w:t>
      </w:r>
    </w:p>
    <w:p w:rsidR="003B6B55" w:rsidRDefault="003B6B55" w:rsidP="003B6B55">
      <w:pPr>
        <w:jc w:val="both"/>
        <w:rPr>
          <w:rFonts w:ascii="Cambria" w:hAnsi="Cambria"/>
        </w:rPr>
      </w:pPr>
      <w:r>
        <w:rPr>
          <w:rFonts w:ascii="Cambria" w:hAnsi="Cambria"/>
          <w:b/>
          <w:bCs/>
        </w:rPr>
        <w:lastRenderedPageBreak/>
        <w:t>Subvention de fonctionnement en faveur d’Initiative Polynésie française</w:t>
      </w:r>
    </w:p>
    <w:p w:rsidR="003B6B55" w:rsidRDefault="003B6B55" w:rsidP="003B6B55">
      <w:pPr>
        <w:pStyle w:val="-LettreTexteGEDA"/>
        <w:spacing w:before="0"/>
        <w:ind w:firstLine="0"/>
        <w:rPr>
          <w:rFonts w:ascii="Cambria" w:hAnsi="Cambria"/>
        </w:rPr>
      </w:pPr>
    </w:p>
    <w:p w:rsidR="003B6B55" w:rsidRDefault="003B6B55" w:rsidP="003B6B55">
      <w:pPr>
        <w:pStyle w:val="-ConventionPrambuleGEDA"/>
        <w:spacing w:before="120"/>
        <w:ind w:firstLine="0"/>
        <w:rPr>
          <w:rFonts w:ascii="Cambria" w:hAnsi="Cambria"/>
        </w:rPr>
      </w:pPr>
      <w:r>
        <w:rPr>
          <w:rFonts w:ascii="Cambria" w:hAnsi="Cambria"/>
        </w:rPr>
        <w:t xml:space="preserve">Créée en 2017 sur le modèle des plateformes d’Initiative développées en Métropole et en Nouvelle-Calédonie, l’association Initiative Polynésie française complète les outils d’aide à la création, au développement et à la reprise d’entreprises en Polynésie française, tels que les dispositifs existants de l’ADIE, de la SOFIDEP, du CAGEST ou encore de la CCISM. </w:t>
      </w:r>
    </w:p>
    <w:p w:rsidR="003B6B55" w:rsidRDefault="003B6B55" w:rsidP="003B6B55">
      <w:pPr>
        <w:pStyle w:val="-ConventionPrambuleGEDA"/>
        <w:spacing w:before="120" w:after="120"/>
        <w:ind w:firstLine="0"/>
        <w:rPr>
          <w:rFonts w:ascii="Cambria" w:hAnsi="Cambria"/>
        </w:rPr>
      </w:pPr>
      <w:r>
        <w:rPr>
          <w:rFonts w:ascii="Cambria" w:hAnsi="Cambria"/>
        </w:rPr>
        <w:t>L’association intervient sur l’ensemble du territoire et a pour objet de favoriser l’initiative créatrice d’emplois par l’octroi de « prêts d’honneur » et d’accompagner des porteurs de projets par un parrainage et un suivi technique assurés gracieusement en vue de leur insertion dans le tissu économique et social.</w:t>
      </w:r>
    </w:p>
    <w:p w:rsidR="003B6B55" w:rsidRDefault="003B6B55" w:rsidP="003B6B55">
      <w:pPr>
        <w:pStyle w:val="Paragraphedeliste"/>
        <w:spacing w:after="120" w:line="240" w:lineRule="auto"/>
        <w:ind w:left="0"/>
        <w:jc w:val="both"/>
        <w:rPr>
          <w:rFonts w:ascii="Cambria" w:hAnsi="Cambria"/>
          <w:sz w:val="24"/>
          <w:szCs w:val="24"/>
        </w:rPr>
      </w:pPr>
      <w:r>
        <w:rPr>
          <w:rFonts w:ascii="Cambria" w:hAnsi="Cambria"/>
          <w:sz w:val="24"/>
          <w:szCs w:val="24"/>
        </w:rPr>
        <w:t xml:space="preserve">En 2019, l’association a accueilli 323 porteurs de projet et a octroyé 40 prêts d’honneur représentant 54,5 millions </w:t>
      </w:r>
      <w:proofErr w:type="spellStart"/>
      <w:r>
        <w:rPr>
          <w:rFonts w:ascii="Cambria" w:hAnsi="Cambria"/>
          <w:sz w:val="24"/>
          <w:szCs w:val="24"/>
        </w:rPr>
        <w:t>Fcfp</w:t>
      </w:r>
      <w:proofErr w:type="spellEnd"/>
      <w:r>
        <w:rPr>
          <w:rFonts w:ascii="Cambria" w:hAnsi="Cambria"/>
          <w:sz w:val="24"/>
          <w:szCs w:val="24"/>
        </w:rPr>
        <w:t xml:space="preserve"> et permettant la création et le maintien de 92 emplois directs. Au regard du succès que remporte l’association auprès des porteurs de projets et compte tenu des impacts de la crise économique que le Pays connait actuellement le Conseil des ministres a autorisé l’attribution d’une aide financière, en faveur d’Initiative Polynésie française, pour un montant s’élevant à 19,5 millions </w:t>
      </w:r>
      <w:proofErr w:type="spellStart"/>
      <w:r>
        <w:rPr>
          <w:rFonts w:ascii="Cambria" w:hAnsi="Cambria"/>
          <w:sz w:val="24"/>
          <w:szCs w:val="24"/>
        </w:rPr>
        <w:t>Fcfp</w:t>
      </w:r>
      <w:proofErr w:type="spellEnd"/>
      <w:r>
        <w:rPr>
          <w:rFonts w:ascii="Cambria" w:hAnsi="Cambria"/>
          <w:sz w:val="24"/>
          <w:szCs w:val="24"/>
        </w:rPr>
        <w:t xml:space="preserve"> pour son fonctionnement.</w:t>
      </w:r>
    </w:p>
    <w:p w:rsidR="003B6B55" w:rsidRDefault="003B6B55" w:rsidP="003B6B55">
      <w:pPr>
        <w:pStyle w:val="-LettreTexteGEDA"/>
        <w:rPr>
          <w:rFonts w:ascii="Cambria" w:hAnsi="Cambria"/>
          <w:szCs w:val="24"/>
        </w:rPr>
      </w:pPr>
    </w:p>
    <w:p w:rsidR="003B6B55" w:rsidRDefault="003B6B55" w:rsidP="003B6B55">
      <w:pPr>
        <w:pStyle w:val="-LettreTexteGEDA"/>
        <w:spacing w:before="0"/>
        <w:ind w:firstLine="0"/>
        <w:rPr>
          <w:rFonts w:ascii="Cambria" w:hAnsi="Cambria"/>
          <w:b/>
          <w:bCs/>
        </w:rPr>
      </w:pPr>
    </w:p>
    <w:p w:rsidR="003B6B55" w:rsidRDefault="003B6B55" w:rsidP="003B6B55">
      <w:pPr>
        <w:pStyle w:val="-LettreTexteGEDA"/>
        <w:spacing w:before="0"/>
        <w:ind w:firstLine="0"/>
        <w:rPr>
          <w:rFonts w:ascii="Cambria" w:hAnsi="Cambria"/>
          <w:b/>
          <w:bCs/>
        </w:rPr>
      </w:pPr>
      <w:r>
        <w:rPr>
          <w:rFonts w:ascii="Cambria" w:hAnsi="Cambria"/>
          <w:b/>
          <w:bCs/>
        </w:rPr>
        <w:t>Subvention d’investissement en faveur de la SOFIDEP au titre de ses opérations de prêt à la relance d’entreprise</w:t>
      </w:r>
    </w:p>
    <w:p w:rsidR="003B6B55" w:rsidRDefault="003B6B55" w:rsidP="003B6B55">
      <w:pPr>
        <w:pStyle w:val="-LettreTexteGEDA"/>
        <w:spacing w:before="0"/>
        <w:ind w:firstLine="0"/>
        <w:jc w:val="center"/>
        <w:rPr>
          <w:rFonts w:ascii="Cambria" w:hAnsi="Cambria"/>
          <w:b/>
          <w:bCs/>
        </w:rPr>
      </w:pPr>
    </w:p>
    <w:p w:rsidR="003B6B55" w:rsidRDefault="003B6B55" w:rsidP="003B6B55">
      <w:pPr>
        <w:pStyle w:val="NormalWeb"/>
        <w:spacing w:before="120" w:beforeAutospacing="0" w:after="0" w:afterAutospacing="0"/>
        <w:jc w:val="both"/>
        <w:rPr>
          <w:rFonts w:ascii="Cambria" w:hAnsi="Cambria"/>
        </w:rPr>
      </w:pPr>
      <w:r>
        <w:rPr>
          <w:rFonts w:ascii="Cambria" w:hAnsi="Cambria"/>
        </w:rPr>
        <w:t xml:space="preserve">Depuis le début de la crise économique, la SOFIDEP est intervenue en soutien auprès des entreprises locales par le biais du « Prêt à la Relance d’Entreprise » (PRE). Ce prêt s’adresse à toutes les entreprises rencontrant des difficultés de trésorerie ponctuelles en conséquence notamment d’une conjoncture économique défavorable. </w:t>
      </w:r>
    </w:p>
    <w:p w:rsidR="003B6B55" w:rsidRDefault="003B6B55" w:rsidP="003B6B55">
      <w:pPr>
        <w:pStyle w:val="NormalWeb"/>
        <w:spacing w:before="120" w:beforeAutospacing="0" w:after="0" w:afterAutospacing="0"/>
        <w:jc w:val="both"/>
        <w:rPr>
          <w:rFonts w:ascii="Cambria" w:hAnsi="Cambria"/>
        </w:rPr>
      </w:pPr>
      <w:r>
        <w:rPr>
          <w:rFonts w:ascii="Cambria" w:hAnsi="Cambria"/>
        </w:rPr>
        <w:t xml:space="preserve">Dès le début de la crise économique, les conditions d’éligibilité au PRE ont été allégées et le taux d’intérêt a été fixé à 0,75%. Depuis le mois de mars 2020, ce sont 94 prêts à la relance qui ont été attribués par la SOFIDEP pour un montant total de 626,6 millions </w:t>
      </w:r>
      <w:proofErr w:type="spellStart"/>
      <w:r>
        <w:rPr>
          <w:rFonts w:ascii="Cambria" w:hAnsi="Cambria"/>
        </w:rPr>
        <w:t>Fcfp</w:t>
      </w:r>
      <w:proofErr w:type="spellEnd"/>
      <w:r>
        <w:rPr>
          <w:rFonts w:ascii="Cambria" w:hAnsi="Cambria"/>
        </w:rPr>
        <w:t>.</w:t>
      </w:r>
    </w:p>
    <w:p w:rsidR="003B6B55" w:rsidRDefault="003B6B55" w:rsidP="003B6B55">
      <w:pPr>
        <w:pStyle w:val="NormalWeb"/>
        <w:spacing w:before="120" w:beforeAutospacing="0" w:after="0" w:afterAutospacing="0"/>
        <w:jc w:val="both"/>
        <w:rPr>
          <w:rFonts w:ascii="Cambria" w:hAnsi="Cambria"/>
        </w:rPr>
      </w:pPr>
      <w:r>
        <w:rPr>
          <w:rFonts w:ascii="Cambria" w:hAnsi="Cambria"/>
        </w:rPr>
        <w:t xml:space="preserve">Afin de permettre la poursuite des actions de financement et de distribution du PRE, le Conseil des Ministres a approuvé l’attribution d’une subvention d’investissement d’un montant de 477 millions </w:t>
      </w:r>
      <w:proofErr w:type="spellStart"/>
      <w:r>
        <w:rPr>
          <w:rFonts w:ascii="Cambria" w:hAnsi="Cambria"/>
        </w:rPr>
        <w:t>Fcfp</w:t>
      </w:r>
      <w:proofErr w:type="spellEnd"/>
      <w:r>
        <w:rPr>
          <w:rFonts w:ascii="Cambria" w:hAnsi="Cambria"/>
        </w:rPr>
        <w:t xml:space="preserve"> en faveur de la SOFIDEP. </w:t>
      </w:r>
    </w:p>
    <w:p w:rsidR="003B6B55" w:rsidRDefault="003B6B55" w:rsidP="003B6B55">
      <w:pPr>
        <w:pStyle w:val="NormalWeb"/>
        <w:spacing w:before="120" w:beforeAutospacing="0" w:after="0" w:afterAutospacing="0"/>
        <w:jc w:val="both"/>
        <w:rPr>
          <w:rFonts w:ascii="Cambria" w:hAnsi="Cambria"/>
        </w:rPr>
      </w:pPr>
    </w:p>
    <w:p w:rsidR="003B6B55" w:rsidRPr="003B6B55" w:rsidRDefault="003B6B55" w:rsidP="003B6B55">
      <w:pPr>
        <w:pStyle w:val="NormalWeb"/>
        <w:spacing w:before="120" w:beforeAutospacing="0" w:after="0" w:afterAutospacing="0"/>
        <w:jc w:val="both"/>
        <w:rPr>
          <w:rFonts w:ascii="Cambria" w:hAnsi="Cambria"/>
        </w:rPr>
      </w:pPr>
      <w:r>
        <w:rPr>
          <w:rFonts w:ascii="Cambria" w:hAnsi="Cambria"/>
          <w:b/>
          <w:bCs/>
        </w:rPr>
        <w:t>Elargissement des secteurs d’activité éligibles au DIESE et au DESETI</w:t>
      </w:r>
    </w:p>
    <w:p w:rsidR="003B6B55" w:rsidRDefault="003B6B55" w:rsidP="003B6B55">
      <w:pPr>
        <w:rPr>
          <w:rFonts w:ascii="Cambria" w:hAnsi="Cambria"/>
        </w:rPr>
      </w:pPr>
    </w:p>
    <w:p w:rsidR="003B6B55" w:rsidRDefault="003B6B55" w:rsidP="003B6B55">
      <w:pPr>
        <w:pStyle w:val="-LettreTexteGEDA"/>
        <w:ind w:firstLine="0"/>
        <w:rPr>
          <w:rFonts w:ascii="Cambria" w:hAnsi="Cambria"/>
        </w:rPr>
      </w:pPr>
      <w:r>
        <w:rPr>
          <w:rFonts w:ascii="Cambria" w:hAnsi="Cambria"/>
        </w:rPr>
        <w:t xml:space="preserve">Afin de favoriser les conditions de reprise de l’activité économique, deux dispositifs mobilisables en cas de circonstances exceptionnelles ont été créés par loi du Pays: le DiESE (Dispositif exceptionnel de sécurisation de l’emploi) et le DESETI (Dispositif de sauvegarde de l’emploi des travailleurs indépendants). </w:t>
      </w:r>
    </w:p>
    <w:p w:rsidR="003B6B55" w:rsidRDefault="003B6B55" w:rsidP="003B6B55">
      <w:pPr>
        <w:pStyle w:val="-LettreTexteGEDA"/>
        <w:ind w:firstLine="0"/>
        <w:rPr>
          <w:rFonts w:ascii="Cambria" w:hAnsi="Cambria"/>
        </w:rPr>
      </w:pPr>
      <w:r>
        <w:rPr>
          <w:rFonts w:ascii="Cambria" w:hAnsi="Cambria"/>
        </w:rPr>
        <w:t xml:space="preserve">Le DiESE est destiné à soutenir les entreprises qui auront réduit leurs activités par une aide financière permettant de compenser la perte de revenu des salariés impactés par la baisse du temps de travail, et ce, jusqu’à ce que les entreprises retrouvent leur pleine capacité de production.  Le DESETI est destiné à compenser la perte de revenus des travailleurs indépendants contraints de cesser temporairement leur activité du fait de la </w:t>
      </w:r>
      <w:r>
        <w:rPr>
          <w:rFonts w:ascii="Cambria" w:hAnsi="Cambria"/>
        </w:rPr>
        <w:lastRenderedPageBreak/>
        <w:t xml:space="preserve">crise. </w:t>
      </w:r>
      <w:r>
        <w:rPr>
          <w:rFonts w:ascii="Cambria" w:hAnsi="Cambria"/>
          <w:color w:val="000000"/>
        </w:rPr>
        <w:t>Le DiESE et le DESETI sont des dispositifs qui ne peuvent être activés que durant des périodes de crise revêtant un caractère inattendu et de gravité extrême impliquant une grande réactivité du Pays.</w:t>
      </w:r>
    </w:p>
    <w:p w:rsidR="003B6B55" w:rsidRDefault="003B6B55" w:rsidP="003B6B55">
      <w:pPr>
        <w:pStyle w:val="-LettreTexteGEDA"/>
        <w:ind w:firstLine="0"/>
        <w:rPr>
          <w:rFonts w:ascii="Cambria" w:hAnsi="Cambria"/>
        </w:rPr>
      </w:pPr>
      <w:r>
        <w:rPr>
          <w:rFonts w:ascii="Cambria" w:hAnsi="Cambria"/>
          <w:color w:val="000000"/>
        </w:rPr>
        <w:t>L’arrêté du Conseil des ministres du 20 mai 2020 a encadré les modalités de mise en œuvre de ces deux dispositifs en fixant la période de circonstances exceptionnelle du 21 mai au 30 novembre 2020 et en restreignant les dispositifs à certains secteurs d’activité jugés prioritaires (</w:t>
      </w:r>
      <w:r>
        <w:rPr>
          <w:rFonts w:ascii="Cambria" w:hAnsi="Cambria"/>
        </w:rPr>
        <w:t>tourisme, transport aérien, maritime, taxis et transports touristiques, commerces présents dans les hôtels, commerces et activités présents sur la plateforme aéroportuaire de Tahiti-Faa’a, restauration, perliculture, bijouterie et artisanat d’art</w:t>
      </w:r>
      <w:r>
        <w:rPr>
          <w:rFonts w:ascii="Cambria" w:hAnsi="Cambria"/>
          <w:color w:val="000000"/>
        </w:rPr>
        <w:t>.</w:t>
      </w:r>
    </w:p>
    <w:p w:rsidR="003B6B55" w:rsidRDefault="003B6B55" w:rsidP="003B6B55">
      <w:pPr>
        <w:pStyle w:val="-LettreTexteGEDA"/>
        <w:ind w:firstLine="0"/>
        <w:rPr>
          <w:rFonts w:ascii="Cambria" w:hAnsi="Cambria"/>
          <w:color w:val="000000"/>
        </w:rPr>
      </w:pPr>
      <w:r>
        <w:rPr>
          <w:rFonts w:ascii="Cambria" w:hAnsi="Cambria"/>
          <w:color w:val="000000"/>
        </w:rPr>
        <w:t>Ce texte a aussi fixé les modalités de calcul de l’aide octroyée au salarié obligé de cesser temporairement son activité et en fixant un revenu plancher garanti aux salariés à hauteur de 90 000 Fcfp ainsi que le montant de l’aide allouée aux travailleurs indépendants dans le cadre du DESETI à hauteur de 50 000 Fcfp mensuels. Un arrêté du Conseil des ministres du 18 juin dernier est venu ajouter les salles de projection de films cinématographiques à la liste des secteurs éligibles.</w:t>
      </w:r>
    </w:p>
    <w:p w:rsidR="003B6B55" w:rsidRDefault="003B6B55" w:rsidP="003B6B55">
      <w:pPr>
        <w:pStyle w:val="-LettreTexteGEDA"/>
        <w:ind w:firstLine="0"/>
        <w:rPr>
          <w:rFonts w:ascii="Cambria" w:hAnsi="Cambria"/>
          <w:color w:val="000000"/>
        </w:rPr>
      </w:pPr>
      <w:r>
        <w:rPr>
          <w:rFonts w:ascii="Cambria" w:hAnsi="Cambria"/>
          <w:color w:val="000000"/>
        </w:rPr>
        <w:t xml:space="preserve">Compte tenu de l’évolution récente de la situation sanitaire et des décisions qu’ont du prendre les autorités impactant l’activité de certains secteurs d’activité, il a été décidé d’ajouter à la listes des secteurs éligibles: </w:t>
      </w:r>
      <w:r>
        <w:rPr>
          <w:rFonts w:ascii="Cambria" w:hAnsi="Cambria"/>
        </w:rPr>
        <w:t xml:space="preserve">les discothèques et activités assimilées, </w:t>
      </w:r>
      <w:r>
        <w:rPr>
          <w:rFonts w:ascii="Cambria" w:hAnsi="Cambria"/>
          <w:color w:val="000000"/>
        </w:rPr>
        <w:t>les bars, les salles de spectacles et prestataires culturels, les prestataires dans le domaine l’évènementiel (foires, expositions, évènements sportif etc.), les salles de sport et coaching sportif et les activités de bien-être et de SPA (à noter que ces activités recouvrent également les activités d’esthétique).</w:t>
      </w:r>
    </w:p>
    <w:p w:rsidR="003B6B55" w:rsidRPr="003B6B55" w:rsidRDefault="003B6B55" w:rsidP="003B6B55">
      <w:pPr>
        <w:pStyle w:val="-LettreTexteGEDA"/>
        <w:ind w:firstLine="0"/>
        <w:rPr>
          <w:rFonts w:ascii="Cambria" w:hAnsi="Cambria"/>
          <w:color w:val="000000"/>
        </w:rPr>
      </w:pPr>
    </w:p>
    <w:p w:rsidR="00C630D6" w:rsidRDefault="00C630D6" w:rsidP="00C630D6">
      <w:pPr>
        <w:widowControl w:val="0"/>
        <w:autoSpaceDE w:val="0"/>
        <w:autoSpaceDN w:val="0"/>
        <w:adjustRightInd w:val="0"/>
        <w:spacing w:before="240" w:after="240"/>
        <w:jc w:val="both"/>
        <w:rPr>
          <w:rFonts w:ascii="Cambria" w:hAnsi="Cambria" w:cs="Century Schoolbook"/>
          <w:b/>
        </w:rPr>
      </w:pPr>
      <w:r w:rsidRPr="00203921">
        <w:rPr>
          <w:rFonts w:ascii="Cambria" w:hAnsi="Cambria" w:cs="Century Schoolbook"/>
          <w:b/>
        </w:rPr>
        <w:t>Baisse des tarifs des loyers du domaine privé du Pays pour les projets contribuant au développement durable et à l’économie numérique</w:t>
      </w:r>
      <w:r>
        <w:rPr>
          <w:rFonts w:ascii="Cambria" w:hAnsi="Cambria" w:cs="Century Schoolbook"/>
          <w:b/>
        </w:rPr>
        <w:t xml:space="preserve"> </w:t>
      </w:r>
    </w:p>
    <w:p w:rsidR="00C630D6" w:rsidRDefault="00C630D6" w:rsidP="00C630D6">
      <w:pPr>
        <w:widowControl w:val="0"/>
        <w:autoSpaceDE w:val="0"/>
        <w:autoSpaceDN w:val="0"/>
        <w:adjustRightInd w:val="0"/>
        <w:spacing w:before="240" w:after="240"/>
        <w:jc w:val="both"/>
        <w:rPr>
          <w:rFonts w:ascii="Cambria" w:hAnsi="Cambria" w:cs="Century Schoolbook"/>
        </w:rPr>
      </w:pPr>
      <w:r w:rsidRPr="00203921">
        <w:rPr>
          <w:rFonts w:ascii="Cambria" w:hAnsi="Cambria" w:cs="Century Schoolbook"/>
        </w:rPr>
        <w:t>Afin de soutenir et favoriser</w:t>
      </w:r>
      <w:r>
        <w:rPr>
          <w:rFonts w:ascii="Cambria" w:hAnsi="Cambria" w:cs="Century Schoolbook"/>
        </w:rPr>
        <w:t xml:space="preserve"> </w:t>
      </w:r>
      <w:r w:rsidRPr="00203921">
        <w:rPr>
          <w:rFonts w:ascii="Cambria" w:hAnsi="Cambria" w:cs="Century Schoolbook"/>
        </w:rPr>
        <w:t>les activités économiques responsables, s’inscrivant dans une démarche de développement durable</w:t>
      </w:r>
      <w:r>
        <w:rPr>
          <w:rFonts w:ascii="Cambria" w:hAnsi="Cambria" w:cs="Century Schoolbook"/>
        </w:rPr>
        <w:t>,</w:t>
      </w:r>
      <w:r w:rsidRPr="00203921">
        <w:rPr>
          <w:rFonts w:ascii="Cambria" w:hAnsi="Cambria" w:cs="Century Schoolbook"/>
        </w:rPr>
        <w:t xml:space="preserve"> ainsi que les activités liées à l’économie numérique, véritable enjeu de développem</w:t>
      </w:r>
      <w:r>
        <w:rPr>
          <w:rFonts w:ascii="Cambria" w:hAnsi="Cambria" w:cs="Century Schoolbook"/>
        </w:rPr>
        <w:t>ent des archipels éloignés, le C</w:t>
      </w:r>
      <w:r w:rsidRPr="00203921">
        <w:rPr>
          <w:rFonts w:ascii="Cambria" w:hAnsi="Cambria" w:cs="Century Schoolbook"/>
        </w:rPr>
        <w:t>onseil des ministres a adopté un arrêté modifiant la tarification d’occupation du domaine privé de la Polynésie française pour certaines activités.</w:t>
      </w:r>
    </w:p>
    <w:p w:rsidR="00C630D6" w:rsidRDefault="00C630D6" w:rsidP="00C630D6">
      <w:pPr>
        <w:widowControl w:val="0"/>
        <w:autoSpaceDE w:val="0"/>
        <w:autoSpaceDN w:val="0"/>
        <w:adjustRightInd w:val="0"/>
        <w:spacing w:before="240" w:after="240"/>
        <w:jc w:val="both"/>
        <w:rPr>
          <w:rFonts w:ascii="Cambria" w:hAnsi="Cambria" w:cs="Century Schoolbook"/>
        </w:rPr>
      </w:pPr>
      <w:r w:rsidRPr="00203921">
        <w:rPr>
          <w:rFonts w:ascii="Cambria" w:hAnsi="Cambria" w:cs="Century Schoolbook"/>
        </w:rPr>
        <w:t>A ce jour, la tarification du domaine privé pour les activités destinées à accueillir des opérations économiques ou industrielles était fixée à raison de 3% de la valeur vénale du fonds.</w:t>
      </w:r>
    </w:p>
    <w:p w:rsidR="00C630D6" w:rsidRDefault="00C630D6" w:rsidP="00C630D6">
      <w:pPr>
        <w:widowControl w:val="0"/>
        <w:autoSpaceDE w:val="0"/>
        <w:autoSpaceDN w:val="0"/>
        <w:adjustRightInd w:val="0"/>
        <w:spacing w:before="240" w:after="240"/>
        <w:jc w:val="both"/>
        <w:rPr>
          <w:rFonts w:ascii="Cambria" w:hAnsi="Cambria" w:cs="Century Schoolbook"/>
        </w:rPr>
      </w:pPr>
      <w:r w:rsidRPr="00203921">
        <w:rPr>
          <w:rFonts w:ascii="Cambria" w:hAnsi="Cambria" w:cs="Century Schoolbook"/>
        </w:rPr>
        <w:t>Avec l’adoption de cet arrêté, le loyer annuel des terres destinées à accueillir des projets contribuant au développement durable (énergies renouvelables, biodiversité, économie circulaire) et aux activités liées aux technologies, contenus et support de l’information (informatique, télécommunications, systè</w:t>
      </w:r>
      <w:r>
        <w:rPr>
          <w:rFonts w:ascii="Cambria" w:hAnsi="Cambria" w:cs="Century Schoolbook"/>
        </w:rPr>
        <w:t>mes d’information) est fixé à 1</w:t>
      </w:r>
      <w:r w:rsidRPr="00203921">
        <w:rPr>
          <w:rFonts w:ascii="Cambria" w:hAnsi="Cambria" w:cs="Century Schoolbook"/>
        </w:rPr>
        <w:t>% de la valeur vénale du fonds. </w:t>
      </w:r>
    </w:p>
    <w:p w:rsidR="00C630D6" w:rsidRPr="00C630D6" w:rsidRDefault="00C630D6" w:rsidP="00C630D6">
      <w:pPr>
        <w:widowControl w:val="0"/>
        <w:autoSpaceDE w:val="0"/>
        <w:autoSpaceDN w:val="0"/>
        <w:adjustRightInd w:val="0"/>
        <w:spacing w:before="240" w:after="240"/>
        <w:jc w:val="both"/>
        <w:rPr>
          <w:rFonts w:ascii="Cambria" w:hAnsi="Cambria" w:cs="Century Schoolbook"/>
        </w:rPr>
      </w:pPr>
      <w:r w:rsidRPr="00203921">
        <w:rPr>
          <w:rFonts w:ascii="Cambria" w:hAnsi="Cambria" w:cs="Century Schoolbook"/>
        </w:rPr>
        <w:t>Cette baisse significative de loyer va permettre à la fois d’encourager les acteurs engagés dans le développement durable et à la Polynésie de répondre à ses propres besoins sans compromettre la capacité des générations futures à répondre aux leurs.</w:t>
      </w:r>
    </w:p>
    <w:p w:rsidR="00762278" w:rsidRDefault="00762278" w:rsidP="00762278">
      <w:pPr>
        <w:pStyle w:val="-LettreTexteGEDA"/>
        <w:ind w:firstLine="0"/>
        <w:jc w:val="center"/>
        <w:rPr>
          <w:rFonts w:asciiTheme="majorHAnsi" w:hAnsiTheme="majorHAnsi"/>
          <w:noProof w:val="0"/>
          <w:szCs w:val="24"/>
        </w:rPr>
      </w:pPr>
    </w:p>
    <w:p w:rsidR="00762278" w:rsidRPr="00762278" w:rsidRDefault="00762278" w:rsidP="00762278">
      <w:pPr>
        <w:pStyle w:val="-LettreTexteGEDA"/>
        <w:ind w:firstLine="0"/>
        <w:rPr>
          <w:rFonts w:ascii="Cambria" w:hAnsi="Cambria"/>
          <w:b/>
          <w:noProof w:val="0"/>
        </w:rPr>
      </w:pPr>
      <w:r w:rsidRPr="00762278">
        <w:rPr>
          <w:rFonts w:ascii="Cambria" w:hAnsi="Cambria"/>
          <w:b/>
          <w:noProof w:val="0"/>
        </w:rPr>
        <w:lastRenderedPageBreak/>
        <w:t>Don de jours de congé dans la fonction publique de la Polynésie française</w:t>
      </w:r>
    </w:p>
    <w:p w:rsidR="00762278" w:rsidRDefault="00762278" w:rsidP="00762278">
      <w:pPr>
        <w:pStyle w:val="-LettreTexteGEDA"/>
        <w:ind w:firstLine="0"/>
        <w:rPr>
          <w:rFonts w:ascii="Cambria" w:hAnsi="Cambria"/>
          <w:noProof w:val="0"/>
        </w:rPr>
      </w:pPr>
    </w:p>
    <w:p w:rsidR="00762278" w:rsidRPr="00762278" w:rsidRDefault="00762278" w:rsidP="00762278">
      <w:pPr>
        <w:pStyle w:val="-LettreTexteGEDA"/>
        <w:ind w:firstLine="0"/>
        <w:rPr>
          <w:rFonts w:ascii="Cambria" w:hAnsi="Cambria"/>
        </w:rPr>
      </w:pPr>
      <w:r w:rsidRPr="00762278">
        <w:rPr>
          <w:rFonts w:ascii="Cambria" w:hAnsi="Cambria"/>
        </w:rPr>
        <w:t>La loi métropolitaine du 9 mai 2014 a institué au profit des salariés de droit privé, la possibilité pour ces derniers, et en accord avec leur employeur, de faire un don de jours de repos au bénéfice d’un de leurs collègues relevant de la même entreprise, qui assume la charge d’un enfant âgé de moins de 20 ans atteint d’une maladie, d’un handicap ou victime d’un accident d’une particulière gravité rendant indispensables une présence soutenue et des soins contraignants.</w:t>
      </w:r>
    </w:p>
    <w:p w:rsidR="00762278" w:rsidRPr="00762278" w:rsidRDefault="00762278" w:rsidP="00762278">
      <w:pPr>
        <w:pStyle w:val="-LettreTexteGEDA"/>
        <w:ind w:firstLine="0"/>
        <w:rPr>
          <w:rFonts w:ascii="Cambria" w:hAnsi="Cambria"/>
        </w:rPr>
      </w:pPr>
      <w:r w:rsidRPr="00762278">
        <w:rPr>
          <w:rFonts w:ascii="Cambria" w:hAnsi="Cambria"/>
        </w:rPr>
        <w:t>Les dispositions de cette loi ont été étendues à la fonction publique territoriale métropolitaine par deux décrets du 28 mai 2015</w:t>
      </w:r>
      <w:r>
        <w:rPr>
          <w:rFonts w:ascii="Cambria" w:hAnsi="Cambria"/>
        </w:rPr>
        <w:t xml:space="preserve"> </w:t>
      </w:r>
      <w:r w:rsidRPr="00762278">
        <w:rPr>
          <w:rFonts w:ascii="Cambria" w:hAnsi="Cambria"/>
        </w:rPr>
        <w:t>en ouvrant également le bénéfice de ces dons de jours de repos aux agents venant en aide à un proche atteint d’une perte d’autonomie d’une particulière gravité ou présentant un handicap. Ils sont réalisés de manière anonyme et sans contrepartie. Les agents donateurs étant libres du nombre de jours qu’ils souhaitent céder et les agents bénéficiaires continuant de percevoir leur rémunération.</w:t>
      </w:r>
    </w:p>
    <w:p w:rsidR="00762278" w:rsidRPr="00762278" w:rsidRDefault="00762278" w:rsidP="00762278">
      <w:pPr>
        <w:pStyle w:val="-LettreTexteGEDA"/>
        <w:ind w:firstLine="0"/>
        <w:rPr>
          <w:rFonts w:ascii="Cambria" w:hAnsi="Cambria"/>
          <w:noProof w:val="0"/>
        </w:rPr>
      </w:pPr>
      <w:r w:rsidRPr="00762278">
        <w:rPr>
          <w:rFonts w:ascii="Cambria" w:hAnsi="Cambria"/>
        </w:rPr>
        <w:t>Le statut de la fonction publique de la Polynésie française ne permettant pas actuellement à un agent titulaire de la fonction publique de la Polynésie française ou un fonctionnaire détaché auprès de celle-ci, de s’occuper d’un enfant ou d’un proche dont la santé est altérée au-delà du nombre de jour de congé acquis, un p</w:t>
      </w:r>
      <w:proofErr w:type="spellStart"/>
      <w:r w:rsidRPr="00762278">
        <w:rPr>
          <w:rFonts w:ascii="Cambria" w:hAnsi="Cambria"/>
          <w:noProof w:val="0"/>
        </w:rPr>
        <w:t>rojet</w:t>
      </w:r>
      <w:proofErr w:type="spellEnd"/>
      <w:r w:rsidRPr="00762278">
        <w:rPr>
          <w:rFonts w:ascii="Cambria" w:hAnsi="Cambria"/>
          <w:noProof w:val="0"/>
        </w:rPr>
        <w:t xml:space="preserve"> de délibération instituant le don de jours de congé dans la fonction publique de la Polynésie française a été présenté et adopté en Conseil des ministres.</w:t>
      </w:r>
    </w:p>
    <w:p w:rsidR="00762278" w:rsidRDefault="00762278" w:rsidP="00762278">
      <w:pPr>
        <w:pStyle w:val="-LettreTexteGEDA"/>
        <w:ind w:firstLine="0"/>
        <w:rPr>
          <w:rFonts w:ascii="Cambria" w:hAnsi="Cambria"/>
        </w:rPr>
      </w:pPr>
      <w:r w:rsidRPr="00762278">
        <w:rPr>
          <w:rFonts w:ascii="Cambria" w:hAnsi="Cambria"/>
        </w:rPr>
        <w:t>Les modalités d’application seront fixées ultérieurement par un arrêté pris en Conseil des ministres, notamment en ce qui concerne la formalisation du don de jours de congé et de la demande du bénéfice de jours cédés, ainsi que la gestion de ceux-ci. Le conseil supérieur de la fonction publique de la Polynésie française, dans sa séance du 11 août dernier a émis un avis favorable à l’unanimité sur ce projet de texte.</w:t>
      </w:r>
    </w:p>
    <w:p w:rsidR="00762278" w:rsidRDefault="00762278" w:rsidP="00762278">
      <w:pPr>
        <w:pStyle w:val="-LettreTexteGEDA"/>
        <w:ind w:firstLine="0"/>
        <w:rPr>
          <w:rFonts w:ascii="Cambria" w:hAnsi="Cambria"/>
        </w:rPr>
      </w:pPr>
    </w:p>
    <w:p w:rsidR="00762278" w:rsidRPr="00762278" w:rsidRDefault="00762278" w:rsidP="00762278">
      <w:pPr>
        <w:pStyle w:val="-LettreTexteGEDA"/>
        <w:ind w:firstLine="0"/>
        <w:rPr>
          <w:rFonts w:ascii="Cambria" w:hAnsi="Cambria"/>
          <w:b/>
        </w:rPr>
      </w:pPr>
      <w:r w:rsidRPr="00762278">
        <w:rPr>
          <w:rFonts w:ascii="Cambria" w:hAnsi="Cambria"/>
          <w:b/>
          <w:noProof w:val="0"/>
        </w:rPr>
        <w:t xml:space="preserve">Projet de loi du Pays </w:t>
      </w:r>
      <w:r w:rsidRPr="00762278">
        <w:rPr>
          <w:rFonts w:ascii="Cambria" w:hAnsi="Cambria"/>
          <w:b/>
        </w:rPr>
        <w:t>relatif au contrat d’apprentissage au sein des service</w:t>
      </w:r>
      <w:r w:rsidR="00C630D6">
        <w:rPr>
          <w:rFonts w:ascii="Cambria" w:hAnsi="Cambria"/>
          <w:b/>
        </w:rPr>
        <w:t>s</w:t>
      </w:r>
      <w:r w:rsidRPr="00762278">
        <w:rPr>
          <w:rFonts w:ascii="Cambria" w:hAnsi="Cambria"/>
          <w:b/>
        </w:rPr>
        <w:t xml:space="preserve"> et des établissements publics de la Polynésie française</w:t>
      </w:r>
    </w:p>
    <w:p w:rsidR="00762278" w:rsidRPr="00762278" w:rsidRDefault="00762278" w:rsidP="003C5FFF">
      <w:pPr>
        <w:pStyle w:val="-LettreSuiteORefPJGEDA"/>
        <w:ind w:left="0"/>
        <w:rPr>
          <w:rFonts w:ascii="Cambria" w:hAnsi="Cambria"/>
        </w:rPr>
      </w:pPr>
    </w:p>
    <w:p w:rsidR="00762278" w:rsidRPr="00762278" w:rsidRDefault="00762278" w:rsidP="00762278">
      <w:pPr>
        <w:jc w:val="both"/>
        <w:rPr>
          <w:rFonts w:ascii="Cambria" w:hAnsi="Cambria"/>
          <w:b/>
        </w:rPr>
      </w:pPr>
      <w:r>
        <w:rPr>
          <w:rFonts w:ascii="Cambria" w:hAnsi="Cambria"/>
        </w:rPr>
        <w:t>Le Conseil des ministres a adopté une loi du P</w:t>
      </w:r>
      <w:r w:rsidRPr="00762278">
        <w:rPr>
          <w:rFonts w:ascii="Cambria" w:hAnsi="Cambria"/>
        </w:rPr>
        <w:t xml:space="preserve">ays </w:t>
      </w:r>
      <w:r>
        <w:rPr>
          <w:rFonts w:ascii="Cambria" w:hAnsi="Cambria"/>
        </w:rPr>
        <w:t xml:space="preserve">qui </w:t>
      </w:r>
      <w:r w:rsidRPr="00762278">
        <w:rPr>
          <w:rFonts w:ascii="Cambria" w:hAnsi="Cambria"/>
        </w:rPr>
        <w:t>a pour objectif de créer un dispositif de l’apprentissage au sein des services, des autorités administratives indépendantes et des établissements publics à caractère administratif de la Polynésie française</w:t>
      </w:r>
    </w:p>
    <w:p w:rsidR="00762278" w:rsidRPr="00762278" w:rsidRDefault="00762278" w:rsidP="00762278">
      <w:pPr>
        <w:pStyle w:val="-LettreTexteGEDA"/>
        <w:ind w:firstLine="0"/>
        <w:rPr>
          <w:rFonts w:ascii="Cambria" w:hAnsi="Cambria"/>
        </w:rPr>
      </w:pPr>
      <w:r w:rsidRPr="00762278">
        <w:rPr>
          <w:rFonts w:ascii="Cambria" w:hAnsi="Cambria"/>
        </w:rPr>
        <w:t>L’apprentissage constitue un mode efficace d’insertion professionnelle très répandu dans le secteur privé. Il permet aux jeunes apprentis de suivre une formation initiale afin d’apprendre un métier tout en bénéficiant d’un contrat de travail et d’une rémunér</w:t>
      </w:r>
      <w:r w:rsidR="00F10B6A">
        <w:rPr>
          <w:rFonts w:ascii="Cambria" w:hAnsi="Cambria"/>
        </w:rPr>
        <w:t xml:space="preserve">ation au sein d’une entreprise. </w:t>
      </w:r>
      <w:r w:rsidRPr="00762278">
        <w:rPr>
          <w:rFonts w:ascii="Cambria" w:hAnsi="Cambria"/>
        </w:rPr>
        <w:t xml:space="preserve">Or, l’accueil des apprentis au sein des services, autorités administratives indépendantes et établissements publics à caractère administratif de la Polynésie française </w:t>
      </w:r>
      <w:r>
        <w:rPr>
          <w:rFonts w:ascii="Cambria" w:hAnsi="Cambria"/>
        </w:rPr>
        <w:t>était jusqu’à présent</w:t>
      </w:r>
      <w:r w:rsidRPr="00762278">
        <w:rPr>
          <w:rFonts w:ascii="Cambria" w:hAnsi="Cambria"/>
        </w:rPr>
        <w:t xml:space="preserve"> inexistant, alors même que les missions du service public impliquent une exemplarité de l’employeur public et une capacité à transmettre ses valeurs. </w:t>
      </w:r>
    </w:p>
    <w:p w:rsidR="00762278" w:rsidRPr="00762278" w:rsidRDefault="00762278" w:rsidP="00762278">
      <w:pPr>
        <w:pStyle w:val="-LettreTexteGEDA"/>
        <w:ind w:firstLine="0"/>
        <w:rPr>
          <w:rFonts w:ascii="Cambria" w:hAnsi="Cambria"/>
        </w:rPr>
      </w:pPr>
      <w:r w:rsidRPr="00762278">
        <w:rPr>
          <w:rFonts w:ascii="Cambria" w:hAnsi="Cambria"/>
        </w:rPr>
        <w:t>Contribuer à l’insertion professionnelle des jeunes polynésiens est un engagement à relever pour l’administration de la Polynésie française, au même titre que pour les employeurs du secteur privé.</w:t>
      </w:r>
      <w:r w:rsidR="00F10B6A">
        <w:rPr>
          <w:rFonts w:ascii="Cambria" w:hAnsi="Cambria"/>
        </w:rPr>
        <w:t xml:space="preserve"> </w:t>
      </w:r>
      <w:r>
        <w:rPr>
          <w:rFonts w:ascii="Cambria" w:hAnsi="Cambria"/>
        </w:rPr>
        <w:t xml:space="preserve">Il a donc été décidé </w:t>
      </w:r>
      <w:r w:rsidRPr="00762278">
        <w:rPr>
          <w:rFonts w:ascii="Cambria" w:hAnsi="Cambria"/>
        </w:rPr>
        <w:t xml:space="preserve">d’instituer un dispositif de l’apprentissage au sein des services, des autorités administratives indépendantes et </w:t>
      </w:r>
      <w:r w:rsidRPr="00762278">
        <w:rPr>
          <w:rFonts w:ascii="Cambria" w:hAnsi="Cambria"/>
        </w:rPr>
        <w:lastRenderedPageBreak/>
        <w:t xml:space="preserve">établissements publics à caractère administratif de la Polynésie française. Les dispositions règlementaires relatives à ce dispositif seront fixées par une délibération de l’Assemblée de la Polynésie française. </w:t>
      </w:r>
    </w:p>
    <w:p w:rsidR="00762278" w:rsidRPr="00762278" w:rsidRDefault="00762278" w:rsidP="00F10B6A">
      <w:pPr>
        <w:pStyle w:val="-LettreTexteGEDA"/>
        <w:ind w:firstLine="0"/>
        <w:rPr>
          <w:rFonts w:ascii="Cambria" w:hAnsi="Cambria"/>
        </w:rPr>
      </w:pPr>
      <w:r w:rsidRPr="00762278">
        <w:rPr>
          <w:rFonts w:ascii="Cambria" w:hAnsi="Cambria"/>
        </w:rPr>
        <w:t xml:space="preserve">Il est prévu que les futurs « apprentis » dans la fonction publique soient recrutés par un contrat à durée déterminée de droit public, en qualité d’apprenti. La durée de ce contrat </w:t>
      </w:r>
      <w:r w:rsidR="00F10B6A">
        <w:rPr>
          <w:rFonts w:ascii="Cambria" w:hAnsi="Cambria"/>
        </w:rPr>
        <w:t>sera</w:t>
      </w:r>
      <w:r w:rsidRPr="00762278">
        <w:rPr>
          <w:rFonts w:ascii="Cambria" w:hAnsi="Cambria"/>
        </w:rPr>
        <w:t xml:space="preserve"> précisée par </w:t>
      </w:r>
      <w:r w:rsidR="00F10B6A">
        <w:rPr>
          <w:rFonts w:ascii="Cambria" w:hAnsi="Cambria"/>
        </w:rPr>
        <w:t xml:space="preserve">une </w:t>
      </w:r>
      <w:r w:rsidRPr="00762278">
        <w:rPr>
          <w:rFonts w:ascii="Cambria" w:hAnsi="Cambria"/>
        </w:rPr>
        <w:t>délibération de l’Assemblée de la Polynésie française.</w:t>
      </w:r>
      <w:r w:rsidR="00F10B6A">
        <w:rPr>
          <w:rFonts w:ascii="Cambria" w:hAnsi="Cambria"/>
        </w:rPr>
        <w:t xml:space="preserve"> </w:t>
      </w:r>
      <w:r w:rsidRPr="00762278">
        <w:rPr>
          <w:rFonts w:ascii="Cambria" w:hAnsi="Cambria"/>
        </w:rPr>
        <w:t xml:space="preserve">Le Conseil supérieur de la fonction publique a rendu un avis favorable sur ce projet de texte lors de sa réunion du 11 août </w:t>
      </w:r>
      <w:r w:rsidR="00F10B6A">
        <w:rPr>
          <w:rFonts w:ascii="Cambria" w:hAnsi="Cambria"/>
        </w:rPr>
        <w:t>dernier</w:t>
      </w:r>
      <w:r w:rsidRPr="00762278">
        <w:rPr>
          <w:rFonts w:ascii="Cambria" w:hAnsi="Cambria"/>
        </w:rPr>
        <w:t>.</w:t>
      </w:r>
    </w:p>
    <w:p w:rsidR="00762278" w:rsidRDefault="00762278" w:rsidP="003C5FFF">
      <w:pPr>
        <w:pStyle w:val="-LettreSuiteORefPJGEDA"/>
        <w:ind w:left="0"/>
        <w:rPr>
          <w:rFonts w:asciiTheme="majorHAnsi" w:hAnsiTheme="majorHAnsi"/>
        </w:rPr>
      </w:pPr>
    </w:p>
    <w:p w:rsidR="00C630D6" w:rsidRPr="00381176" w:rsidRDefault="00C630D6" w:rsidP="00C630D6">
      <w:pPr>
        <w:pStyle w:val="-LettreObjetGEDA"/>
        <w:tabs>
          <w:tab w:val="left" w:pos="709"/>
        </w:tabs>
        <w:ind w:left="0" w:firstLine="0"/>
        <w:rPr>
          <w:rFonts w:ascii="Cambria" w:hAnsi="Cambria" w:cs="Century Schoolbook"/>
          <w:b/>
          <w:noProof w:val="0"/>
          <w:szCs w:val="24"/>
          <w:lang w:eastAsia="es-ES"/>
        </w:rPr>
      </w:pPr>
      <w:r w:rsidRPr="00381176">
        <w:rPr>
          <w:rFonts w:ascii="Cambria" w:hAnsi="Cambria" w:cs="Century Schoolbook"/>
          <w:b/>
          <w:noProof w:val="0"/>
          <w:szCs w:val="24"/>
          <w:lang w:eastAsia="es-ES"/>
        </w:rPr>
        <w:t>Présentation du dossier de candidature des îles</w:t>
      </w:r>
      <w:r>
        <w:rPr>
          <w:rFonts w:ascii="Cambria" w:hAnsi="Cambria" w:cs="Century Schoolbook"/>
          <w:b/>
          <w:noProof w:val="0"/>
          <w:szCs w:val="24"/>
          <w:lang w:eastAsia="es-ES"/>
        </w:rPr>
        <w:t xml:space="preserve"> Marquises à l’UNESCO devant le </w:t>
      </w:r>
      <w:r w:rsidRPr="00381176">
        <w:rPr>
          <w:rFonts w:ascii="Cambria" w:hAnsi="Cambria" w:cs="Century Schoolbook"/>
          <w:b/>
          <w:noProof w:val="0"/>
          <w:szCs w:val="24"/>
          <w:lang w:eastAsia="es-ES"/>
        </w:rPr>
        <w:t>Comité national des biens</w:t>
      </w:r>
      <w:r>
        <w:rPr>
          <w:rFonts w:ascii="Cambria" w:hAnsi="Cambria" w:cs="Century Schoolbook"/>
          <w:b/>
          <w:noProof w:val="0"/>
          <w:szCs w:val="24"/>
          <w:lang w:eastAsia="es-ES"/>
        </w:rPr>
        <w:t xml:space="preserve"> français du patrimoine mondial</w:t>
      </w:r>
    </w:p>
    <w:p w:rsidR="00C630D6" w:rsidRPr="00381176" w:rsidRDefault="00C630D6" w:rsidP="00C630D6">
      <w:pPr>
        <w:spacing w:before="360"/>
        <w:jc w:val="both"/>
        <w:rPr>
          <w:rFonts w:ascii="Cambria" w:hAnsi="Cambria" w:cs="Century Schoolbook"/>
        </w:rPr>
      </w:pPr>
      <w:r w:rsidRPr="00381176">
        <w:rPr>
          <w:rFonts w:ascii="Cambria" w:hAnsi="Cambria" w:cs="Century Schoolbook"/>
        </w:rPr>
        <w:t xml:space="preserve">Le 15 septembre prochain, une délégation officielle menée par le </w:t>
      </w:r>
      <w:r>
        <w:rPr>
          <w:rFonts w:ascii="Cambria" w:hAnsi="Cambria" w:cs="Century Schoolbook"/>
        </w:rPr>
        <w:t>m</w:t>
      </w:r>
      <w:r w:rsidRPr="00381176">
        <w:rPr>
          <w:rFonts w:ascii="Cambria" w:hAnsi="Cambria" w:cs="Century Schoolbook"/>
        </w:rPr>
        <w:t xml:space="preserve">inistre de la </w:t>
      </w:r>
      <w:r>
        <w:rPr>
          <w:rFonts w:ascii="Cambria" w:hAnsi="Cambria" w:cs="Century Schoolbook"/>
        </w:rPr>
        <w:t xml:space="preserve">Culture et de l’environnement </w:t>
      </w:r>
      <w:r w:rsidRPr="00381176">
        <w:rPr>
          <w:rFonts w:ascii="Cambria" w:hAnsi="Cambria" w:cs="Century Schoolbook"/>
        </w:rPr>
        <w:t xml:space="preserve">et le </w:t>
      </w:r>
      <w:r>
        <w:rPr>
          <w:rFonts w:ascii="Cambria" w:hAnsi="Cambria" w:cs="Century Schoolbook"/>
        </w:rPr>
        <w:t>p</w:t>
      </w:r>
      <w:r w:rsidRPr="00381176">
        <w:rPr>
          <w:rFonts w:ascii="Cambria" w:hAnsi="Cambria" w:cs="Century Schoolbook"/>
        </w:rPr>
        <w:t>résident de la Communauté de commu</w:t>
      </w:r>
      <w:r>
        <w:rPr>
          <w:rFonts w:ascii="Cambria" w:hAnsi="Cambria" w:cs="Century Schoolbook"/>
        </w:rPr>
        <w:t xml:space="preserve">nes des îles Marquises (CODIM) </w:t>
      </w:r>
      <w:r w:rsidRPr="00381176">
        <w:rPr>
          <w:rFonts w:ascii="Cambria" w:hAnsi="Cambria" w:cs="Century Schoolbook"/>
        </w:rPr>
        <w:t>présentera à Paris devant une assemblée de plus de trente spécialistes nationaux du patrimoine naturel et culturel</w:t>
      </w:r>
      <w:r>
        <w:rPr>
          <w:rFonts w:ascii="Cambria" w:hAnsi="Cambria" w:cs="Century Schoolbook"/>
        </w:rPr>
        <w:t>,</w:t>
      </w:r>
      <w:r w:rsidRPr="00381176">
        <w:rPr>
          <w:rFonts w:ascii="Cambria" w:hAnsi="Cambria" w:cs="Century Schoolbook"/>
        </w:rPr>
        <w:t xml:space="preserve"> selon les normes de l’UNESCO, le dossier dit étape 2 </w:t>
      </w:r>
      <w:r>
        <w:rPr>
          <w:rFonts w:ascii="Cambria" w:hAnsi="Cambria" w:cs="Century Schoolbook"/>
        </w:rPr>
        <w:t xml:space="preserve">pour </w:t>
      </w:r>
      <w:proofErr w:type="gramStart"/>
      <w:r>
        <w:rPr>
          <w:rFonts w:ascii="Cambria" w:hAnsi="Cambria" w:cs="Century Schoolbook"/>
        </w:rPr>
        <w:t>le</w:t>
      </w:r>
      <w:r w:rsidRPr="00381176">
        <w:rPr>
          <w:rFonts w:ascii="Cambria" w:hAnsi="Cambria" w:cs="Century Schoolbook"/>
        </w:rPr>
        <w:t xml:space="preserve"> Bien îles</w:t>
      </w:r>
      <w:proofErr w:type="gramEnd"/>
      <w:r w:rsidRPr="00381176">
        <w:rPr>
          <w:rFonts w:ascii="Cambria" w:hAnsi="Cambria" w:cs="Century Schoolbook"/>
        </w:rPr>
        <w:t xml:space="preserve"> Marquises.</w:t>
      </w:r>
    </w:p>
    <w:p w:rsidR="00C630D6" w:rsidRPr="00381176" w:rsidRDefault="00C630D6" w:rsidP="00C630D6">
      <w:pPr>
        <w:spacing w:before="120"/>
        <w:jc w:val="both"/>
        <w:rPr>
          <w:rFonts w:ascii="Cambria" w:hAnsi="Cambria" w:cs="Century Schoolbook"/>
        </w:rPr>
      </w:pPr>
      <w:r w:rsidRPr="00381176">
        <w:rPr>
          <w:rFonts w:ascii="Cambria" w:hAnsi="Cambria" w:cs="Century Schoolbook"/>
        </w:rPr>
        <w:t xml:space="preserve">Aboutissement d’un travail technique et scientifique porté par le </w:t>
      </w:r>
      <w:r>
        <w:rPr>
          <w:rFonts w:ascii="Cambria" w:hAnsi="Cambria" w:cs="Century Schoolbook"/>
        </w:rPr>
        <w:t>m</w:t>
      </w:r>
      <w:r w:rsidRPr="00381176">
        <w:rPr>
          <w:rFonts w:ascii="Cambria" w:hAnsi="Cambria" w:cs="Century Schoolbook"/>
        </w:rPr>
        <w:t xml:space="preserve">inistère </w:t>
      </w:r>
      <w:r>
        <w:rPr>
          <w:rFonts w:ascii="Cambria" w:hAnsi="Cambria" w:cs="Century Schoolbook"/>
        </w:rPr>
        <w:t>en charge de la culture,</w:t>
      </w:r>
      <w:r w:rsidRPr="00381176">
        <w:rPr>
          <w:rFonts w:ascii="Cambria" w:hAnsi="Cambria" w:cs="Century Schoolbook"/>
        </w:rPr>
        <w:t xml:space="preserve"> en collaboration avec la CODIM, le dossier a été réalisé par une équipe pluridisciplinaire d’envergure.</w:t>
      </w:r>
    </w:p>
    <w:p w:rsidR="00C630D6" w:rsidRPr="00381176" w:rsidRDefault="00C630D6" w:rsidP="00C630D6">
      <w:pPr>
        <w:spacing w:before="120"/>
        <w:jc w:val="both"/>
        <w:rPr>
          <w:rFonts w:ascii="Cambria" w:hAnsi="Cambria" w:cs="Century Schoolbook"/>
        </w:rPr>
      </w:pPr>
      <w:r w:rsidRPr="00381176">
        <w:rPr>
          <w:rFonts w:ascii="Cambria" w:hAnsi="Cambria" w:cs="Century Schoolbook"/>
        </w:rPr>
        <w:t>Mené par une équipe d’assistance à maitrise d’ouvrage qui a su réunir plus d’une quinzaine de spécialistes locaux, nationaux et internationaux, et grâce à l’appui technique des services du Pays (Direction</w:t>
      </w:r>
      <w:r>
        <w:rPr>
          <w:rFonts w:ascii="Cambria" w:hAnsi="Cambria" w:cs="Century Schoolbook"/>
        </w:rPr>
        <w:t xml:space="preserve"> de la culture et du patrimoine</w:t>
      </w:r>
      <w:r w:rsidRPr="00381176">
        <w:rPr>
          <w:rFonts w:ascii="Cambria" w:hAnsi="Cambria" w:cs="Century Schoolbook"/>
        </w:rPr>
        <w:t>; Direction de l’environnement), le dossier entend démontrer la valeur universelle exceptionnelle du Bien îles Marquises qui justifie la proposition d’inscription au sein de la prestigieuse Liste de l’UNESCO. Pour ce faire, le dossier dit étape 2 devra permettre de valider l’analyse comparative (au niveau local, régional et international), les périmètres du bien proposé ainsi que son intégrité et son authenticité.</w:t>
      </w:r>
    </w:p>
    <w:p w:rsidR="00C630D6" w:rsidRPr="00381176" w:rsidRDefault="00C630D6" w:rsidP="00C630D6">
      <w:pPr>
        <w:spacing w:before="120"/>
        <w:jc w:val="both"/>
        <w:rPr>
          <w:rFonts w:ascii="Cambria" w:hAnsi="Cambria" w:cs="Century Schoolbook"/>
        </w:rPr>
      </w:pPr>
      <w:r w:rsidRPr="00381176">
        <w:rPr>
          <w:rFonts w:ascii="Cambria" w:hAnsi="Cambria" w:cs="Century Schoolbook"/>
        </w:rPr>
        <w:t xml:space="preserve">Enfin, il convient de souligner la collaboration étroite qui a été menée avec les quatre experts nationaux chargés de l’accompagnement du dossier « Îles Marquises » auprès du Comité national des biens français du patrimoine mondial (deux relevant du </w:t>
      </w:r>
      <w:r>
        <w:rPr>
          <w:rFonts w:ascii="Cambria" w:hAnsi="Cambria" w:cs="Century Schoolbook"/>
        </w:rPr>
        <w:t>m</w:t>
      </w:r>
      <w:r w:rsidRPr="00381176">
        <w:rPr>
          <w:rFonts w:ascii="Cambria" w:hAnsi="Cambria" w:cs="Century Schoolbook"/>
        </w:rPr>
        <w:t xml:space="preserve">inistère de la Culturel national et deux du </w:t>
      </w:r>
      <w:r>
        <w:rPr>
          <w:rFonts w:ascii="Cambria" w:hAnsi="Cambria" w:cs="Century Schoolbook"/>
        </w:rPr>
        <w:t>m</w:t>
      </w:r>
      <w:r w:rsidRPr="00381176">
        <w:rPr>
          <w:rFonts w:ascii="Cambria" w:hAnsi="Cambria" w:cs="Century Schoolbook"/>
        </w:rPr>
        <w:t>inistère de la Transition écologique et solidaire). De façon concrète</w:t>
      </w:r>
      <w:r>
        <w:rPr>
          <w:rFonts w:ascii="Cambria" w:hAnsi="Cambria" w:cs="Century Schoolbook"/>
        </w:rPr>
        <w:t>,</w:t>
      </w:r>
      <w:r w:rsidRPr="00381176">
        <w:rPr>
          <w:rFonts w:ascii="Cambria" w:hAnsi="Cambria" w:cs="Century Schoolbook"/>
        </w:rPr>
        <w:t xml:space="preserve"> cela a permis de confronter les données et les approches afin d’assurer la bonne avancée du dossier.</w:t>
      </w:r>
    </w:p>
    <w:p w:rsidR="00C630D6" w:rsidRPr="00381176" w:rsidRDefault="00C630D6" w:rsidP="00C630D6">
      <w:pPr>
        <w:spacing w:before="120"/>
        <w:jc w:val="both"/>
        <w:rPr>
          <w:rFonts w:ascii="Cambria" w:hAnsi="Cambria" w:cs="Century Schoolbook"/>
        </w:rPr>
      </w:pPr>
      <w:r w:rsidRPr="00381176">
        <w:rPr>
          <w:rFonts w:ascii="Cambria" w:hAnsi="Cambria" w:cs="Century Schoolbook"/>
        </w:rPr>
        <w:t>Pour rappel, si le dossier de l’étape 2 donne satisfaction au CNBFPM, l’étape 3 devra permettre d’élaborer, avec la population locale, le plan de gestion puis de finaliser le dossier complet qui sera soumis in fine à l’UNESCO, après décision du Président de la République et diverses itérations avec des experts. Cette dernière phase durera entre 18 et 24 mois.</w:t>
      </w:r>
    </w:p>
    <w:p w:rsidR="00C630D6" w:rsidRDefault="00C630D6" w:rsidP="00C630D6">
      <w:pPr>
        <w:pStyle w:val="-LettreObjetGEDA"/>
        <w:tabs>
          <w:tab w:val="left" w:pos="709"/>
        </w:tabs>
        <w:jc w:val="left"/>
        <w:rPr>
          <w:rFonts w:ascii="Cambria" w:hAnsi="Cambria" w:cs="Century Schoolbook"/>
          <w:noProof w:val="0"/>
          <w:szCs w:val="24"/>
          <w:lang w:eastAsia="es-ES"/>
        </w:rPr>
      </w:pPr>
    </w:p>
    <w:p w:rsidR="00C630D6" w:rsidRPr="00256DFD" w:rsidRDefault="00C630D6" w:rsidP="00C630D6">
      <w:pPr>
        <w:pStyle w:val="-LettreObjetGEDA"/>
        <w:tabs>
          <w:tab w:val="left" w:pos="709"/>
        </w:tabs>
        <w:jc w:val="left"/>
        <w:rPr>
          <w:rFonts w:ascii="Cambria" w:hAnsi="Cambria" w:cs="Century Schoolbook"/>
          <w:b/>
          <w:noProof w:val="0"/>
          <w:szCs w:val="24"/>
          <w:lang w:eastAsia="es-ES"/>
        </w:rPr>
      </w:pPr>
      <w:r w:rsidRPr="00256DFD">
        <w:rPr>
          <w:rFonts w:ascii="Cambria" w:hAnsi="Cambria" w:cs="Century Schoolbook"/>
          <w:b/>
          <w:noProof w:val="0"/>
          <w:szCs w:val="24"/>
          <w:lang w:eastAsia="es-ES"/>
        </w:rPr>
        <w:t>Valorisation des déchets alimentaires par éco-digesteur</w:t>
      </w:r>
    </w:p>
    <w:p w:rsidR="00C630D6" w:rsidRPr="00256DFD" w:rsidRDefault="00C630D6" w:rsidP="00C630D6">
      <w:pPr>
        <w:pStyle w:val="-LettreObjetGEDA"/>
        <w:ind w:left="0" w:firstLine="0"/>
        <w:rPr>
          <w:rFonts w:ascii="Cambria" w:hAnsi="Cambria" w:cs="Century Schoolbook"/>
          <w:b/>
          <w:noProof w:val="0"/>
          <w:szCs w:val="24"/>
          <w:lang w:eastAsia="es-ES"/>
        </w:rPr>
      </w:pPr>
      <w:r w:rsidRPr="00256DFD">
        <w:rPr>
          <w:rFonts w:ascii="Cambria" w:hAnsi="Cambria"/>
          <w:noProof w:val="0"/>
        </w:rPr>
        <w:lastRenderedPageBreak/>
        <w:t>Aujourd’hui, les déchets alimentaires produits par les agents de l’</w:t>
      </w:r>
      <w:r>
        <w:rPr>
          <w:rFonts w:ascii="Cambria" w:hAnsi="Cambria"/>
          <w:noProof w:val="0"/>
        </w:rPr>
        <w:t>a</w:t>
      </w:r>
      <w:r w:rsidRPr="00256DFD">
        <w:rPr>
          <w:rFonts w:ascii="Cambria" w:hAnsi="Cambria"/>
          <w:noProof w:val="0"/>
        </w:rPr>
        <w:t xml:space="preserve">dministration du Pays pendant leurs heures de service sont jetés dans le bac gris et finissent enfouis au CET de </w:t>
      </w:r>
      <w:proofErr w:type="spellStart"/>
      <w:r w:rsidRPr="00256DFD">
        <w:rPr>
          <w:rFonts w:ascii="Cambria" w:hAnsi="Cambria"/>
          <w:noProof w:val="0"/>
        </w:rPr>
        <w:t>Paihoro</w:t>
      </w:r>
      <w:proofErr w:type="spellEnd"/>
      <w:r w:rsidRPr="00256DFD">
        <w:rPr>
          <w:rFonts w:ascii="Cambria" w:hAnsi="Cambria"/>
          <w:noProof w:val="0"/>
        </w:rPr>
        <w:t>.</w:t>
      </w:r>
    </w:p>
    <w:p w:rsidR="00C630D6" w:rsidRPr="00256DFD" w:rsidRDefault="00C630D6" w:rsidP="00C630D6">
      <w:pPr>
        <w:pStyle w:val="-LettreTexteGEDA"/>
        <w:spacing w:before="240"/>
        <w:ind w:firstLine="0"/>
        <w:rPr>
          <w:rFonts w:ascii="Cambria" w:hAnsi="Cambria"/>
          <w:noProof w:val="0"/>
        </w:rPr>
      </w:pPr>
      <w:r w:rsidRPr="00256DFD">
        <w:rPr>
          <w:rFonts w:ascii="Cambria" w:hAnsi="Cambria"/>
          <w:noProof w:val="0"/>
        </w:rPr>
        <w:t>Dans un objectif de réduction et de valorisation de ce gisement non négligeable de bio-déchets, qui représente plus d’un tiers du volume du bac gris, la Direction de l'environnement envisage de tester l’utilisation d’un petit éco-digesteur au sein de ses locaux.</w:t>
      </w:r>
    </w:p>
    <w:p w:rsidR="00C630D6" w:rsidRPr="00256DFD" w:rsidRDefault="00C630D6" w:rsidP="00C630D6">
      <w:pPr>
        <w:pStyle w:val="-LettreTexteGEDA"/>
        <w:spacing w:before="240"/>
        <w:ind w:firstLine="0"/>
        <w:rPr>
          <w:rFonts w:ascii="Cambria" w:hAnsi="Cambria"/>
          <w:noProof w:val="0"/>
        </w:rPr>
      </w:pPr>
      <w:r w:rsidRPr="00256DFD">
        <w:rPr>
          <w:rFonts w:ascii="Cambria" w:hAnsi="Cambria"/>
          <w:noProof w:val="0"/>
        </w:rPr>
        <w:t xml:space="preserve">L’appareil, grâce à des conditions de température et d’aération favorables, permet la dégradation rapide des déchets alimentaires ou organiques. En 24 h, les déchets ainsi traités sont réduits de 90% et transformés en un compost utilisable. Selon la capacité de ces petits éco-digesteurs, le coût des appareils varie entre 100 000 et 200 000 </w:t>
      </w:r>
      <w:proofErr w:type="spellStart"/>
      <w:r w:rsidRPr="00256DFD">
        <w:rPr>
          <w:rFonts w:ascii="Cambria" w:hAnsi="Cambria"/>
          <w:noProof w:val="0"/>
        </w:rPr>
        <w:t>F</w:t>
      </w:r>
      <w:r>
        <w:rPr>
          <w:rFonts w:ascii="Cambria" w:hAnsi="Cambria"/>
          <w:noProof w:val="0"/>
        </w:rPr>
        <w:t>cfp</w:t>
      </w:r>
      <w:proofErr w:type="spellEnd"/>
      <w:r w:rsidRPr="00256DFD">
        <w:rPr>
          <w:rFonts w:ascii="Cambria" w:hAnsi="Cambria"/>
          <w:noProof w:val="0"/>
        </w:rPr>
        <w:t>.</w:t>
      </w:r>
    </w:p>
    <w:p w:rsidR="00C630D6" w:rsidRPr="00256DFD" w:rsidRDefault="00C630D6" w:rsidP="00C630D6">
      <w:pPr>
        <w:pStyle w:val="-LettreTexteGEDA"/>
        <w:spacing w:before="240"/>
        <w:ind w:firstLine="0"/>
        <w:rPr>
          <w:rFonts w:ascii="Cambria" w:hAnsi="Cambria"/>
          <w:noProof w:val="0"/>
        </w:rPr>
      </w:pPr>
      <w:r w:rsidRPr="00256DFD">
        <w:rPr>
          <w:rFonts w:ascii="Cambria" w:hAnsi="Cambria"/>
          <w:noProof w:val="0"/>
        </w:rPr>
        <w:t>L’éco-digesteur retenu a une capacité de traitement de 5 kg par jour, ce dimensionnement permettant de traiter les déchets produits par un effectif de 30 agents. Par ailleurs, son faible encombrement et l’absence de production de nuisances olfactives et sonores permettent son utilisation dans un environnement de bureau.</w:t>
      </w:r>
    </w:p>
    <w:p w:rsidR="00C630D6" w:rsidRDefault="00C630D6" w:rsidP="00C630D6">
      <w:pPr>
        <w:pStyle w:val="-LettreTexteGEDA"/>
        <w:spacing w:before="240"/>
        <w:ind w:firstLine="0"/>
        <w:rPr>
          <w:rFonts w:ascii="Cambria" w:hAnsi="Cambria"/>
          <w:noProof w:val="0"/>
        </w:rPr>
      </w:pPr>
      <w:r w:rsidRPr="00256DFD">
        <w:rPr>
          <w:rFonts w:ascii="Cambria" w:hAnsi="Cambria"/>
          <w:noProof w:val="0"/>
        </w:rPr>
        <w:t xml:space="preserve">Des éco-digesteurs de plus grande capacité sont déjà en service dans certains hôtels, au Centre des jeunes adolescents de Papeete et au Centre de compostage de </w:t>
      </w:r>
      <w:proofErr w:type="spellStart"/>
      <w:r w:rsidRPr="00256DFD">
        <w:rPr>
          <w:rFonts w:ascii="Cambria" w:hAnsi="Cambria"/>
          <w:noProof w:val="0"/>
        </w:rPr>
        <w:t>Paihoro</w:t>
      </w:r>
      <w:proofErr w:type="spellEnd"/>
      <w:r w:rsidRPr="00256DFD">
        <w:rPr>
          <w:rFonts w:ascii="Cambria" w:hAnsi="Cambria"/>
          <w:noProof w:val="0"/>
        </w:rPr>
        <w:t>.</w:t>
      </w:r>
      <w:r>
        <w:rPr>
          <w:rFonts w:ascii="Cambria" w:hAnsi="Cambria"/>
          <w:noProof w:val="0"/>
        </w:rPr>
        <w:t xml:space="preserve"> </w:t>
      </w:r>
      <w:r w:rsidRPr="00256DFD">
        <w:rPr>
          <w:rFonts w:ascii="Cambria" w:hAnsi="Cambria"/>
          <w:noProof w:val="0"/>
        </w:rPr>
        <w:t xml:space="preserve">Il semble </w:t>
      </w:r>
      <w:r>
        <w:rPr>
          <w:rFonts w:ascii="Cambria" w:hAnsi="Cambria"/>
          <w:noProof w:val="0"/>
        </w:rPr>
        <w:t xml:space="preserve">utile et </w:t>
      </w:r>
      <w:r w:rsidRPr="00256DFD">
        <w:rPr>
          <w:rFonts w:ascii="Cambria" w:hAnsi="Cambria"/>
          <w:noProof w:val="0"/>
        </w:rPr>
        <w:t>intéressant d’étendre l’initiative à d’autres entités administratives dans le cadre de la démarche d’exemplarité de l’</w:t>
      </w:r>
      <w:r>
        <w:rPr>
          <w:rFonts w:ascii="Cambria" w:hAnsi="Cambria"/>
          <w:noProof w:val="0"/>
        </w:rPr>
        <w:t>a</w:t>
      </w:r>
      <w:r w:rsidRPr="00256DFD">
        <w:rPr>
          <w:rFonts w:ascii="Cambria" w:hAnsi="Cambria"/>
          <w:noProof w:val="0"/>
        </w:rPr>
        <w:t>dministration polynésienne.</w:t>
      </w:r>
    </w:p>
    <w:p w:rsidR="00C630D6" w:rsidRDefault="00C630D6" w:rsidP="00C630D6">
      <w:pPr>
        <w:pStyle w:val="-LettreTexteGEDA"/>
        <w:spacing w:before="240"/>
        <w:ind w:firstLine="0"/>
        <w:rPr>
          <w:rFonts w:ascii="Cambria" w:hAnsi="Cambria"/>
          <w:noProof w:val="0"/>
        </w:rPr>
      </w:pPr>
    </w:p>
    <w:p w:rsidR="00C630D6" w:rsidRDefault="00C630D6" w:rsidP="00C630D6">
      <w:pPr>
        <w:pStyle w:val="-LettreTexteGEDA"/>
        <w:spacing w:before="240"/>
        <w:ind w:firstLine="0"/>
        <w:rPr>
          <w:rFonts w:ascii="Cambria" w:hAnsi="Cambria"/>
          <w:noProof w:val="0"/>
        </w:rPr>
      </w:pPr>
    </w:p>
    <w:p w:rsidR="00C630D6" w:rsidRPr="008E1A29" w:rsidRDefault="00C630D6" w:rsidP="00C630D6">
      <w:pPr>
        <w:widowControl w:val="0"/>
        <w:autoSpaceDE w:val="0"/>
        <w:autoSpaceDN w:val="0"/>
        <w:adjustRightInd w:val="0"/>
        <w:spacing w:before="240"/>
        <w:jc w:val="both"/>
        <w:rPr>
          <w:rFonts w:ascii="Cambria" w:hAnsi="Cambria" w:cs="Century Schoolbook"/>
          <w:b/>
        </w:rPr>
      </w:pPr>
      <w:r w:rsidRPr="008E1A29">
        <w:rPr>
          <w:rFonts w:ascii="Cambria" w:hAnsi="Cambria"/>
          <w:b/>
        </w:rPr>
        <w:t xml:space="preserve">Diffusion de spots à la télévision </w:t>
      </w:r>
      <w:r>
        <w:rPr>
          <w:rFonts w:ascii="Cambria" w:hAnsi="Cambria"/>
          <w:b/>
        </w:rPr>
        <w:t>présentant le dispositif</w:t>
      </w:r>
      <w:r w:rsidRPr="008E1A29">
        <w:rPr>
          <w:rFonts w:ascii="Cambria" w:hAnsi="Cambria"/>
          <w:b/>
        </w:rPr>
        <w:t xml:space="preserve"> </w:t>
      </w:r>
      <w:proofErr w:type="gramStart"/>
      <w:r>
        <w:rPr>
          <w:rFonts w:ascii="Cambria" w:hAnsi="Cambria"/>
          <w:b/>
        </w:rPr>
        <w:t>d</w:t>
      </w:r>
      <w:r w:rsidRPr="008E1A29">
        <w:rPr>
          <w:rFonts w:ascii="Cambria" w:hAnsi="Cambria"/>
          <w:b/>
        </w:rPr>
        <w:t>’accueillant</w:t>
      </w:r>
      <w:proofErr w:type="gramEnd"/>
      <w:r w:rsidRPr="008E1A29">
        <w:rPr>
          <w:rFonts w:ascii="Cambria" w:hAnsi="Cambria"/>
          <w:b/>
        </w:rPr>
        <w:t xml:space="preserve"> familial</w:t>
      </w:r>
    </w:p>
    <w:p w:rsidR="00C630D6" w:rsidRPr="008E1A29" w:rsidRDefault="00C630D6" w:rsidP="00C630D6">
      <w:pPr>
        <w:widowControl w:val="0"/>
        <w:autoSpaceDE w:val="0"/>
        <w:autoSpaceDN w:val="0"/>
        <w:adjustRightInd w:val="0"/>
        <w:spacing w:before="240"/>
        <w:jc w:val="both"/>
        <w:rPr>
          <w:rFonts w:ascii="Cambria" w:hAnsi="Cambria" w:cs="Century Schoolbook"/>
          <w:b/>
        </w:rPr>
      </w:pPr>
    </w:p>
    <w:p w:rsidR="00C630D6" w:rsidRPr="008E1A29" w:rsidRDefault="00C630D6" w:rsidP="00C630D6">
      <w:pPr>
        <w:pStyle w:val="-LettreTexteGEDA"/>
        <w:spacing w:before="0"/>
        <w:ind w:firstLine="0"/>
        <w:rPr>
          <w:rFonts w:ascii="Cambria" w:hAnsi="Cambria"/>
          <w:noProof w:val="0"/>
        </w:rPr>
      </w:pPr>
      <w:r w:rsidRPr="008E1A29">
        <w:rPr>
          <w:rFonts w:ascii="Cambria" w:hAnsi="Cambria"/>
          <w:noProof w:val="0"/>
        </w:rPr>
        <w:t>L’accueil familial est un dispositif encadré par la loi du Pays 6 octobre 2009, permettant à une personne âgée, handicapée ou mineure sous mesure de protection judicaire, d’être accueillie au domicile d’un accueillant familial. Toute personne qui accueille en placement familial doit être agréée préalablement par la commission idoine après évaluation sociale et psychologique de l’intéressée, et de sa famille vivant sous le même toit. Aujourd’hui, le Pays dénombre près de 30 accueillants familiaux pour adultes, et 82 pour jeunes mineurs.</w:t>
      </w:r>
    </w:p>
    <w:p w:rsidR="00C630D6" w:rsidRPr="008E1A29" w:rsidRDefault="00C630D6" w:rsidP="00C630D6">
      <w:pPr>
        <w:pStyle w:val="-LettreTexteGEDA"/>
        <w:spacing w:before="0"/>
        <w:ind w:firstLine="709"/>
        <w:rPr>
          <w:rFonts w:ascii="Cambria" w:hAnsi="Cambria"/>
          <w:noProof w:val="0"/>
        </w:rPr>
      </w:pPr>
    </w:p>
    <w:p w:rsidR="00C630D6" w:rsidRPr="008E1A29" w:rsidRDefault="00C630D6" w:rsidP="00C630D6">
      <w:pPr>
        <w:pStyle w:val="-LettreTexteGEDA"/>
        <w:spacing w:before="0"/>
        <w:ind w:firstLine="0"/>
        <w:rPr>
          <w:rFonts w:ascii="Cambria" w:hAnsi="Cambria"/>
          <w:noProof w:val="0"/>
        </w:rPr>
      </w:pPr>
      <w:r w:rsidRPr="008E1A29">
        <w:rPr>
          <w:rFonts w:ascii="Cambria" w:hAnsi="Cambria"/>
          <w:noProof w:val="0"/>
        </w:rPr>
        <w:t>Toutefois, une baisse significative du nombre d’Accueillant Familial est observée, notamment pour les jeunes mineurs, passant ainsi de 101 en 2017 à 93 en 2018 puis à 82 en 2019. En plus de cette baisse de demande d’agrément, un faible nombre de demande de renouvellement est constaté. Seulement 42 dossiers ont été examinés au cours des 6 commissions, à raison d’une commission tous les 2 mois. C</w:t>
      </w:r>
      <w:r w:rsidRPr="008E1A29">
        <w:rPr>
          <w:rFonts w:ascii="Cambria" w:hAnsi="Cambria"/>
        </w:rPr>
        <w:t>eci démontre qu’une démarche visant à accroître le nombre de places dans ces structures familiales, doit être impulsée en Polynésie Française.</w:t>
      </w:r>
      <w:r w:rsidRPr="008E1A29">
        <w:rPr>
          <w:rFonts w:ascii="Cambria" w:hAnsi="Cambria"/>
          <w:noProof w:val="0"/>
        </w:rPr>
        <w:t xml:space="preserve"> </w:t>
      </w:r>
      <w:r w:rsidRPr="008E1A29">
        <w:rPr>
          <w:rFonts w:ascii="Cambria" w:hAnsi="Cambria"/>
        </w:rPr>
        <w:t xml:space="preserve">En ce sens, la DSFE, en partenariat avec l’ARASS, va ainsi </w:t>
      </w:r>
      <w:r w:rsidRPr="008E1A29">
        <w:rPr>
          <w:rFonts w:ascii="Cambria" w:hAnsi="Cambria"/>
          <w:noProof w:val="0"/>
        </w:rPr>
        <w:t xml:space="preserve">promouvoir les fonctions </w:t>
      </w:r>
      <w:proofErr w:type="gramStart"/>
      <w:r w:rsidRPr="008E1A29">
        <w:rPr>
          <w:rFonts w:ascii="Cambria" w:hAnsi="Cambria"/>
          <w:noProof w:val="0"/>
        </w:rPr>
        <w:t>d’accueillant</w:t>
      </w:r>
      <w:proofErr w:type="gramEnd"/>
      <w:r w:rsidRPr="008E1A29">
        <w:rPr>
          <w:rFonts w:ascii="Cambria" w:hAnsi="Cambria"/>
          <w:noProof w:val="0"/>
        </w:rPr>
        <w:t xml:space="preserve"> familial afin de mobiliser la population dans cette mission encore peu connue d’une grande partie de la population. </w:t>
      </w:r>
    </w:p>
    <w:p w:rsidR="00C630D6" w:rsidRPr="008E1A29" w:rsidRDefault="00C630D6" w:rsidP="00C630D6">
      <w:pPr>
        <w:pStyle w:val="-LettreSuiteORefPJGEDA"/>
        <w:ind w:left="0"/>
        <w:rPr>
          <w:rFonts w:ascii="Cambria" w:hAnsi="Cambria"/>
        </w:rPr>
      </w:pPr>
    </w:p>
    <w:p w:rsidR="00C630D6" w:rsidRPr="008E1A29" w:rsidRDefault="00C630D6" w:rsidP="00C630D6">
      <w:pPr>
        <w:pStyle w:val="-LettreSuiteORefPJGEDA"/>
        <w:ind w:left="0"/>
        <w:rPr>
          <w:rFonts w:ascii="Cambria" w:hAnsi="Cambria"/>
        </w:rPr>
      </w:pPr>
      <w:r w:rsidRPr="008E1A29">
        <w:rPr>
          <w:rFonts w:ascii="Cambria" w:hAnsi="Cambria"/>
        </w:rPr>
        <w:t xml:space="preserve">Deux spotts destinés à la télévision, ayant pour but de promouvoir cette mission, ont été tournés au mois de juillet avec l’aide d’acteurs bénévoles. Un spot porte sur l’accueil des </w:t>
      </w:r>
      <w:r w:rsidRPr="008E1A29">
        <w:rPr>
          <w:rFonts w:ascii="Cambria" w:hAnsi="Cambria"/>
        </w:rPr>
        <w:lastRenderedPageBreak/>
        <w:t>personnes âgées et les adultes en perte d’autonomie. Un autre spot porte sur les mineurs et les jeunes majeurs.</w:t>
      </w:r>
    </w:p>
    <w:p w:rsidR="00C630D6" w:rsidRPr="008E1A29" w:rsidRDefault="00C630D6" w:rsidP="00C630D6">
      <w:pPr>
        <w:pStyle w:val="-LettreTexteGEDA"/>
        <w:spacing w:before="0"/>
        <w:ind w:firstLine="0"/>
        <w:rPr>
          <w:rFonts w:ascii="Cambria" w:hAnsi="Cambria"/>
          <w:noProof w:val="0"/>
        </w:rPr>
      </w:pPr>
    </w:p>
    <w:p w:rsidR="00C630D6" w:rsidRPr="008E1A29" w:rsidRDefault="00C630D6" w:rsidP="00C630D6">
      <w:pPr>
        <w:spacing w:after="240"/>
        <w:jc w:val="both"/>
        <w:rPr>
          <w:rFonts w:ascii="Cambria" w:hAnsi="Cambria"/>
        </w:rPr>
      </w:pPr>
      <w:r w:rsidRPr="008E1A29">
        <w:rPr>
          <w:rFonts w:ascii="Cambria" w:hAnsi="Cambria"/>
        </w:rPr>
        <w:t>Ces deux spots seront diffusés, tous les jours de la semaine, du 1</w:t>
      </w:r>
      <w:r w:rsidRPr="008E1A29">
        <w:rPr>
          <w:rFonts w:ascii="Cambria" w:hAnsi="Cambria"/>
          <w:vertAlign w:val="superscript"/>
        </w:rPr>
        <w:t>er</w:t>
      </w:r>
      <w:r w:rsidRPr="008E1A29">
        <w:rPr>
          <w:rFonts w:ascii="Cambria" w:hAnsi="Cambria"/>
        </w:rPr>
        <w:t xml:space="preserve"> octobre au 31 octobre prochains, sur Tahiti Nui Télévision et Polynésie 1</w:t>
      </w:r>
      <w:r w:rsidRPr="008E1A29">
        <w:rPr>
          <w:rFonts w:ascii="Cambria" w:hAnsi="Cambria"/>
          <w:vertAlign w:val="superscript"/>
        </w:rPr>
        <w:t>ère</w:t>
      </w:r>
      <w:r w:rsidRPr="008E1A29">
        <w:rPr>
          <w:rFonts w:ascii="Cambria" w:hAnsi="Cambria"/>
        </w:rPr>
        <w:t xml:space="preserve"> avec pour objectif de recruter les futurs accueillants familiaux souhaitant s’engager dans cette mission d’intérêt général. Les réseaux sociaux tels quel Facebook et </w:t>
      </w:r>
      <w:proofErr w:type="spellStart"/>
      <w:r w:rsidRPr="008E1A29">
        <w:rPr>
          <w:rFonts w:ascii="Cambria" w:hAnsi="Cambria"/>
        </w:rPr>
        <w:t>Youtube</w:t>
      </w:r>
      <w:proofErr w:type="spellEnd"/>
      <w:r w:rsidRPr="008E1A29">
        <w:rPr>
          <w:rFonts w:ascii="Cambria" w:hAnsi="Cambria"/>
        </w:rPr>
        <w:t xml:space="preserve"> seront également employés pour la diffusion de ces spots.  </w:t>
      </w:r>
    </w:p>
    <w:p w:rsidR="00C630D6" w:rsidRPr="00256DFD" w:rsidRDefault="00C630D6" w:rsidP="00C630D6">
      <w:pPr>
        <w:spacing w:after="240"/>
        <w:jc w:val="both"/>
        <w:rPr>
          <w:rFonts w:ascii="Cambria" w:hAnsi="Cambria"/>
        </w:rPr>
      </w:pPr>
      <w:r w:rsidRPr="008E1A29">
        <w:rPr>
          <w:rFonts w:ascii="Cambria" w:hAnsi="Cambria"/>
        </w:rPr>
        <w:t xml:space="preserve">Les accueillants familiaux retenus perçoivent une indemnisation comprise entre 105 000 </w:t>
      </w:r>
      <w:proofErr w:type="spellStart"/>
      <w:r w:rsidRPr="008E1A29">
        <w:rPr>
          <w:rFonts w:ascii="Cambria" w:hAnsi="Cambria"/>
        </w:rPr>
        <w:t>Fcfp</w:t>
      </w:r>
      <w:proofErr w:type="spellEnd"/>
      <w:r w:rsidRPr="008E1A29">
        <w:rPr>
          <w:rFonts w:ascii="Cambria" w:hAnsi="Cambria"/>
        </w:rPr>
        <w:t xml:space="preserve"> (pour 1 enfant ou 1 personne accueillie) et 150 000 </w:t>
      </w:r>
      <w:proofErr w:type="spellStart"/>
      <w:r w:rsidRPr="008E1A29">
        <w:rPr>
          <w:rFonts w:ascii="Cambria" w:hAnsi="Cambria"/>
        </w:rPr>
        <w:t>Fcfp</w:t>
      </w:r>
      <w:proofErr w:type="spellEnd"/>
      <w:r w:rsidRPr="008E1A29">
        <w:rPr>
          <w:rFonts w:ascii="Cambria" w:hAnsi="Cambria"/>
        </w:rPr>
        <w:t xml:space="preserve"> en cas de sujétions particulières (personnes porteuses de handicap). Ils bénéficient tous d’une formation initiale d’une durée de 112 heures, et d’une formation continue de 15 heures. Avec cette campagne d’information et de sensibilisation, le ministère de la Famille escompte, pour 2021, une augmentation significative des accueillants familiaux afin de répondre aux besoins dans ce domaine.</w:t>
      </w:r>
    </w:p>
    <w:p w:rsidR="00C630D6" w:rsidRDefault="00C630D6" w:rsidP="003C5FFF">
      <w:pPr>
        <w:pStyle w:val="-LettreSuiteORefPJGEDA"/>
        <w:ind w:left="0"/>
        <w:rPr>
          <w:rFonts w:asciiTheme="majorHAnsi" w:hAnsiTheme="majorHAnsi"/>
        </w:rPr>
      </w:pPr>
    </w:p>
    <w:p w:rsidR="00762278" w:rsidRPr="004B64D9" w:rsidRDefault="00762278" w:rsidP="00762278">
      <w:pPr>
        <w:pStyle w:val="-LettreObjetGEDA"/>
        <w:tabs>
          <w:tab w:val="left" w:pos="709"/>
        </w:tabs>
        <w:ind w:left="0" w:firstLine="0"/>
        <w:rPr>
          <w:rFonts w:ascii="Cambria" w:hAnsi="Cambria"/>
          <w:b/>
          <w:noProof w:val="0"/>
        </w:rPr>
      </w:pPr>
      <w:r w:rsidRPr="004B64D9">
        <w:rPr>
          <w:rFonts w:ascii="Cambria" w:hAnsi="Cambria"/>
          <w:b/>
          <w:noProof w:val="0"/>
        </w:rPr>
        <w:t>Création et fonctionnement de la commission d’agrément des candidats à l’adoption</w:t>
      </w:r>
    </w:p>
    <w:p w:rsidR="00762278" w:rsidRPr="004B64D9" w:rsidRDefault="00762278" w:rsidP="00762278">
      <w:pPr>
        <w:pStyle w:val="-LettreTexteGEDA"/>
        <w:ind w:firstLine="0"/>
        <w:rPr>
          <w:rFonts w:ascii="Cambria" w:hAnsi="Cambria"/>
          <w:noProof w:val="0"/>
          <w:highlight w:val="yellow"/>
        </w:rPr>
      </w:pPr>
      <w:r w:rsidRPr="004B64D9">
        <w:rPr>
          <w:rFonts w:ascii="Cambria" w:hAnsi="Cambria"/>
          <w:noProof w:val="0"/>
          <w:highlight w:val="yellow"/>
        </w:rPr>
        <w:t xml:space="preserve">         </w:t>
      </w:r>
    </w:p>
    <w:p w:rsidR="00762278" w:rsidRPr="004B64D9" w:rsidRDefault="00762278" w:rsidP="00762278">
      <w:pPr>
        <w:pStyle w:val="NormalWeb"/>
        <w:spacing w:before="120" w:beforeAutospacing="0"/>
        <w:jc w:val="both"/>
        <w:rPr>
          <w:rFonts w:ascii="Cambria" w:hAnsi="Cambria"/>
        </w:rPr>
      </w:pPr>
      <w:r w:rsidRPr="004B64D9">
        <w:rPr>
          <w:rFonts w:ascii="Cambria" w:hAnsi="Cambria"/>
        </w:rPr>
        <w:t xml:space="preserve">Le conseil des ministres a adopté un arrêté tendant à actualiser la composition et le fonctionnement de la commission d’agrément </w:t>
      </w:r>
      <w:r>
        <w:rPr>
          <w:rFonts w:ascii="Cambria" w:hAnsi="Cambria"/>
        </w:rPr>
        <w:t xml:space="preserve">attribué en vue d’une adoption. </w:t>
      </w:r>
      <w:r w:rsidRPr="004B64D9">
        <w:rPr>
          <w:rFonts w:ascii="Cambria" w:hAnsi="Cambria"/>
        </w:rPr>
        <w:t>Ces dispositions complémentaires ont vocation à améliorer et sécuriser le fonctionnement de cette instance, et à faire respecter le principe du secret professionnel et des principes éthiques auxquels sont astreints les membres de ladite commission.</w:t>
      </w:r>
    </w:p>
    <w:p w:rsidR="00762278" w:rsidRDefault="00762278" w:rsidP="00762278">
      <w:pPr>
        <w:pStyle w:val="-LettreTexteGEDA"/>
        <w:ind w:firstLine="0"/>
        <w:rPr>
          <w:rFonts w:ascii="Cambria" w:hAnsi="Cambria"/>
          <w:i/>
          <w:noProof w:val="0"/>
        </w:rPr>
      </w:pPr>
      <w:r w:rsidRPr="004B64D9">
        <w:rPr>
          <w:rFonts w:ascii="Cambria" w:hAnsi="Cambria"/>
          <w:noProof w:val="0"/>
        </w:rPr>
        <w:t>Le cadre a été comp</w:t>
      </w:r>
      <w:r>
        <w:rPr>
          <w:rFonts w:ascii="Cambria" w:hAnsi="Cambria"/>
          <w:noProof w:val="0"/>
        </w:rPr>
        <w:t>lété des dispositions suivantes</w:t>
      </w:r>
      <w:r w:rsidRPr="004B64D9">
        <w:rPr>
          <w:rFonts w:ascii="Cambria" w:hAnsi="Cambria"/>
          <w:noProof w:val="0"/>
        </w:rPr>
        <w:t>: les modalités de quorum, de scrutin, le principe que les débats sont garantis par le secret professionnel imposé aux membres, la création des fonctions de président de l’instance, et de vice-président, qui sont confiées respectivement au ministre en charge des affaires sociales et au directeur du service en charge des affaires sociales, une voix prépondérante étant attribuée au président en cas de partage des votes, et l’obligation de réunir l’instance au rythme d’une séance tous les quatre mois, pour garantir l’examen régulier des demandes formulées, et ainsi prévenir le recours abusif à la procédure de délégation de l’exercice de l’autorité parentale, qui reste majoritairement empruntée aujourd’hui pour contourner la procédure légale de l’agrément.</w:t>
      </w:r>
      <w:r w:rsidRPr="004B64D9">
        <w:rPr>
          <w:rFonts w:ascii="Cambria" w:hAnsi="Cambria"/>
          <w:i/>
          <w:noProof w:val="0"/>
        </w:rPr>
        <w:t xml:space="preserve"> </w:t>
      </w:r>
    </w:p>
    <w:p w:rsidR="00762278" w:rsidRDefault="00762278" w:rsidP="003C5FFF">
      <w:pPr>
        <w:pStyle w:val="-LettreSuiteORefPJGEDA"/>
        <w:ind w:left="0"/>
        <w:rPr>
          <w:rFonts w:asciiTheme="majorHAnsi" w:hAnsiTheme="majorHAnsi"/>
        </w:rPr>
      </w:pPr>
    </w:p>
    <w:p w:rsidR="00762278" w:rsidRPr="004B64D9" w:rsidRDefault="00762278" w:rsidP="00762278">
      <w:pPr>
        <w:pStyle w:val="-LettreTexteGEDA"/>
        <w:ind w:firstLine="0"/>
        <w:rPr>
          <w:rFonts w:ascii="Cambria" w:hAnsi="Cambria"/>
        </w:rPr>
      </w:pPr>
      <w:r w:rsidRPr="004B64D9">
        <w:rPr>
          <w:rFonts w:ascii="Cambria" w:hAnsi="Cambria"/>
        </w:rPr>
        <w:t>L’avis doit être rendu dans une fenêtre de neuf à douze mois suivant la date du dépôt de la demande d’agrément, ce laps de temps permettant d’éviter toute décision précipitée pour que le projet parental se consolide, et accessoirement pour garantir le traitement des dossiers dans un laps de temps raisonnable.</w:t>
      </w:r>
    </w:p>
    <w:p w:rsidR="00762278" w:rsidRDefault="00762278" w:rsidP="00762278">
      <w:pPr>
        <w:pStyle w:val="-LettreTexteGEDA"/>
        <w:ind w:firstLine="0"/>
        <w:rPr>
          <w:rFonts w:ascii="Cambria" w:hAnsi="Cambria"/>
        </w:rPr>
      </w:pPr>
      <w:r w:rsidRPr="004B64D9">
        <w:rPr>
          <w:rFonts w:ascii="Cambria" w:hAnsi="Cambria"/>
        </w:rPr>
        <w:t xml:space="preserve">Pour garantir la transparence des décisions de la commission, son activité fait désormais l’objet chaque année d’un bilan, permettant de s’assurer que l’intérêt de l’enfant, dans le cadre du projet familial proposé par les postulants, constitue l’objet primordial présidant </w:t>
      </w:r>
      <w:r w:rsidRPr="004B64D9">
        <w:rPr>
          <w:rFonts w:ascii="Cambria" w:hAnsi="Cambria"/>
        </w:rPr>
        <w:lastRenderedPageBreak/>
        <w:t>à l’octroi de l’agrément. En 2018, la commission a décerné six agréments en vue d’une adoption.</w:t>
      </w:r>
    </w:p>
    <w:p w:rsidR="00E45CA5" w:rsidRDefault="00E45CA5" w:rsidP="00762278">
      <w:pPr>
        <w:pStyle w:val="-LettreTexteGEDA"/>
        <w:ind w:firstLine="0"/>
        <w:rPr>
          <w:rFonts w:ascii="Cambria" w:hAnsi="Cambria"/>
        </w:rPr>
      </w:pPr>
    </w:p>
    <w:p w:rsidR="00E45CA5" w:rsidRPr="00C04626" w:rsidRDefault="00E45CA5" w:rsidP="00762278">
      <w:pPr>
        <w:pStyle w:val="-LettreTexteGEDA"/>
        <w:ind w:firstLine="0"/>
        <w:rPr>
          <w:rFonts w:ascii="Cambria" w:hAnsi="Cambria"/>
          <w:b/>
        </w:rPr>
      </w:pPr>
      <w:r w:rsidRPr="00C04626">
        <w:rPr>
          <w:rFonts w:ascii="Cambria" w:hAnsi="Cambria"/>
          <w:b/>
        </w:rPr>
        <w:t>Subventions de fonctionnement en faveur d’établissements publics d’enseignement</w:t>
      </w:r>
    </w:p>
    <w:p w:rsidR="00E45CA5" w:rsidRPr="00C04626" w:rsidRDefault="00E45CA5" w:rsidP="00762278">
      <w:pPr>
        <w:pStyle w:val="-LettreTexteGEDA"/>
        <w:ind w:firstLine="0"/>
        <w:rPr>
          <w:rFonts w:ascii="Cambria" w:hAnsi="Cambria"/>
        </w:rPr>
      </w:pPr>
    </w:p>
    <w:p w:rsidR="00E45CA5" w:rsidRDefault="00E45CA5" w:rsidP="00C04626">
      <w:pPr>
        <w:pStyle w:val="-LettreTexteGEDA"/>
        <w:ind w:firstLine="0"/>
        <w:rPr>
          <w:rFonts w:ascii="Cambria" w:hAnsi="Cambria"/>
        </w:rPr>
      </w:pPr>
      <w:r w:rsidRPr="00C04626">
        <w:rPr>
          <w:rFonts w:ascii="Cambria" w:hAnsi="Cambria"/>
        </w:rPr>
        <w:t>Le Conseil des ministres a approuvé des subventions en faveur d’établissements publics d’enseignement pour financer les opérations suivantes:</w:t>
      </w:r>
    </w:p>
    <w:p w:rsidR="00C04626" w:rsidRPr="00C04626" w:rsidRDefault="00C04626" w:rsidP="00C04626">
      <w:pPr>
        <w:pStyle w:val="-LettreTexteGEDA"/>
        <w:ind w:firstLine="0"/>
        <w:rPr>
          <w:rFonts w:ascii="Cambria" w:hAnsi="Cambria"/>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5311"/>
        <w:gridCol w:w="1559"/>
      </w:tblGrid>
      <w:tr w:rsidR="00E45CA5" w:rsidRPr="00C04626" w:rsidTr="002C2E39">
        <w:trPr>
          <w:trHeight w:val="391"/>
        </w:trPr>
        <w:tc>
          <w:tcPr>
            <w:tcW w:w="3195" w:type="dxa"/>
            <w:vAlign w:val="center"/>
          </w:tcPr>
          <w:p w:rsidR="00E45CA5" w:rsidRPr="00C04626" w:rsidRDefault="00E45CA5" w:rsidP="002C2E39">
            <w:pPr>
              <w:pStyle w:val="-LettreTexteGEDA"/>
              <w:spacing w:before="0"/>
              <w:ind w:firstLine="0"/>
              <w:jc w:val="center"/>
              <w:rPr>
                <w:rFonts w:ascii="Cambria" w:hAnsi="Cambria"/>
                <w:b/>
                <w:noProof w:val="0"/>
              </w:rPr>
            </w:pPr>
            <w:r w:rsidRPr="00C04626">
              <w:rPr>
                <w:rFonts w:ascii="Cambria" w:hAnsi="Cambria"/>
                <w:b/>
                <w:noProof w:val="0"/>
              </w:rPr>
              <w:t>Bénéficiaire</w:t>
            </w:r>
          </w:p>
        </w:tc>
        <w:tc>
          <w:tcPr>
            <w:tcW w:w="5311" w:type="dxa"/>
            <w:vAlign w:val="center"/>
          </w:tcPr>
          <w:p w:rsidR="00E45CA5" w:rsidRPr="00C04626" w:rsidRDefault="00E45CA5" w:rsidP="002C2E39">
            <w:pPr>
              <w:pStyle w:val="-LettreTexteGEDA"/>
              <w:spacing w:before="0"/>
              <w:ind w:firstLine="0"/>
              <w:jc w:val="center"/>
              <w:rPr>
                <w:rFonts w:ascii="Cambria" w:hAnsi="Cambria"/>
                <w:b/>
                <w:noProof w:val="0"/>
              </w:rPr>
            </w:pPr>
            <w:r w:rsidRPr="00C04626">
              <w:rPr>
                <w:rFonts w:ascii="Cambria" w:hAnsi="Cambria"/>
                <w:b/>
                <w:noProof w:val="0"/>
              </w:rPr>
              <w:t>Objet de la subvention</w:t>
            </w:r>
          </w:p>
        </w:tc>
        <w:tc>
          <w:tcPr>
            <w:tcW w:w="1559" w:type="dxa"/>
            <w:vAlign w:val="center"/>
          </w:tcPr>
          <w:p w:rsidR="00E45CA5" w:rsidRPr="00C04626" w:rsidRDefault="00E45CA5" w:rsidP="002C2E39">
            <w:pPr>
              <w:pStyle w:val="-LettreTexteGEDA"/>
              <w:spacing w:before="0"/>
              <w:ind w:firstLine="0"/>
              <w:jc w:val="center"/>
              <w:rPr>
                <w:rFonts w:ascii="Cambria" w:hAnsi="Cambria"/>
                <w:noProof w:val="0"/>
              </w:rPr>
            </w:pPr>
            <w:r w:rsidRPr="00C04626">
              <w:rPr>
                <w:rFonts w:ascii="Cambria" w:hAnsi="Cambria"/>
                <w:b/>
                <w:noProof w:val="0"/>
              </w:rPr>
              <w:t xml:space="preserve">Montant en </w:t>
            </w:r>
          </w:p>
          <w:p w:rsidR="00E45CA5" w:rsidRPr="00C04626" w:rsidRDefault="00C04626" w:rsidP="002C2E39">
            <w:pPr>
              <w:pStyle w:val="-LettreTexteGEDA"/>
              <w:spacing w:before="0"/>
              <w:ind w:firstLine="0"/>
              <w:jc w:val="center"/>
              <w:rPr>
                <w:rFonts w:ascii="Cambria" w:hAnsi="Cambria"/>
                <w:b/>
                <w:noProof w:val="0"/>
              </w:rPr>
            </w:pPr>
            <w:proofErr w:type="spellStart"/>
            <w:r w:rsidRPr="00C04626">
              <w:rPr>
                <w:rFonts w:ascii="Cambria" w:hAnsi="Cambria"/>
                <w:b/>
                <w:noProof w:val="0"/>
              </w:rPr>
              <w:t>Fcfp</w:t>
            </w:r>
            <w:proofErr w:type="spellEnd"/>
          </w:p>
        </w:tc>
      </w:tr>
      <w:tr w:rsidR="00E45CA5" w:rsidRPr="00C04626" w:rsidTr="002C2E39">
        <w:trPr>
          <w:trHeight w:val="454"/>
        </w:trPr>
        <w:tc>
          <w:tcPr>
            <w:tcW w:w="3195" w:type="dxa"/>
            <w:vAlign w:val="center"/>
          </w:tcPr>
          <w:p w:rsidR="00E45CA5" w:rsidRPr="00C04626" w:rsidRDefault="00E45CA5" w:rsidP="002C2E39">
            <w:pPr>
              <w:pStyle w:val="-LettreTexteGEDA"/>
              <w:spacing w:before="0"/>
              <w:ind w:firstLine="0"/>
              <w:jc w:val="left"/>
              <w:rPr>
                <w:rFonts w:ascii="Cambria" w:hAnsi="Cambria"/>
              </w:rPr>
            </w:pPr>
            <w:r w:rsidRPr="00C04626">
              <w:rPr>
                <w:rFonts w:ascii="Cambria" w:hAnsi="Cambria"/>
              </w:rPr>
              <w:t>Collège d’Arue</w:t>
            </w:r>
          </w:p>
        </w:tc>
        <w:tc>
          <w:tcPr>
            <w:tcW w:w="5311" w:type="dxa"/>
            <w:vAlign w:val="center"/>
          </w:tcPr>
          <w:p w:rsidR="00E45CA5" w:rsidRPr="00C04626" w:rsidRDefault="00E45CA5" w:rsidP="002C2E39">
            <w:pPr>
              <w:pStyle w:val="-LettreTexteGEDA"/>
              <w:spacing w:before="0"/>
              <w:ind w:firstLine="0"/>
              <w:jc w:val="left"/>
              <w:rPr>
                <w:rFonts w:ascii="Cambria" w:hAnsi="Cambria"/>
              </w:rPr>
            </w:pPr>
            <w:r w:rsidRPr="00C04626">
              <w:rPr>
                <w:rFonts w:ascii="Cambria" w:hAnsi="Cambria"/>
              </w:rPr>
              <w:t>L’installation d’une sonnerie</w:t>
            </w:r>
          </w:p>
        </w:tc>
        <w:tc>
          <w:tcPr>
            <w:tcW w:w="1559" w:type="dxa"/>
            <w:vAlign w:val="center"/>
          </w:tcPr>
          <w:p w:rsidR="00E45CA5" w:rsidRPr="00C04626" w:rsidRDefault="00E45CA5" w:rsidP="00F10B6A">
            <w:pPr>
              <w:pStyle w:val="-LettreTexteGEDA"/>
              <w:spacing w:before="0"/>
              <w:ind w:firstLine="0"/>
              <w:jc w:val="center"/>
              <w:rPr>
                <w:rFonts w:ascii="Cambria" w:hAnsi="Cambria"/>
                <w:noProof w:val="0"/>
              </w:rPr>
            </w:pPr>
            <w:r w:rsidRPr="00C04626">
              <w:rPr>
                <w:rFonts w:ascii="Cambria" w:hAnsi="Cambria"/>
                <w:noProof w:val="0"/>
              </w:rPr>
              <w:t>423 680</w:t>
            </w:r>
          </w:p>
        </w:tc>
      </w:tr>
      <w:tr w:rsidR="00E45CA5" w:rsidRPr="00C04626" w:rsidTr="002C2E39">
        <w:trPr>
          <w:trHeight w:val="454"/>
        </w:trPr>
        <w:tc>
          <w:tcPr>
            <w:tcW w:w="3195" w:type="dxa"/>
            <w:vAlign w:val="center"/>
          </w:tcPr>
          <w:p w:rsidR="00E45CA5" w:rsidRPr="00C04626" w:rsidRDefault="00E45CA5" w:rsidP="002C2E39">
            <w:pPr>
              <w:pStyle w:val="-LettreTexteGEDA"/>
              <w:spacing w:before="0"/>
              <w:ind w:firstLine="0"/>
              <w:jc w:val="left"/>
              <w:rPr>
                <w:rFonts w:ascii="Cambria" w:hAnsi="Cambria"/>
                <w:szCs w:val="24"/>
              </w:rPr>
            </w:pPr>
            <w:r w:rsidRPr="00C04626">
              <w:rPr>
                <w:rFonts w:ascii="Cambria" w:hAnsi="Cambria"/>
                <w:szCs w:val="24"/>
              </w:rPr>
              <w:t>Collège de Tipaerui</w:t>
            </w:r>
          </w:p>
        </w:tc>
        <w:tc>
          <w:tcPr>
            <w:tcW w:w="5311" w:type="dxa"/>
            <w:vAlign w:val="center"/>
          </w:tcPr>
          <w:p w:rsidR="00E45CA5" w:rsidRPr="00C04626" w:rsidRDefault="00E45CA5" w:rsidP="002C2E39">
            <w:pPr>
              <w:pStyle w:val="-LettreTexteGEDA"/>
              <w:spacing w:before="0"/>
              <w:ind w:firstLine="0"/>
              <w:jc w:val="left"/>
              <w:rPr>
                <w:rFonts w:ascii="Cambria" w:hAnsi="Cambria"/>
              </w:rPr>
            </w:pPr>
            <w:r w:rsidRPr="00C04626">
              <w:rPr>
                <w:rFonts w:ascii="Cambria" w:hAnsi="Cambria"/>
              </w:rPr>
              <w:t>Les travaux de mise à niveau du réseau informatique</w:t>
            </w:r>
          </w:p>
        </w:tc>
        <w:tc>
          <w:tcPr>
            <w:tcW w:w="1559" w:type="dxa"/>
            <w:vAlign w:val="center"/>
          </w:tcPr>
          <w:p w:rsidR="00E45CA5" w:rsidRPr="00C04626" w:rsidRDefault="00E45CA5" w:rsidP="002C2E39">
            <w:pPr>
              <w:pStyle w:val="-LettreTexteGEDA"/>
              <w:spacing w:before="0"/>
              <w:ind w:firstLine="0"/>
              <w:jc w:val="right"/>
              <w:rPr>
                <w:rFonts w:ascii="Cambria" w:hAnsi="Cambria"/>
                <w:noProof w:val="0"/>
              </w:rPr>
            </w:pPr>
            <w:r w:rsidRPr="00C04626">
              <w:rPr>
                <w:rFonts w:ascii="Cambria" w:hAnsi="Cambria"/>
                <w:noProof w:val="0"/>
              </w:rPr>
              <w:t>2 837 988</w:t>
            </w:r>
          </w:p>
        </w:tc>
      </w:tr>
    </w:tbl>
    <w:p w:rsidR="00E45CA5" w:rsidRDefault="00E45CA5" w:rsidP="00762278">
      <w:pPr>
        <w:pStyle w:val="-LettreTexteGEDA"/>
        <w:ind w:firstLine="0"/>
        <w:rPr>
          <w:rFonts w:ascii="Cambria" w:hAnsi="Cambria"/>
        </w:rPr>
      </w:pPr>
    </w:p>
    <w:p w:rsidR="00C04626" w:rsidRDefault="00C04626" w:rsidP="00762278">
      <w:pPr>
        <w:pStyle w:val="-LettreTexteGEDA"/>
        <w:ind w:firstLine="0"/>
        <w:rPr>
          <w:rFonts w:ascii="Cambria" w:hAnsi="Cambria"/>
        </w:rPr>
      </w:pPr>
    </w:p>
    <w:p w:rsidR="00C04626" w:rsidRPr="00C04626" w:rsidRDefault="00C04626" w:rsidP="00762278">
      <w:pPr>
        <w:pStyle w:val="-LettreTexteGEDA"/>
        <w:ind w:firstLine="0"/>
        <w:rPr>
          <w:rFonts w:ascii="Cambria" w:hAnsi="Cambria"/>
          <w:b/>
        </w:rPr>
      </w:pPr>
      <w:r w:rsidRPr="00C04626">
        <w:rPr>
          <w:rFonts w:ascii="Cambria" w:hAnsi="Cambria"/>
          <w:b/>
        </w:rPr>
        <w:t>Sport scolaire: subventions en faveur de la CSSU et de l’USSP</w:t>
      </w:r>
    </w:p>
    <w:p w:rsidR="00C04626" w:rsidRDefault="00C04626" w:rsidP="00762278">
      <w:pPr>
        <w:pStyle w:val="-LettreTexteGEDA"/>
        <w:ind w:firstLine="0"/>
        <w:rPr>
          <w:rFonts w:ascii="Cambria" w:hAnsi="Cambria"/>
        </w:rPr>
      </w:pPr>
    </w:p>
    <w:p w:rsidR="00C04626" w:rsidRDefault="00C04626" w:rsidP="00762278">
      <w:pPr>
        <w:pStyle w:val="-LettreTexteGEDA"/>
        <w:ind w:firstLine="0"/>
        <w:rPr>
          <w:rFonts w:ascii="Cambria" w:hAnsi="Cambria"/>
        </w:rPr>
      </w:pPr>
      <w:r>
        <w:rPr>
          <w:rFonts w:ascii="Cambria" w:hAnsi="Cambria"/>
        </w:rPr>
        <w:t>Le Conseil des ministres a approuvé l’attribution de deux subventions de fonctionnement, pour un montant global de 8 970 000 Fcfp en faveur de la CSSU (Confédération du sport scolaire et universitaire de Polynésie) afin de financer les frais de fonctionnement de cette confédération au titre de l’année 2020, l’organisation de la 30</w:t>
      </w:r>
      <w:r w:rsidRPr="00C04626">
        <w:rPr>
          <w:rFonts w:ascii="Cambria" w:hAnsi="Cambria"/>
          <w:vertAlign w:val="superscript"/>
        </w:rPr>
        <w:t>ème</w:t>
      </w:r>
      <w:r>
        <w:rPr>
          <w:rFonts w:ascii="Cambria" w:hAnsi="Cambria"/>
        </w:rPr>
        <w:t xml:space="preserve"> édition des championna</w:t>
      </w:r>
      <w:r w:rsidR="00F56FF9">
        <w:rPr>
          <w:rFonts w:ascii="Cambria" w:hAnsi="Cambria"/>
        </w:rPr>
        <w:t>t</w:t>
      </w:r>
      <w:r>
        <w:rPr>
          <w:rFonts w:ascii="Cambria" w:hAnsi="Cambria"/>
        </w:rPr>
        <w:t>s de Polynésie de cross scolaire, et une action intitulée « classes de mer et de découvertes ».</w:t>
      </w:r>
    </w:p>
    <w:p w:rsidR="00C04626" w:rsidRPr="00C04626" w:rsidRDefault="00C04626" w:rsidP="00C04626">
      <w:pPr>
        <w:pStyle w:val="-LettreTexteGEDA"/>
        <w:ind w:firstLine="0"/>
        <w:rPr>
          <w:rFonts w:ascii="Cambria" w:hAnsi="Cambria"/>
          <w:noProof w:val="0"/>
        </w:rPr>
      </w:pPr>
      <w:r w:rsidRPr="00C04626">
        <w:rPr>
          <w:rFonts w:ascii="Cambria" w:hAnsi="Cambria"/>
          <w:noProof w:val="0"/>
        </w:rPr>
        <w:t>La CSSU, créée en 1989, a pour objet de promouvoir et développer la pratique volontaire du sport dans les enseignements préélémentaires, élémentaires, secondaires, supérieurs et préprofessionnels, et de mettre en place des rencontres et des compétitions communes aux adhérents des associations membres. L’association organise notamment à chaque fin d'année civile « Les championnats de Polynésie de cross scolaire ». Pour cette année la demande de subvention a été très fortement revue à la baisse par l'association du fait des annulations de plusieurs activités dues au Covid 19 en ce début d'exercice 2020.</w:t>
      </w:r>
    </w:p>
    <w:p w:rsidR="00C04626" w:rsidRPr="00F56FF9" w:rsidRDefault="00C04626" w:rsidP="00C04626">
      <w:pPr>
        <w:pStyle w:val="-LettreTexteGEDA"/>
        <w:spacing w:line="276" w:lineRule="auto"/>
        <w:ind w:firstLine="0"/>
        <w:rPr>
          <w:rFonts w:ascii="Cambria" w:hAnsi="Cambria"/>
          <w:noProof w:val="0"/>
        </w:rPr>
      </w:pPr>
      <w:r w:rsidRPr="00F56FF9">
        <w:rPr>
          <w:rFonts w:ascii="Cambria" w:hAnsi="Cambria"/>
        </w:rPr>
        <w:t xml:space="preserve">Le </w:t>
      </w:r>
      <w:r w:rsidRPr="00F56FF9">
        <w:rPr>
          <w:rFonts w:ascii="Cambria" w:hAnsi="Cambria"/>
          <w:noProof w:val="0"/>
        </w:rPr>
        <w:t xml:space="preserve">Conseil des ministres a également approuvé </w:t>
      </w:r>
      <w:r w:rsidRPr="00F56FF9">
        <w:rPr>
          <w:rFonts w:ascii="Cambria" w:hAnsi="Cambria"/>
        </w:rPr>
        <w:t xml:space="preserve">l’attribution </w:t>
      </w:r>
      <w:r w:rsidRPr="00F56FF9">
        <w:rPr>
          <w:rFonts w:ascii="Cambria" w:hAnsi="Cambria"/>
          <w:noProof w:val="0"/>
        </w:rPr>
        <w:t xml:space="preserve">d'une subvention de fonctionnement d’un montant de 13 025 000 </w:t>
      </w:r>
      <w:proofErr w:type="spellStart"/>
      <w:r w:rsidRPr="00F56FF9">
        <w:rPr>
          <w:rFonts w:ascii="Cambria" w:hAnsi="Cambria"/>
          <w:noProof w:val="0"/>
        </w:rPr>
        <w:t>Fcfp</w:t>
      </w:r>
      <w:proofErr w:type="spellEnd"/>
      <w:r w:rsidRPr="00F56FF9">
        <w:rPr>
          <w:rFonts w:ascii="Cambria" w:hAnsi="Cambria"/>
          <w:noProof w:val="0"/>
        </w:rPr>
        <w:t xml:space="preserve"> en faveur</w:t>
      </w:r>
      <w:r w:rsidRPr="00F56FF9">
        <w:rPr>
          <w:rFonts w:ascii="Cambria" w:hAnsi="Cambria"/>
        </w:rPr>
        <w:t xml:space="preserve"> de l’Union du sport scolaire polynésien (USSP) pour le financement de son activité générale de l’année 2020. </w:t>
      </w:r>
      <w:r w:rsidRPr="00F56FF9">
        <w:rPr>
          <w:rFonts w:ascii="Cambria" w:hAnsi="Cambria"/>
          <w:noProof w:val="0"/>
        </w:rPr>
        <w:t>L'USSP, créée en 1962, a pour objet de fédérer les associations sportives publiques ou privées des établissements d’enseignement du second degré de Polynésie française, en prolongement des objectifs généraux de l’éducation physique et sportive dispensée pendant les heures scolaires obligatoires. Compte tenu des annulations de plusieurs activités dues au C</w:t>
      </w:r>
      <w:r w:rsidR="00F56FF9" w:rsidRPr="00F56FF9">
        <w:rPr>
          <w:rFonts w:ascii="Cambria" w:hAnsi="Cambria"/>
          <w:noProof w:val="0"/>
        </w:rPr>
        <w:t xml:space="preserve">ovid 19 </w:t>
      </w:r>
      <w:r w:rsidRPr="00F56FF9">
        <w:rPr>
          <w:rFonts w:ascii="Cambria" w:hAnsi="Cambria"/>
          <w:noProof w:val="0"/>
        </w:rPr>
        <w:t>en ce début d'exercice 2020, l'USSP a revu à la baisse s</w:t>
      </w:r>
      <w:r w:rsidR="00F56FF9" w:rsidRPr="00F56FF9">
        <w:rPr>
          <w:rFonts w:ascii="Cambria" w:hAnsi="Cambria"/>
          <w:noProof w:val="0"/>
        </w:rPr>
        <w:t>a demande de subvention.</w:t>
      </w:r>
    </w:p>
    <w:p w:rsidR="00E45CA5" w:rsidRDefault="00E45CA5" w:rsidP="00762278">
      <w:pPr>
        <w:pStyle w:val="-LettreTexteGEDA"/>
        <w:ind w:firstLine="0"/>
        <w:rPr>
          <w:rFonts w:ascii="Cambria" w:hAnsi="Cambria"/>
        </w:rPr>
      </w:pPr>
    </w:p>
    <w:p w:rsidR="00C630D6" w:rsidRPr="00C630D6" w:rsidRDefault="00C630D6" w:rsidP="00C630D6">
      <w:pPr>
        <w:spacing w:before="240"/>
        <w:jc w:val="both"/>
        <w:rPr>
          <w:rFonts w:ascii="Cambria" w:hAnsi="Cambria" w:cs="Century Schoolbook"/>
          <w:b/>
        </w:rPr>
      </w:pPr>
      <w:r w:rsidRPr="00C630D6">
        <w:rPr>
          <w:rFonts w:ascii="Cambria" w:hAnsi="Cambria" w:cs="Century Schoolbook"/>
          <w:b/>
        </w:rPr>
        <w:lastRenderedPageBreak/>
        <w:t>Subventions de fonctionnement aux associations de jeunesse</w:t>
      </w:r>
    </w:p>
    <w:p w:rsidR="00C630D6" w:rsidRPr="00C630D6" w:rsidRDefault="00C630D6" w:rsidP="00C630D6">
      <w:pPr>
        <w:spacing w:before="240"/>
        <w:jc w:val="both"/>
        <w:rPr>
          <w:rFonts w:ascii="Cambria" w:hAnsi="Cambria"/>
        </w:rPr>
      </w:pPr>
      <w:r w:rsidRPr="00C630D6">
        <w:rPr>
          <w:rFonts w:ascii="Cambria" w:hAnsi="Cambria"/>
        </w:rPr>
        <w:t xml:space="preserve">Le Conseil des ministres a examiné 13 dossiers de subventions de fonctionnement destinées aux associations de jeunesse pour un montant global de 9 711 000 </w:t>
      </w:r>
      <w:proofErr w:type="spellStart"/>
      <w:r w:rsidRPr="00C630D6">
        <w:rPr>
          <w:rFonts w:ascii="Cambria" w:hAnsi="Cambria"/>
        </w:rPr>
        <w:t>Fcfp</w:t>
      </w:r>
      <w:proofErr w:type="spellEnd"/>
      <w:r w:rsidRPr="00C630D6">
        <w:rPr>
          <w:rFonts w:ascii="Cambria" w:hAnsi="Cambria"/>
        </w:rPr>
        <w:t>, selon les modalités suivantes :</w:t>
      </w:r>
    </w:p>
    <w:p w:rsidR="00C630D6" w:rsidRPr="00C630D6" w:rsidRDefault="00C630D6" w:rsidP="00C630D6">
      <w:pPr>
        <w:spacing w:before="240"/>
        <w:jc w:val="both"/>
        <w:rPr>
          <w:rFonts w:ascii="Cambria" w:hAnsi="Cambria"/>
        </w:rPr>
      </w:pPr>
      <w:r w:rsidRPr="00C630D6">
        <w:rPr>
          <w:rFonts w:ascii="Cambria" w:hAnsi="Cambria"/>
        </w:rPr>
        <w:t xml:space="preserve">Subventions de fonctionnement au titre des activités générales (10 dossiers) attribuées pour : </w:t>
      </w:r>
    </w:p>
    <w:p w:rsidR="00C630D6" w:rsidRPr="00C630D6" w:rsidRDefault="00C630D6" w:rsidP="00C630D6">
      <w:pPr>
        <w:pStyle w:val="Paragraphedeliste"/>
        <w:numPr>
          <w:ilvl w:val="0"/>
          <w:numId w:val="43"/>
        </w:numPr>
        <w:spacing w:before="240"/>
        <w:ind w:left="709"/>
        <w:jc w:val="both"/>
        <w:rPr>
          <w:rFonts w:ascii="Cambria" w:hAnsi="Cambria"/>
          <w:sz w:val="24"/>
          <w:szCs w:val="24"/>
        </w:rPr>
      </w:pPr>
      <w:r w:rsidRPr="00C630D6">
        <w:rPr>
          <w:rFonts w:ascii="Cambria" w:hAnsi="Cambria"/>
          <w:sz w:val="24"/>
          <w:szCs w:val="24"/>
        </w:rPr>
        <w:t xml:space="preserve">L’association Puna </w:t>
      </w:r>
      <w:proofErr w:type="spellStart"/>
      <w:r w:rsidRPr="00C630D6">
        <w:rPr>
          <w:rFonts w:ascii="Cambria" w:hAnsi="Cambria"/>
          <w:sz w:val="24"/>
          <w:szCs w:val="24"/>
        </w:rPr>
        <w:t>Reo</w:t>
      </w:r>
      <w:proofErr w:type="spellEnd"/>
      <w:r w:rsidRPr="00C630D6">
        <w:rPr>
          <w:rFonts w:ascii="Cambria" w:hAnsi="Cambria"/>
          <w:sz w:val="24"/>
          <w:szCs w:val="24"/>
        </w:rPr>
        <w:t xml:space="preserve"> no </w:t>
      </w:r>
      <w:proofErr w:type="spellStart"/>
      <w:r w:rsidRPr="00C630D6">
        <w:rPr>
          <w:rFonts w:ascii="Cambria" w:hAnsi="Cambria"/>
          <w:sz w:val="24"/>
          <w:szCs w:val="24"/>
        </w:rPr>
        <w:t>Piha’e’ina</w:t>
      </w:r>
      <w:proofErr w:type="spellEnd"/>
      <w:r w:rsidRPr="00C630D6">
        <w:rPr>
          <w:rFonts w:ascii="Cambria" w:hAnsi="Cambria"/>
          <w:sz w:val="24"/>
          <w:szCs w:val="24"/>
        </w:rPr>
        <w:t xml:space="preserve"> pour un montant de 820 000 </w:t>
      </w:r>
      <w:proofErr w:type="spellStart"/>
      <w:r w:rsidRPr="00C630D6">
        <w:rPr>
          <w:rFonts w:ascii="Cambria" w:hAnsi="Cambria"/>
          <w:sz w:val="24"/>
          <w:szCs w:val="24"/>
        </w:rPr>
        <w:t>Fcfp</w:t>
      </w:r>
      <w:proofErr w:type="spellEnd"/>
      <w:r w:rsidRPr="00C630D6">
        <w:rPr>
          <w:rFonts w:ascii="Cambria" w:hAnsi="Cambria"/>
          <w:sz w:val="24"/>
          <w:szCs w:val="24"/>
        </w:rPr>
        <w:t>;</w:t>
      </w:r>
    </w:p>
    <w:p w:rsidR="00C630D6" w:rsidRPr="00C630D6" w:rsidRDefault="00C630D6" w:rsidP="00C630D6">
      <w:pPr>
        <w:pStyle w:val="Paragraphedeliste"/>
        <w:numPr>
          <w:ilvl w:val="0"/>
          <w:numId w:val="43"/>
        </w:numPr>
        <w:spacing w:before="240"/>
        <w:ind w:left="709"/>
        <w:jc w:val="both"/>
        <w:rPr>
          <w:rFonts w:ascii="Cambria" w:hAnsi="Cambria"/>
          <w:sz w:val="24"/>
          <w:szCs w:val="24"/>
        </w:rPr>
      </w:pPr>
      <w:r w:rsidRPr="00C630D6">
        <w:rPr>
          <w:rFonts w:ascii="Cambria" w:hAnsi="Cambria"/>
          <w:sz w:val="24"/>
          <w:szCs w:val="24"/>
        </w:rPr>
        <w:t xml:space="preserve">L’association Conseil du Scoutisme Polynésien pour un montant de 1 219 000 </w:t>
      </w:r>
      <w:proofErr w:type="spellStart"/>
      <w:r w:rsidRPr="00C630D6">
        <w:rPr>
          <w:rFonts w:ascii="Cambria" w:hAnsi="Cambria"/>
          <w:sz w:val="24"/>
          <w:szCs w:val="24"/>
        </w:rPr>
        <w:t>Fcfp</w:t>
      </w:r>
      <w:proofErr w:type="spellEnd"/>
      <w:r w:rsidRPr="00C630D6">
        <w:rPr>
          <w:rFonts w:ascii="Cambria" w:hAnsi="Cambria"/>
          <w:sz w:val="24"/>
          <w:szCs w:val="24"/>
        </w:rPr>
        <w:t xml:space="preserve"> ; </w:t>
      </w:r>
    </w:p>
    <w:p w:rsidR="00C630D6" w:rsidRPr="00C630D6" w:rsidRDefault="00C630D6" w:rsidP="00C630D6">
      <w:pPr>
        <w:pStyle w:val="Paragraphedeliste"/>
        <w:numPr>
          <w:ilvl w:val="0"/>
          <w:numId w:val="43"/>
        </w:numPr>
        <w:spacing w:before="240"/>
        <w:ind w:left="709"/>
        <w:jc w:val="both"/>
        <w:rPr>
          <w:rFonts w:ascii="Cambria" w:hAnsi="Cambria"/>
          <w:sz w:val="24"/>
          <w:szCs w:val="24"/>
        </w:rPr>
      </w:pPr>
      <w:r w:rsidRPr="00C630D6">
        <w:rPr>
          <w:rFonts w:ascii="Cambria" w:hAnsi="Cambria"/>
          <w:sz w:val="24"/>
          <w:szCs w:val="24"/>
        </w:rPr>
        <w:t xml:space="preserve">L’association </w:t>
      </w:r>
      <w:proofErr w:type="spellStart"/>
      <w:r w:rsidRPr="00C630D6">
        <w:rPr>
          <w:rFonts w:ascii="Cambria" w:hAnsi="Cambria"/>
          <w:sz w:val="24"/>
          <w:szCs w:val="24"/>
        </w:rPr>
        <w:t>Polynélivre</w:t>
      </w:r>
      <w:proofErr w:type="spellEnd"/>
      <w:r w:rsidRPr="00C630D6">
        <w:rPr>
          <w:rFonts w:ascii="Cambria" w:hAnsi="Cambria"/>
          <w:sz w:val="24"/>
          <w:szCs w:val="24"/>
        </w:rPr>
        <w:t xml:space="preserve"> pour un montant de 300 000 </w:t>
      </w:r>
      <w:proofErr w:type="spellStart"/>
      <w:r w:rsidRPr="00C630D6">
        <w:rPr>
          <w:rFonts w:ascii="Cambria" w:hAnsi="Cambria"/>
          <w:sz w:val="24"/>
          <w:szCs w:val="24"/>
        </w:rPr>
        <w:t>Fcfp</w:t>
      </w:r>
      <w:proofErr w:type="spellEnd"/>
      <w:r w:rsidRPr="00C630D6">
        <w:rPr>
          <w:rFonts w:ascii="Cambria" w:hAnsi="Cambria"/>
          <w:sz w:val="24"/>
          <w:szCs w:val="24"/>
        </w:rPr>
        <w:t> ;</w:t>
      </w:r>
    </w:p>
    <w:p w:rsidR="00C630D6" w:rsidRPr="00C630D6" w:rsidRDefault="00C630D6" w:rsidP="00C630D6">
      <w:pPr>
        <w:pStyle w:val="Paragraphedeliste"/>
        <w:numPr>
          <w:ilvl w:val="0"/>
          <w:numId w:val="43"/>
        </w:numPr>
        <w:spacing w:before="240"/>
        <w:ind w:left="709"/>
        <w:jc w:val="both"/>
        <w:rPr>
          <w:rFonts w:ascii="Cambria" w:hAnsi="Cambria"/>
          <w:sz w:val="24"/>
          <w:szCs w:val="24"/>
        </w:rPr>
      </w:pPr>
      <w:r w:rsidRPr="00C630D6">
        <w:rPr>
          <w:rFonts w:ascii="Cambria" w:hAnsi="Cambria"/>
          <w:sz w:val="24"/>
          <w:szCs w:val="24"/>
        </w:rPr>
        <w:t xml:space="preserve">L’association </w:t>
      </w:r>
      <w:proofErr w:type="spellStart"/>
      <w:r w:rsidRPr="00C630D6">
        <w:rPr>
          <w:rFonts w:ascii="Cambria" w:hAnsi="Cambria"/>
          <w:sz w:val="24"/>
          <w:szCs w:val="24"/>
        </w:rPr>
        <w:t>Tumuhiva</w:t>
      </w:r>
      <w:proofErr w:type="spellEnd"/>
      <w:r w:rsidRPr="00C630D6">
        <w:rPr>
          <w:rFonts w:ascii="Cambria" w:hAnsi="Cambria"/>
          <w:sz w:val="24"/>
          <w:szCs w:val="24"/>
        </w:rPr>
        <w:t xml:space="preserve"> pour un montant de 930 000 </w:t>
      </w:r>
      <w:proofErr w:type="spellStart"/>
      <w:r w:rsidRPr="00C630D6">
        <w:rPr>
          <w:rFonts w:ascii="Cambria" w:hAnsi="Cambria"/>
          <w:sz w:val="24"/>
          <w:szCs w:val="24"/>
        </w:rPr>
        <w:t>Fcfp</w:t>
      </w:r>
      <w:proofErr w:type="spellEnd"/>
      <w:r w:rsidRPr="00C630D6">
        <w:rPr>
          <w:rFonts w:ascii="Cambria" w:hAnsi="Cambria"/>
          <w:sz w:val="24"/>
          <w:szCs w:val="24"/>
        </w:rPr>
        <w:t>;</w:t>
      </w:r>
    </w:p>
    <w:p w:rsidR="00C630D6" w:rsidRPr="00C630D6" w:rsidRDefault="00C630D6" w:rsidP="00C630D6">
      <w:pPr>
        <w:pStyle w:val="Paragraphedeliste"/>
        <w:numPr>
          <w:ilvl w:val="0"/>
          <w:numId w:val="43"/>
        </w:numPr>
        <w:spacing w:before="240"/>
        <w:ind w:left="709"/>
        <w:jc w:val="both"/>
        <w:rPr>
          <w:rFonts w:ascii="Cambria" w:hAnsi="Cambria"/>
          <w:sz w:val="24"/>
          <w:szCs w:val="24"/>
        </w:rPr>
      </w:pPr>
      <w:r w:rsidRPr="00C630D6">
        <w:rPr>
          <w:rFonts w:ascii="Cambria" w:hAnsi="Cambria"/>
          <w:sz w:val="24"/>
          <w:szCs w:val="24"/>
        </w:rPr>
        <w:t xml:space="preserve">L’association Mouvement Eucharistique des Jeunes des iles Marquises (MEJ Marquises) pour un montant de 930 000 </w:t>
      </w:r>
      <w:proofErr w:type="spellStart"/>
      <w:r w:rsidRPr="00C630D6">
        <w:rPr>
          <w:rFonts w:ascii="Cambria" w:hAnsi="Cambria"/>
          <w:sz w:val="24"/>
          <w:szCs w:val="24"/>
        </w:rPr>
        <w:t>Fcfp</w:t>
      </w:r>
      <w:proofErr w:type="spellEnd"/>
      <w:r w:rsidRPr="00C630D6">
        <w:rPr>
          <w:rFonts w:ascii="Cambria" w:hAnsi="Cambria"/>
          <w:sz w:val="24"/>
          <w:szCs w:val="24"/>
        </w:rPr>
        <w:t>;</w:t>
      </w:r>
    </w:p>
    <w:p w:rsidR="00C630D6" w:rsidRPr="00C630D6" w:rsidRDefault="00C630D6" w:rsidP="00C630D6">
      <w:pPr>
        <w:pStyle w:val="Paragraphedeliste"/>
        <w:numPr>
          <w:ilvl w:val="0"/>
          <w:numId w:val="43"/>
        </w:numPr>
        <w:spacing w:before="240"/>
        <w:ind w:left="709"/>
        <w:jc w:val="both"/>
        <w:rPr>
          <w:rFonts w:ascii="Cambria" w:hAnsi="Cambria"/>
          <w:sz w:val="24"/>
          <w:szCs w:val="24"/>
        </w:rPr>
      </w:pPr>
      <w:r w:rsidRPr="00C630D6">
        <w:rPr>
          <w:rFonts w:ascii="Cambria" w:hAnsi="Cambria"/>
          <w:sz w:val="24"/>
          <w:szCs w:val="24"/>
        </w:rPr>
        <w:t xml:space="preserve">L’Association pour la Formation des Cadres de l’Animation et des Loisirs (AFOCAL) pour un montant de 717 000 </w:t>
      </w:r>
      <w:proofErr w:type="spellStart"/>
      <w:r w:rsidRPr="00C630D6">
        <w:rPr>
          <w:rFonts w:ascii="Cambria" w:hAnsi="Cambria"/>
          <w:sz w:val="24"/>
          <w:szCs w:val="24"/>
        </w:rPr>
        <w:t>Fcfp</w:t>
      </w:r>
      <w:proofErr w:type="spellEnd"/>
      <w:r w:rsidRPr="00C630D6">
        <w:rPr>
          <w:rFonts w:ascii="Cambria" w:hAnsi="Cambria"/>
          <w:sz w:val="24"/>
          <w:szCs w:val="24"/>
        </w:rPr>
        <w:t>;</w:t>
      </w:r>
    </w:p>
    <w:p w:rsidR="00C630D6" w:rsidRPr="00C630D6" w:rsidRDefault="00C630D6" w:rsidP="00C630D6">
      <w:pPr>
        <w:pStyle w:val="Paragraphedeliste"/>
        <w:numPr>
          <w:ilvl w:val="0"/>
          <w:numId w:val="43"/>
        </w:numPr>
        <w:spacing w:before="240"/>
        <w:ind w:left="709"/>
        <w:jc w:val="both"/>
        <w:rPr>
          <w:rFonts w:ascii="Cambria" w:hAnsi="Cambria"/>
          <w:sz w:val="24"/>
          <w:szCs w:val="24"/>
        </w:rPr>
      </w:pPr>
      <w:r w:rsidRPr="00C630D6">
        <w:rPr>
          <w:rFonts w:ascii="Cambria" w:hAnsi="Cambria"/>
          <w:sz w:val="24"/>
          <w:szCs w:val="24"/>
        </w:rPr>
        <w:t xml:space="preserve">L’association Enfance et Jeunesse pour un montant de 820 000 </w:t>
      </w:r>
      <w:proofErr w:type="spellStart"/>
      <w:r w:rsidRPr="00C630D6">
        <w:rPr>
          <w:rFonts w:ascii="Cambria" w:hAnsi="Cambria"/>
          <w:sz w:val="24"/>
          <w:szCs w:val="24"/>
        </w:rPr>
        <w:t>Fcfp</w:t>
      </w:r>
      <w:proofErr w:type="spellEnd"/>
      <w:r w:rsidRPr="00C630D6">
        <w:rPr>
          <w:rFonts w:ascii="Cambria" w:hAnsi="Cambria"/>
          <w:sz w:val="24"/>
          <w:szCs w:val="24"/>
        </w:rPr>
        <w:t>;</w:t>
      </w:r>
    </w:p>
    <w:p w:rsidR="00C630D6" w:rsidRPr="00C630D6" w:rsidRDefault="00C630D6" w:rsidP="00C630D6">
      <w:pPr>
        <w:pStyle w:val="Paragraphedeliste"/>
        <w:numPr>
          <w:ilvl w:val="0"/>
          <w:numId w:val="43"/>
        </w:numPr>
        <w:spacing w:before="240"/>
        <w:ind w:left="709"/>
        <w:jc w:val="both"/>
        <w:rPr>
          <w:rFonts w:ascii="Cambria" w:hAnsi="Cambria"/>
          <w:sz w:val="24"/>
          <w:szCs w:val="24"/>
        </w:rPr>
      </w:pPr>
      <w:r w:rsidRPr="00C630D6">
        <w:rPr>
          <w:rFonts w:ascii="Cambria" w:hAnsi="Cambria"/>
          <w:sz w:val="24"/>
          <w:szCs w:val="24"/>
        </w:rPr>
        <w:t xml:space="preserve">L’association Maison Familiale Rurale d’Education et d’Orientation de </w:t>
      </w:r>
      <w:proofErr w:type="spellStart"/>
      <w:r w:rsidRPr="00C630D6">
        <w:rPr>
          <w:rFonts w:ascii="Cambria" w:hAnsi="Cambria"/>
          <w:sz w:val="24"/>
          <w:szCs w:val="24"/>
        </w:rPr>
        <w:t>Taharuu</w:t>
      </w:r>
      <w:proofErr w:type="spellEnd"/>
      <w:r w:rsidRPr="00C630D6">
        <w:rPr>
          <w:rFonts w:ascii="Cambria" w:hAnsi="Cambria"/>
          <w:sz w:val="24"/>
          <w:szCs w:val="24"/>
        </w:rPr>
        <w:t xml:space="preserve"> -Papara (MFREO de </w:t>
      </w:r>
      <w:proofErr w:type="spellStart"/>
      <w:r w:rsidRPr="00C630D6">
        <w:rPr>
          <w:rFonts w:ascii="Cambria" w:hAnsi="Cambria"/>
          <w:sz w:val="24"/>
          <w:szCs w:val="24"/>
        </w:rPr>
        <w:t>Taharuu</w:t>
      </w:r>
      <w:proofErr w:type="spellEnd"/>
      <w:r w:rsidRPr="00C630D6">
        <w:rPr>
          <w:rFonts w:ascii="Cambria" w:hAnsi="Cambria"/>
          <w:sz w:val="24"/>
          <w:szCs w:val="24"/>
        </w:rPr>
        <w:t xml:space="preserve"> – Papara) pour un montant de 800 000 </w:t>
      </w:r>
      <w:proofErr w:type="spellStart"/>
      <w:r w:rsidRPr="00C630D6">
        <w:rPr>
          <w:rFonts w:ascii="Cambria" w:hAnsi="Cambria"/>
          <w:sz w:val="24"/>
          <w:szCs w:val="24"/>
        </w:rPr>
        <w:t>Fcfp</w:t>
      </w:r>
      <w:proofErr w:type="spellEnd"/>
      <w:r w:rsidRPr="00C630D6">
        <w:rPr>
          <w:rFonts w:ascii="Cambria" w:hAnsi="Cambria"/>
          <w:sz w:val="24"/>
          <w:szCs w:val="24"/>
        </w:rPr>
        <w:t>;</w:t>
      </w:r>
    </w:p>
    <w:p w:rsidR="00C630D6" w:rsidRPr="00C630D6" w:rsidRDefault="00C630D6" w:rsidP="00C630D6">
      <w:pPr>
        <w:pStyle w:val="Paragraphedeliste"/>
        <w:numPr>
          <w:ilvl w:val="0"/>
          <w:numId w:val="43"/>
        </w:numPr>
        <w:spacing w:before="240"/>
        <w:ind w:left="709"/>
        <w:jc w:val="both"/>
        <w:rPr>
          <w:rFonts w:ascii="Cambria" w:hAnsi="Cambria"/>
          <w:sz w:val="24"/>
          <w:szCs w:val="24"/>
        </w:rPr>
      </w:pPr>
      <w:r w:rsidRPr="00C630D6">
        <w:rPr>
          <w:rFonts w:ascii="Cambria" w:hAnsi="Cambria"/>
          <w:sz w:val="24"/>
          <w:szCs w:val="24"/>
        </w:rPr>
        <w:t xml:space="preserve">L’association </w:t>
      </w:r>
      <w:proofErr w:type="spellStart"/>
      <w:r w:rsidRPr="00C630D6">
        <w:rPr>
          <w:rFonts w:ascii="Cambria" w:hAnsi="Cambria"/>
          <w:sz w:val="24"/>
          <w:szCs w:val="24"/>
        </w:rPr>
        <w:t>Tamarii</w:t>
      </w:r>
      <w:proofErr w:type="spellEnd"/>
      <w:r w:rsidRPr="00C630D6">
        <w:rPr>
          <w:rFonts w:ascii="Cambria" w:hAnsi="Cambria"/>
          <w:sz w:val="24"/>
          <w:szCs w:val="24"/>
        </w:rPr>
        <w:t xml:space="preserve"> </w:t>
      </w:r>
      <w:proofErr w:type="spellStart"/>
      <w:r w:rsidRPr="00C630D6">
        <w:rPr>
          <w:rFonts w:ascii="Cambria" w:hAnsi="Cambria"/>
          <w:sz w:val="24"/>
          <w:szCs w:val="24"/>
        </w:rPr>
        <w:t>Uporu</w:t>
      </w:r>
      <w:proofErr w:type="spellEnd"/>
      <w:r w:rsidRPr="00C630D6">
        <w:rPr>
          <w:rFonts w:ascii="Cambria" w:hAnsi="Cambria"/>
          <w:sz w:val="24"/>
          <w:szCs w:val="24"/>
        </w:rPr>
        <w:t xml:space="preserve"> no </w:t>
      </w:r>
      <w:proofErr w:type="spellStart"/>
      <w:r w:rsidRPr="00C630D6">
        <w:rPr>
          <w:rFonts w:ascii="Cambria" w:hAnsi="Cambria"/>
          <w:sz w:val="24"/>
          <w:szCs w:val="24"/>
        </w:rPr>
        <w:t>Mahina</w:t>
      </w:r>
      <w:proofErr w:type="spellEnd"/>
      <w:r w:rsidRPr="00C630D6">
        <w:rPr>
          <w:rFonts w:ascii="Cambria" w:hAnsi="Cambria"/>
          <w:sz w:val="24"/>
          <w:szCs w:val="24"/>
        </w:rPr>
        <w:t xml:space="preserve"> pour un montant de 500 000 </w:t>
      </w:r>
      <w:proofErr w:type="spellStart"/>
      <w:r w:rsidRPr="00C630D6">
        <w:rPr>
          <w:rFonts w:ascii="Cambria" w:hAnsi="Cambria"/>
          <w:sz w:val="24"/>
          <w:szCs w:val="24"/>
        </w:rPr>
        <w:t>Fcfp</w:t>
      </w:r>
      <w:proofErr w:type="spellEnd"/>
    </w:p>
    <w:p w:rsidR="00C630D6" w:rsidRPr="00C630D6" w:rsidRDefault="00C630D6" w:rsidP="00C630D6">
      <w:pPr>
        <w:pStyle w:val="Paragraphedeliste"/>
        <w:numPr>
          <w:ilvl w:val="0"/>
          <w:numId w:val="43"/>
        </w:numPr>
        <w:spacing w:before="240"/>
        <w:ind w:left="709"/>
        <w:jc w:val="both"/>
        <w:rPr>
          <w:rFonts w:ascii="Cambria" w:hAnsi="Cambria"/>
          <w:sz w:val="24"/>
          <w:szCs w:val="24"/>
        </w:rPr>
      </w:pPr>
      <w:r w:rsidRPr="00C630D6">
        <w:rPr>
          <w:rFonts w:ascii="Cambria" w:hAnsi="Cambria"/>
          <w:sz w:val="24"/>
          <w:szCs w:val="24"/>
        </w:rPr>
        <w:t xml:space="preserve">L’association </w:t>
      </w:r>
      <w:proofErr w:type="spellStart"/>
      <w:r w:rsidRPr="00C630D6">
        <w:rPr>
          <w:rFonts w:ascii="Cambria" w:hAnsi="Cambria"/>
          <w:sz w:val="24"/>
          <w:szCs w:val="24"/>
        </w:rPr>
        <w:t>Taure’a</w:t>
      </w:r>
      <w:proofErr w:type="spellEnd"/>
      <w:r w:rsidRPr="00C630D6">
        <w:rPr>
          <w:rFonts w:ascii="Cambria" w:hAnsi="Cambria"/>
          <w:sz w:val="24"/>
          <w:szCs w:val="24"/>
        </w:rPr>
        <w:t xml:space="preserve"> Light pour un montant de 500 000 </w:t>
      </w:r>
      <w:proofErr w:type="spellStart"/>
      <w:r w:rsidRPr="00C630D6">
        <w:rPr>
          <w:rFonts w:ascii="Cambria" w:hAnsi="Cambria"/>
          <w:sz w:val="24"/>
          <w:szCs w:val="24"/>
        </w:rPr>
        <w:t>Fcfp</w:t>
      </w:r>
      <w:proofErr w:type="spellEnd"/>
      <w:r w:rsidRPr="00C630D6">
        <w:rPr>
          <w:rFonts w:ascii="Cambria" w:hAnsi="Cambria"/>
          <w:sz w:val="24"/>
          <w:szCs w:val="24"/>
        </w:rPr>
        <w:t>.</w:t>
      </w:r>
    </w:p>
    <w:p w:rsidR="00C630D6" w:rsidRPr="00C630D6" w:rsidRDefault="00C630D6" w:rsidP="00C630D6">
      <w:pPr>
        <w:pStyle w:val="Paragraphedeliste"/>
        <w:spacing w:before="240"/>
        <w:ind w:left="709"/>
        <w:jc w:val="both"/>
        <w:rPr>
          <w:rFonts w:ascii="Cambria" w:hAnsi="Cambria"/>
          <w:sz w:val="24"/>
          <w:szCs w:val="24"/>
        </w:rPr>
      </w:pPr>
    </w:p>
    <w:p w:rsidR="00C630D6" w:rsidRPr="00C630D6" w:rsidRDefault="00C630D6" w:rsidP="00C630D6">
      <w:pPr>
        <w:pStyle w:val="Paragraphedeliste"/>
        <w:spacing w:before="240"/>
        <w:ind w:left="0"/>
        <w:jc w:val="both"/>
        <w:rPr>
          <w:rFonts w:ascii="Cambria" w:hAnsi="Cambria"/>
          <w:sz w:val="24"/>
          <w:szCs w:val="24"/>
        </w:rPr>
      </w:pPr>
      <w:r w:rsidRPr="00C630D6">
        <w:rPr>
          <w:rFonts w:ascii="Cambria" w:hAnsi="Cambria"/>
          <w:sz w:val="24"/>
          <w:szCs w:val="24"/>
        </w:rPr>
        <w:t xml:space="preserve">Subventions de fonctionnement au titre des opérations spécifiques (3 dossiers) en faveur de: </w:t>
      </w:r>
    </w:p>
    <w:p w:rsidR="00C630D6" w:rsidRPr="00C630D6" w:rsidRDefault="00C630D6" w:rsidP="00C630D6">
      <w:pPr>
        <w:pStyle w:val="Paragraphedeliste"/>
        <w:spacing w:before="240"/>
        <w:ind w:left="0"/>
        <w:jc w:val="both"/>
        <w:rPr>
          <w:rFonts w:ascii="Cambria" w:hAnsi="Cambria"/>
          <w:sz w:val="24"/>
          <w:szCs w:val="24"/>
        </w:rPr>
      </w:pPr>
    </w:p>
    <w:p w:rsidR="00C630D6" w:rsidRPr="00C630D6" w:rsidRDefault="00C630D6" w:rsidP="00C630D6">
      <w:pPr>
        <w:pStyle w:val="Paragraphedeliste"/>
        <w:numPr>
          <w:ilvl w:val="0"/>
          <w:numId w:val="43"/>
        </w:numPr>
        <w:spacing w:before="240"/>
        <w:ind w:left="709"/>
        <w:jc w:val="both"/>
        <w:rPr>
          <w:rFonts w:ascii="Cambria" w:hAnsi="Cambria"/>
          <w:sz w:val="24"/>
          <w:szCs w:val="24"/>
        </w:rPr>
      </w:pPr>
      <w:r w:rsidRPr="00C630D6">
        <w:rPr>
          <w:rFonts w:ascii="Cambria" w:hAnsi="Cambria"/>
          <w:sz w:val="24"/>
          <w:szCs w:val="24"/>
        </w:rPr>
        <w:t xml:space="preserve">L’association Section Sportive Tefana Football pour le financement de ses activités de centre de vacances et de loisirs au titre de l’année 2020 pour un montant de 550 000 </w:t>
      </w:r>
      <w:proofErr w:type="spellStart"/>
      <w:r w:rsidRPr="00C630D6">
        <w:rPr>
          <w:rFonts w:ascii="Cambria" w:hAnsi="Cambria"/>
          <w:sz w:val="24"/>
          <w:szCs w:val="24"/>
        </w:rPr>
        <w:t>Fcfp</w:t>
      </w:r>
      <w:proofErr w:type="spellEnd"/>
      <w:r w:rsidRPr="00C630D6">
        <w:rPr>
          <w:rFonts w:ascii="Cambria" w:hAnsi="Cambria"/>
          <w:sz w:val="24"/>
          <w:szCs w:val="24"/>
        </w:rPr>
        <w:t xml:space="preserve"> ;</w:t>
      </w:r>
    </w:p>
    <w:p w:rsidR="00C630D6" w:rsidRPr="00C630D6" w:rsidRDefault="00C630D6" w:rsidP="00C630D6">
      <w:pPr>
        <w:pStyle w:val="Paragraphedeliste"/>
        <w:numPr>
          <w:ilvl w:val="0"/>
          <w:numId w:val="43"/>
        </w:numPr>
        <w:spacing w:before="240"/>
        <w:ind w:left="709"/>
        <w:jc w:val="both"/>
        <w:rPr>
          <w:rFonts w:ascii="Cambria" w:hAnsi="Cambria"/>
          <w:sz w:val="24"/>
          <w:szCs w:val="24"/>
        </w:rPr>
      </w:pPr>
      <w:r w:rsidRPr="00C630D6">
        <w:rPr>
          <w:rFonts w:ascii="Cambria" w:hAnsi="Cambria"/>
          <w:sz w:val="24"/>
          <w:szCs w:val="24"/>
        </w:rPr>
        <w:t xml:space="preserve">L’association Les Petits Princes de </w:t>
      </w:r>
      <w:proofErr w:type="spellStart"/>
      <w:r w:rsidRPr="00C630D6">
        <w:rPr>
          <w:rFonts w:ascii="Cambria" w:hAnsi="Cambria"/>
          <w:sz w:val="24"/>
          <w:szCs w:val="24"/>
        </w:rPr>
        <w:t>Aimeho</w:t>
      </w:r>
      <w:proofErr w:type="spellEnd"/>
      <w:r w:rsidRPr="00C630D6">
        <w:rPr>
          <w:rFonts w:ascii="Cambria" w:hAnsi="Cambria"/>
          <w:sz w:val="24"/>
          <w:szCs w:val="24"/>
        </w:rPr>
        <w:t xml:space="preserve"> pour le financement du « </w:t>
      </w:r>
      <w:proofErr w:type="spellStart"/>
      <w:r w:rsidRPr="00C630D6">
        <w:rPr>
          <w:rFonts w:ascii="Cambria" w:hAnsi="Cambria"/>
          <w:sz w:val="24"/>
          <w:szCs w:val="24"/>
        </w:rPr>
        <w:t>Painapo</w:t>
      </w:r>
      <w:proofErr w:type="spellEnd"/>
      <w:r w:rsidRPr="00C630D6">
        <w:rPr>
          <w:rFonts w:ascii="Cambria" w:hAnsi="Cambria"/>
          <w:sz w:val="24"/>
          <w:szCs w:val="24"/>
        </w:rPr>
        <w:t xml:space="preserve"> </w:t>
      </w:r>
      <w:proofErr w:type="spellStart"/>
      <w:r w:rsidRPr="00C630D6">
        <w:rPr>
          <w:rFonts w:ascii="Cambria" w:hAnsi="Cambria"/>
          <w:sz w:val="24"/>
          <w:szCs w:val="24"/>
        </w:rPr>
        <w:t>Taure’a</w:t>
      </w:r>
      <w:proofErr w:type="spellEnd"/>
      <w:r w:rsidRPr="00C630D6">
        <w:rPr>
          <w:rFonts w:ascii="Cambria" w:hAnsi="Cambria"/>
          <w:sz w:val="24"/>
          <w:szCs w:val="24"/>
        </w:rPr>
        <w:t xml:space="preserve"> » pour un montant de 950 000 </w:t>
      </w:r>
      <w:proofErr w:type="spellStart"/>
      <w:r w:rsidRPr="00C630D6">
        <w:rPr>
          <w:rFonts w:ascii="Cambria" w:hAnsi="Cambria"/>
          <w:sz w:val="24"/>
          <w:szCs w:val="24"/>
        </w:rPr>
        <w:t>Fcfp</w:t>
      </w:r>
      <w:proofErr w:type="spellEnd"/>
      <w:r w:rsidRPr="00C630D6">
        <w:rPr>
          <w:rFonts w:ascii="Cambria" w:hAnsi="Cambria"/>
          <w:sz w:val="24"/>
          <w:szCs w:val="24"/>
        </w:rPr>
        <w:t> ;</w:t>
      </w:r>
    </w:p>
    <w:p w:rsidR="00C630D6" w:rsidRPr="00C630D6" w:rsidRDefault="00C630D6" w:rsidP="00C630D6">
      <w:pPr>
        <w:pStyle w:val="Paragraphedeliste"/>
        <w:numPr>
          <w:ilvl w:val="0"/>
          <w:numId w:val="43"/>
        </w:numPr>
        <w:spacing w:before="240"/>
        <w:ind w:left="709"/>
        <w:jc w:val="both"/>
        <w:rPr>
          <w:rFonts w:ascii="Cambria" w:hAnsi="Cambria"/>
          <w:sz w:val="24"/>
          <w:szCs w:val="24"/>
        </w:rPr>
      </w:pPr>
      <w:r w:rsidRPr="00C630D6">
        <w:rPr>
          <w:rFonts w:ascii="Cambria" w:hAnsi="Cambria"/>
          <w:sz w:val="24"/>
          <w:szCs w:val="24"/>
        </w:rPr>
        <w:t xml:space="preserve">L’association Tama </w:t>
      </w:r>
      <w:proofErr w:type="spellStart"/>
      <w:r w:rsidRPr="00C630D6">
        <w:rPr>
          <w:rFonts w:ascii="Cambria" w:hAnsi="Cambria"/>
          <w:sz w:val="24"/>
          <w:szCs w:val="24"/>
        </w:rPr>
        <w:t>Arii</w:t>
      </w:r>
      <w:proofErr w:type="spellEnd"/>
      <w:r w:rsidRPr="00C630D6">
        <w:rPr>
          <w:rFonts w:ascii="Cambria" w:hAnsi="Cambria"/>
          <w:sz w:val="24"/>
          <w:szCs w:val="24"/>
        </w:rPr>
        <w:t xml:space="preserve"> pour le financement du CLSH Solidaire au titre de l’année 2020 pour un montant de 675 000 </w:t>
      </w:r>
      <w:proofErr w:type="spellStart"/>
      <w:r w:rsidRPr="00C630D6">
        <w:rPr>
          <w:rFonts w:ascii="Cambria" w:hAnsi="Cambria"/>
          <w:sz w:val="24"/>
          <w:szCs w:val="24"/>
        </w:rPr>
        <w:t>Fcfp</w:t>
      </w:r>
      <w:proofErr w:type="spellEnd"/>
      <w:r w:rsidRPr="00C630D6">
        <w:rPr>
          <w:rFonts w:ascii="Cambria" w:hAnsi="Cambria"/>
          <w:sz w:val="24"/>
          <w:szCs w:val="24"/>
        </w:rPr>
        <w:t>.</w:t>
      </w:r>
    </w:p>
    <w:p w:rsidR="00C630D6" w:rsidRDefault="00C630D6" w:rsidP="00762278">
      <w:pPr>
        <w:pStyle w:val="-LettreTexteGEDA"/>
        <w:ind w:firstLine="0"/>
        <w:rPr>
          <w:rFonts w:ascii="Cambria" w:hAnsi="Cambria"/>
        </w:rPr>
      </w:pPr>
    </w:p>
    <w:p w:rsidR="003B6B55" w:rsidRPr="003B6B55" w:rsidRDefault="003B6B55" w:rsidP="003B6B55">
      <w:pPr>
        <w:jc w:val="both"/>
        <w:rPr>
          <w:rFonts w:ascii="Cambria" w:hAnsi="Cambria"/>
          <w:b/>
          <w:bCs/>
          <w:color w:val="000000" w:themeColor="text1"/>
          <w:lang w:eastAsia="en-US"/>
        </w:rPr>
      </w:pPr>
      <w:bookmarkStart w:id="0" w:name="_GoBack"/>
      <w:r w:rsidRPr="003B6B55">
        <w:rPr>
          <w:rFonts w:ascii="Cambria" w:hAnsi="Cambria"/>
          <w:b/>
          <w:bCs/>
          <w:color w:val="000000" w:themeColor="text1"/>
        </w:rPr>
        <w:t>Point sur le Réseau des Aires Marines Educatives de Polynésie française: bilan 2019-2020 et perspectives</w:t>
      </w:r>
    </w:p>
    <w:p w:rsidR="003B6B55" w:rsidRPr="003B6B55" w:rsidRDefault="003B6B55" w:rsidP="003B6B55">
      <w:pPr>
        <w:jc w:val="both"/>
        <w:rPr>
          <w:rFonts w:ascii="Cambria" w:hAnsi="Cambria"/>
          <w:color w:val="000000" w:themeColor="text1"/>
        </w:rPr>
      </w:pPr>
    </w:p>
    <w:p w:rsidR="003B6B55" w:rsidRPr="003B6B55" w:rsidRDefault="003B6B55" w:rsidP="003B6B55">
      <w:pPr>
        <w:overflowPunct w:val="0"/>
        <w:autoSpaceDE w:val="0"/>
        <w:autoSpaceDN w:val="0"/>
        <w:jc w:val="both"/>
        <w:textAlignment w:val="baseline"/>
        <w:rPr>
          <w:rFonts w:ascii="Cambria" w:hAnsi="Cambria"/>
          <w:color w:val="000000" w:themeColor="text1"/>
        </w:rPr>
      </w:pPr>
      <w:r w:rsidRPr="003B6B55">
        <w:rPr>
          <w:rFonts w:ascii="Cambria" w:hAnsi="Cambria"/>
          <w:color w:val="000000" w:themeColor="text1"/>
        </w:rPr>
        <w:t xml:space="preserve">Le concept d’Aire Marine Éducative (AME) est une démarche participative et inclusive impliquant des élèves d’une classe, d’un niveau, d’un établissement scolaire autour d’un projet d’action citoyenne de gestion du milieu marin côtier. </w:t>
      </w:r>
    </w:p>
    <w:p w:rsidR="003B6B55" w:rsidRPr="003B6B55" w:rsidRDefault="003B6B55" w:rsidP="003B6B55">
      <w:pPr>
        <w:ind w:firstLine="709"/>
        <w:jc w:val="both"/>
        <w:rPr>
          <w:rFonts w:ascii="Cambria" w:hAnsi="Cambria"/>
          <w:color w:val="000000" w:themeColor="text1"/>
        </w:rPr>
      </w:pPr>
    </w:p>
    <w:p w:rsidR="003B6B55" w:rsidRPr="003B6B55" w:rsidRDefault="003B6B55" w:rsidP="003B6B55">
      <w:pPr>
        <w:overflowPunct w:val="0"/>
        <w:autoSpaceDE w:val="0"/>
        <w:autoSpaceDN w:val="0"/>
        <w:jc w:val="both"/>
        <w:textAlignment w:val="baseline"/>
        <w:rPr>
          <w:rFonts w:ascii="Cambria" w:hAnsi="Cambria"/>
          <w:color w:val="000000" w:themeColor="text1"/>
        </w:rPr>
      </w:pPr>
      <w:r w:rsidRPr="003B6B55">
        <w:rPr>
          <w:rFonts w:ascii="Cambria" w:hAnsi="Cambria"/>
          <w:color w:val="000000" w:themeColor="text1"/>
        </w:rPr>
        <w:t xml:space="preserve">Initiée pour la première fois en 2013 aux îles Marquises, dans l’école de </w:t>
      </w:r>
      <w:proofErr w:type="spellStart"/>
      <w:r w:rsidRPr="003B6B55">
        <w:rPr>
          <w:rFonts w:ascii="Cambria" w:hAnsi="Cambria"/>
          <w:color w:val="000000" w:themeColor="text1"/>
        </w:rPr>
        <w:t>Vaitahu</w:t>
      </w:r>
      <w:proofErr w:type="spellEnd"/>
      <w:r w:rsidRPr="003B6B55">
        <w:rPr>
          <w:rFonts w:ascii="Cambria" w:hAnsi="Cambria"/>
          <w:color w:val="000000" w:themeColor="text1"/>
        </w:rPr>
        <w:t xml:space="preserve"> à Tahuata, cette démarche a été structurée par le Ministère de l’éducation de Polynésie française qui crée le Label AME validé par un Comité de Pilotage interministériel, institué par arrêté du </w:t>
      </w:r>
      <w:r w:rsidRPr="003B6B55">
        <w:rPr>
          <w:rFonts w:ascii="Cambria" w:hAnsi="Cambria"/>
          <w:color w:val="000000" w:themeColor="text1"/>
        </w:rPr>
        <w:lastRenderedPageBreak/>
        <w:t>Conseil des Ministres en septembre 2016. Depuis, la Direction Générale de l’Education et des Enseignements (DGEE) de Polynésie française, encadre et développe le Réseau des Aires Marines Educatives Polynésiennes de manière stratégique et raisonnée dans tous les archipels du Territoire.</w:t>
      </w:r>
    </w:p>
    <w:p w:rsidR="003B6B55" w:rsidRPr="003B6B55" w:rsidRDefault="003B6B55" w:rsidP="003B6B55">
      <w:pPr>
        <w:ind w:firstLine="709"/>
        <w:jc w:val="both"/>
        <w:rPr>
          <w:rFonts w:ascii="Cambria" w:hAnsi="Cambria"/>
          <w:color w:val="000000" w:themeColor="text1"/>
        </w:rPr>
      </w:pPr>
    </w:p>
    <w:p w:rsidR="00E45CA5" w:rsidRPr="003B6B55" w:rsidRDefault="003B6B55" w:rsidP="003B6B55">
      <w:pPr>
        <w:overflowPunct w:val="0"/>
        <w:autoSpaceDE w:val="0"/>
        <w:autoSpaceDN w:val="0"/>
        <w:jc w:val="both"/>
        <w:textAlignment w:val="baseline"/>
        <w:rPr>
          <w:rFonts w:ascii="Cambria" w:hAnsi="Cambria"/>
          <w:color w:val="000000" w:themeColor="text1"/>
        </w:rPr>
      </w:pPr>
      <w:r w:rsidRPr="003B6B55">
        <w:rPr>
          <w:rFonts w:ascii="Cambria" w:hAnsi="Cambria"/>
          <w:color w:val="000000" w:themeColor="text1"/>
        </w:rPr>
        <w:t>Progressivement étendu sur l’ensemble des archipels polynésiens, le label a été déployé en France métropolitaine et dans d’autres départements d’Outre-mer. Outil pédagogique et de mobilisation citoyenne, le concept de l’AME vise à sensibiliser les jeunes générations à la préservation de la biodiversité et à l’apprentissage de la gestion des milieux et des ressources naturelles pour renforcer la résilience au changement climatique. Eprouvé et fort de son succès en Polynésie française, en France métropolitaine et autres territoires ultramarins, le concept AME a atteint un degré de maturité, permettant d’envisager son extension à l’international et sa régionalisation en Océanie.</w:t>
      </w:r>
    </w:p>
    <w:bookmarkEnd w:id="0"/>
    <w:p w:rsidR="00E45CA5" w:rsidRPr="00E45CA5" w:rsidRDefault="00E45CA5" w:rsidP="00762278">
      <w:pPr>
        <w:pStyle w:val="-LettreTexteGEDA"/>
        <w:ind w:firstLine="0"/>
        <w:rPr>
          <w:rFonts w:ascii="Cambria" w:hAnsi="Cambria"/>
        </w:rPr>
      </w:pPr>
    </w:p>
    <w:p w:rsidR="00E45CA5" w:rsidRDefault="00E45CA5" w:rsidP="00E45CA5">
      <w:pPr>
        <w:pStyle w:val="-LettreTexteGEDA"/>
        <w:spacing w:before="0"/>
        <w:ind w:firstLine="0"/>
        <w:rPr>
          <w:rFonts w:ascii="Cambria" w:hAnsi="Cambria"/>
          <w:noProof w:val="0"/>
        </w:rPr>
      </w:pPr>
      <w:r w:rsidRPr="00E45CA5">
        <w:rPr>
          <w:rFonts w:ascii="Cambria" w:hAnsi="Cambria"/>
          <w:noProof w:val="0"/>
        </w:rPr>
        <w:t xml:space="preserve">La liste des écoles et établissements scolaires labellisés « Aire Marine Éducative », </w:t>
      </w:r>
      <w:r w:rsidRPr="00E45CA5">
        <w:rPr>
          <w:rFonts w:ascii="Cambria" w:hAnsi="Cambria"/>
          <w:noProof w:val="0"/>
        </w:rPr>
        <w:br/>
        <w:t xml:space="preserve">composant le Réseau des Aires Marines Educatives de Polynésie française </w:t>
      </w:r>
      <w:r w:rsidRPr="00E45CA5">
        <w:rPr>
          <w:rFonts w:ascii="Cambria" w:hAnsi="Cambria"/>
          <w:noProof w:val="0"/>
        </w:rPr>
        <w:br/>
        <w:t>Année scolaire 2020-2021, a été évoquée en Conseil des ministres.</w:t>
      </w:r>
    </w:p>
    <w:p w:rsidR="00C04626" w:rsidRPr="00E45CA5" w:rsidRDefault="00C04626" w:rsidP="00E45CA5">
      <w:pPr>
        <w:pStyle w:val="-LettreTexteGEDA"/>
        <w:spacing w:before="0"/>
        <w:ind w:firstLine="0"/>
        <w:rPr>
          <w:rFonts w:ascii="Cambria" w:hAnsi="Cambria"/>
          <w:noProof w:val="0"/>
        </w:rPr>
      </w:pPr>
    </w:p>
    <w:p w:rsidR="00E45CA5" w:rsidRPr="00E45CA5" w:rsidRDefault="00E45CA5" w:rsidP="00E45CA5">
      <w:pPr>
        <w:pStyle w:val="-LettreTexteGEDA"/>
        <w:spacing w:before="0"/>
        <w:ind w:firstLine="0"/>
        <w:rPr>
          <w:rFonts w:ascii="Cambria" w:hAnsi="Cambria"/>
          <w:b/>
          <w:noProof w:val="0"/>
        </w:rPr>
      </w:pPr>
      <w:r w:rsidRPr="00E45CA5">
        <w:rPr>
          <w:rFonts w:ascii="Cambria" w:hAnsi="Cambria"/>
          <w:noProof w:val="0"/>
        </w:rPr>
        <w:t>Le LABEL AME 2020 a été décerné aux écoles et établissements scolaires suivants :</w:t>
      </w:r>
    </w:p>
    <w:p w:rsidR="00E45CA5" w:rsidRPr="00E45CA5" w:rsidRDefault="00E45CA5" w:rsidP="00E45CA5">
      <w:pPr>
        <w:pStyle w:val="-LettreTexteGEDA"/>
        <w:rPr>
          <w:rFonts w:ascii="Cambria" w:hAnsi="Cambria"/>
          <w:noProof w:val="0"/>
        </w:rPr>
      </w:pPr>
      <w:r w:rsidRPr="00E45CA5">
        <w:rPr>
          <w:rFonts w:ascii="Cambria" w:hAnsi="Cambria"/>
          <w:noProof w:val="0"/>
        </w:rPr>
        <w:t xml:space="preserve">- L’école primaire </w:t>
      </w:r>
      <w:proofErr w:type="spellStart"/>
      <w:r w:rsidRPr="00E45CA5">
        <w:rPr>
          <w:rFonts w:ascii="Cambria" w:hAnsi="Cambria"/>
          <w:noProof w:val="0"/>
        </w:rPr>
        <w:t>Raiarii</w:t>
      </w:r>
      <w:proofErr w:type="spellEnd"/>
      <w:r w:rsidRPr="00E45CA5">
        <w:rPr>
          <w:rFonts w:ascii="Cambria" w:hAnsi="Cambria"/>
          <w:noProof w:val="0"/>
        </w:rPr>
        <w:t xml:space="preserve"> - Tane - </w:t>
      </w:r>
      <w:proofErr w:type="spellStart"/>
      <w:r w:rsidRPr="00E45CA5">
        <w:rPr>
          <w:rFonts w:ascii="Cambria" w:hAnsi="Cambria"/>
          <w:noProof w:val="0"/>
        </w:rPr>
        <w:t>Tautira</w:t>
      </w:r>
      <w:proofErr w:type="spellEnd"/>
      <w:r w:rsidRPr="00E45CA5">
        <w:rPr>
          <w:rFonts w:ascii="Cambria" w:hAnsi="Cambria"/>
          <w:noProof w:val="0"/>
        </w:rPr>
        <w:t> ;</w:t>
      </w:r>
    </w:p>
    <w:p w:rsidR="00E45CA5" w:rsidRPr="00E45CA5" w:rsidRDefault="00E45CA5" w:rsidP="00E45CA5">
      <w:pPr>
        <w:pStyle w:val="-LettreTexteGEDA"/>
        <w:rPr>
          <w:rFonts w:ascii="Cambria" w:hAnsi="Cambria"/>
          <w:noProof w:val="0"/>
        </w:rPr>
      </w:pPr>
      <w:r w:rsidRPr="00E45CA5">
        <w:rPr>
          <w:rFonts w:ascii="Cambria" w:hAnsi="Cambria"/>
          <w:noProof w:val="0"/>
        </w:rPr>
        <w:t xml:space="preserve">- L’école primaire de </w:t>
      </w:r>
      <w:proofErr w:type="spellStart"/>
      <w:r w:rsidRPr="00E45CA5">
        <w:rPr>
          <w:rFonts w:ascii="Cambria" w:hAnsi="Cambria"/>
          <w:noProof w:val="0"/>
        </w:rPr>
        <w:t>Papetoai</w:t>
      </w:r>
      <w:proofErr w:type="spellEnd"/>
      <w:r w:rsidRPr="00E45CA5">
        <w:rPr>
          <w:rFonts w:ascii="Cambria" w:hAnsi="Cambria"/>
          <w:noProof w:val="0"/>
        </w:rPr>
        <w:t xml:space="preserve"> - Moorea ;</w:t>
      </w:r>
    </w:p>
    <w:p w:rsidR="00E45CA5" w:rsidRPr="00E45CA5" w:rsidRDefault="00E45CA5" w:rsidP="00E45CA5">
      <w:pPr>
        <w:pStyle w:val="-LettreTexteGEDA"/>
        <w:rPr>
          <w:rFonts w:ascii="Cambria" w:hAnsi="Cambria"/>
          <w:noProof w:val="0"/>
        </w:rPr>
      </w:pPr>
      <w:r w:rsidRPr="00E45CA5">
        <w:rPr>
          <w:rFonts w:ascii="Cambria" w:hAnsi="Cambria"/>
          <w:noProof w:val="0"/>
        </w:rPr>
        <w:t xml:space="preserve">- Le collège de </w:t>
      </w:r>
      <w:proofErr w:type="spellStart"/>
      <w:r w:rsidRPr="00E45CA5">
        <w:rPr>
          <w:rFonts w:ascii="Cambria" w:hAnsi="Cambria"/>
          <w:noProof w:val="0"/>
        </w:rPr>
        <w:t>Mataura</w:t>
      </w:r>
      <w:proofErr w:type="spellEnd"/>
      <w:r w:rsidRPr="00E45CA5">
        <w:rPr>
          <w:rFonts w:ascii="Cambria" w:hAnsi="Cambria"/>
          <w:noProof w:val="0"/>
        </w:rPr>
        <w:t xml:space="preserve"> - </w:t>
      </w:r>
      <w:proofErr w:type="spellStart"/>
      <w:r w:rsidRPr="00E45CA5">
        <w:rPr>
          <w:rFonts w:ascii="Cambria" w:hAnsi="Cambria"/>
          <w:noProof w:val="0"/>
        </w:rPr>
        <w:t>Tubuai</w:t>
      </w:r>
      <w:proofErr w:type="spellEnd"/>
      <w:r w:rsidRPr="00E45CA5">
        <w:rPr>
          <w:rFonts w:ascii="Cambria" w:hAnsi="Cambria"/>
          <w:noProof w:val="0"/>
        </w:rPr>
        <w:t> ;</w:t>
      </w:r>
    </w:p>
    <w:p w:rsidR="00E45CA5" w:rsidRPr="00E45CA5" w:rsidRDefault="00E45CA5" w:rsidP="00E45CA5">
      <w:pPr>
        <w:pStyle w:val="-LettreTexteGEDA"/>
        <w:rPr>
          <w:rFonts w:ascii="Cambria" w:hAnsi="Cambria"/>
          <w:noProof w:val="0"/>
        </w:rPr>
      </w:pPr>
      <w:r w:rsidRPr="00E45CA5">
        <w:rPr>
          <w:rFonts w:ascii="Cambria" w:hAnsi="Cambria"/>
          <w:noProof w:val="0"/>
        </w:rPr>
        <w:t xml:space="preserve">- Le lycée professionnel agricole </w:t>
      </w:r>
      <w:proofErr w:type="spellStart"/>
      <w:r w:rsidRPr="00E45CA5">
        <w:rPr>
          <w:rFonts w:ascii="Cambria" w:hAnsi="Cambria"/>
          <w:noProof w:val="0"/>
        </w:rPr>
        <w:t>Opunohu</w:t>
      </w:r>
      <w:proofErr w:type="spellEnd"/>
      <w:r w:rsidRPr="00E45CA5">
        <w:rPr>
          <w:rFonts w:ascii="Cambria" w:hAnsi="Cambria"/>
          <w:noProof w:val="0"/>
        </w:rPr>
        <w:t xml:space="preserve"> - Moorea.</w:t>
      </w:r>
    </w:p>
    <w:p w:rsidR="00E45CA5" w:rsidRPr="00E45CA5" w:rsidRDefault="00E45CA5" w:rsidP="00E45CA5">
      <w:pPr>
        <w:pStyle w:val="-LettreTexteGEDA"/>
        <w:ind w:firstLine="0"/>
        <w:rPr>
          <w:rFonts w:ascii="Cambria" w:hAnsi="Cambria"/>
          <w:noProof w:val="0"/>
        </w:rPr>
      </w:pPr>
      <w:r w:rsidRPr="00E45CA5">
        <w:rPr>
          <w:rFonts w:ascii="Cambria" w:hAnsi="Cambria"/>
          <w:noProof w:val="0"/>
        </w:rPr>
        <w:t xml:space="preserve">Il s’agit de la </w:t>
      </w:r>
      <w:r w:rsidRPr="00E45CA5">
        <w:rPr>
          <w:rFonts w:ascii="Cambria" w:hAnsi="Cambria"/>
          <w:noProof w:val="0"/>
          <w:u w:val="single"/>
        </w:rPr>
        <w:t>génération 5</w:t>
      </w:r>
      <w:r w:rsidRPr="00E45CA5">
        <w:rPr>
          <w:rFonts w:ascii="Cambria" w:hAnsi="Cambria"/>
          <w:noProof w:val="0"/>
        </w:rPr>
        <w:t xml:space="preserve"> des AME du Réseau des Aires Marines Éducatives de Polynésie française.</w:t>
      </w:r>
      <w:r>
        <w:rPr>
          <w:rFonts w:ascii="Cambria" w:hAnsi="Cambria"/>
          <w:noProof w:val="0"/>
        </w:rPr>
        <w:t xml:space="preserve"> </w:t>
      </w:r>
      <w:r w:rsidRPr="00E45CA5">
        <w:rPr>
          <w:rFonts w:ascii="Cambria" w:hAnsi="Cambria"/>
          <w:noProof w:val="0"/>
        </w:rPr>
        <w:t>En outre, le Comité de Pilotage AME a reconduit le LABEL AME pour l’année scolaire 2020-2021 des écoles et établissements suivants :</w:t>
      </w:r>
    </w:p>
    <w:p w:rsidR="00E45CA5" w:rsidRPr="00E45CA5" w:rsidRDefault="00E45CA5" w:rsidP="00E45CA5">
      <w:pPr>
        <w:pStyle w:val="-LettreTexteGEDA"/>
        <w:ind w:firstLine="0"/>
        <w:rPr>
          <w:rFonts w:ascii="Cambria" w:hAnsi="Cambria"/>
          <w:noProof w:val="0"/>
        </w:rPr>
      </w:pPr>
      <w:r w:rsidRPr="00E45CA5">
        <w:rPr>
          <w:rFonts w:ascii="Cambria" w:hAnsi="Cambria"/>
          <w:noProof w:val="0"/>
          <w:u w:val="single"/>
        </w:rPr>
        <w:t>Génération 1</w:t>
      </w:r>
      <w:r w:rsidRPr="00E45CA5">
        <w:rPr>
          <w:rFonts w:ascii="Cambria" w:hAnsi="Cambria"/>
          <w:noProof w:val="0"/>
        </w:rPr>
        <w:t> : 2012-2013-2014</w:t>
      </w:r>
    </w:p>
    <w:p w:rsidR="00E45CA5" w:rsidRPr="00E45CA5" w:rsidRDefault="00E45CA5" w:rsidP="00E45CA5">
      <w:pPr>
        <w:pStyle w:val="-LettreTexteGEDA"/>
        <w:rPr>
          <w:rFonts w:ascii="Cambria" w:hAnsi="Cambria"/>
          <w:noProof w:val="0"/>
        </w:rPr>
      </w:pPr>
      <w:r w:rsidRPr="00E45CA5">
        <w:rPr>
          <w:rFonts w:ascii="Cambria" w:hAnsi="Cambria"/>
          <w:noProof w:val="0"/>
        </w:rPr>
        <w:t xml:space="preserve">- L’école primaire de Hane - </w:t>
      </w:r>
      <w:proofErr w:type="spellStart"/>
      <w:r w:rsidRPr="00E45CA5">
        <w:rPr>
          <w:rFonts w:ascii="Cambria" w:hAnsi="Cambria"/>
          <w:noProof w:val="0"/>
        </w:rPr>
        <w:t>Ua</w:t>
      </w:r>
      <w:proofErr w:type="spellEnd"/>
      <w:r w:rsidRPr="00E45CA5">
        <w:rPr>
          <w:rFonts w:ascii="Cambria" w:hAnsi="Cambria"/>
          <w:noProof w:val="0"/>
        </w:rPr>
        <w:t xml:space="preserve"> </w:t>
      </w:r>
      <w:proofErr w:type="spellStart"/>
      <w:r w:rsidRPr="00E45CA5">
        <w:rPr>
          <w:rFonts w:ascii="Cambria" w:hAnsi="Cambria"/>
          <w:noProof w:val="0"/>
        </w:rPr>
        <w:t>Huka</w:t>
      </w:r>
      <w:proofErr w:type="spellEnd"/>
      <w:r w:rsidRPr="00E45CA5">
        <w:rPr>
          <w:rFonts w:ascii="Cambria" w:hAnsi="Cambria"/>
          <w:noProof w:val="0"/>
        </w:rPr>
        <w:t> ;</w:t>
      </w:r>
    </w:p>
    <w:p w:rsidR="00E45CA5" w:rsidRPr="00E45CA5" w:rsidRDefault="00E45CA5" w:rsidP="00E45CA5">
      <w:pPr>
        <w:pStyle w:val="-LettreTexteGEDA"/>
        <w:rPr>
          <w:rFonts w:ascii="Cambria" w:hAnsi="Cambria"/>
          <w:noProof w:val="0"/>
        </w:rPr>
      </w:pPr>
      <w:r w:rsidRPr="00E45CA5">
        <w:rPr>
          <w:rFonts w:ascii="Cambria" w:hAnsi="Cambria"/>
          <w:noProof w:val="0"/>
        </w:rPr>
        <w:t xml:space="preserve">- L’école primaire de </w:t>
      </w:r>
      <w:proofErr w:type="spellStart"/>
      <w:r w:rsidRPr="00E45CA5">
        <w:rPr>
          <w:rFonts w:ascii="Cambria" w:hAnsi="Cambria"/>
          <w:noProof w:val="0"/>
        </w:rPr>
        <w:t>Hakahetau</w:t>
      </w:r>
      <w:proofErr w:type="spellEnd"/>
      <w:r w:rsidRPr="00E45CA5">
        <w:rPr>
          <w:rFonts w:ascii="Cambria" w:hAnsi="Cambria"/>
          <w:noProof w:val="0"/>
        </w:rPr>
        <w:t xml:space="preserve"> - </w:t>
      </w:r>
      <w:proofErr w:type="spellStart"/>
      <w:r w:rsidRPr="00E45CA5">
        <w:rPr>
          <w:rFonts w:ascii="Cambria" w:hAnsi="Cambria"/>
          <w:noProof w:val="0"/>
        </w:rPr>
        <w:t>Ua</w:t>
      </w:r>
      <w:proofErr w:type="spellEnd"/>
      <w:r w:rsidRPr="00E45CA5">
        <w:rPr>
          <w:rFonts w:ascii="Cambria" w:hAnsi="Cambria"/>
          <w:noProof w:val="0"/>
        </w:rPr>
        <w:t xml:space="preserve"> Pou.</w:t>
      </w:r>
    </w:p>
    <w:p w:rsidR="00E45CA5" w:rsidRPr="00E45CA5" w:rsidRDefault="00E45CA5" w:rsidP="00E45CA5">
      <w:pPr>
        <w:pStyle w:val="-LettreTexteGEDA"/>
        <w:spacing w:before="0"/>
        <w:rPr>
          <w:rFonts w:ascii="Cambria" w:hAnsi="Cambria"/>
          <w:noProof w:val="0"/>
        </w:rPr>
      </w:pPr>
    </w:p>
    <w:p w:rsidR="00E45CA5" w:rsidRPr="00E45CA5" w:rsidRDefault="00E45CA5" w:rsidP="00E45CA5">
      <w:pPr>
        <w:pStyle w:val="-LettreTexteGEDA"/>
        <w:ind w:firstLine="0"/>
        <w:rPr>
          <w:rFonts w:ascii="Cambria" w:hAnsi="Cambria"/>
          <w:noProof w:val="0"/>
        </w:rPr>
      </w:pPr>
      <w:r w:rsidRPr="00E45CA5">
        <w:rPr>
          <w:rFonts w:ascii="Cambria" w:hAnsi="Cambria"/>
          <w:noProof w:val="0"/>
          <w:u w:val="single"/>
        </w:rPr>
        <w:t>Génération 2</w:t>
      </w:r>
      <w:r w:rsidRPr="00E45CA5">
        <w:rPr>
          <w:rFonts w:ascii="Cambria" w:hAnsi="Cambria"/>
          <w:noProof w:val="0"/>
        </w:rPr>
        <w:t> : 2016-2017</w:t>
      </w:r>
    </w:p>
    <w:p w:rsidR="00E45CA5" w:rsidRPr="00E45CA5" w:rsidRDefault="00E45CA5" w:rsidP="00E45CA5">
      <w:pPr>
        <w:pStyle w:val="-LettreTexteGEDA"/>
        <w:rPr>
          <w:rFonts w:ascii="Cambria" w:hAnsi="Cambria"/>
          <w:noProof w:val="0"/>
        </w:rPr>
      </w:pPr>
      <w:r w:rsidRPr="00E45CA5">
        <w:rPr>
          <w:rFonts w:ascii="Cambria" w:hAnsi="Cambria"/>
          <w:noProof w:val="0"/>
        </w:rPr>
        <w:t xml:space="preserve">- L’école primaire de </w:t>
      </w:r>
      <w:proofErr w:type="spellStart"/>
      <w:r w:rsidRPr="00E45CA5">
        <w:rPr>
          <w:rFonts w:ascii="Cambria" w:hAnsi="Cambria"/>
          <w:noProof w:val="0"/>
        </w:rPr>
        <w:t>Raroia</w:t>
      </w:r>
      <w:proofErr w:type="spellEnd"/>
      <w:r w:rsidRPr="00E45CA5">
        <w:rPr>
          <w:rFonts w:ascii="Cambria" w:hAnsi="Cambria"/>
          <w:noProof w:val="0"/>
        </w:rPr>
        <w:t> ;</w:t>
      </w:r>
    </w:p>
    <w:p w:rsidR="00E45CA5" w:rsidRPr="00E45CA5" w:rsidRDefault="00E45CA5" w:rsidP="00E45CA5">
      <w:pPr>
        <w:pStyle w:val="-LettreTexteGEDA"/>
        <w:rPr>
          <w:rFonts w:ascii="Cambria" w:hAnsi="Cambria"/>
          <w:noProof w:val="0"/>
        </w:rPr>
      </w:pPr>
      <w:r w:rsidRPr="00E45CA5">
        <w:rPr>
          <w:rFonts w:ascii="Cambria" w:hAnsi="Cambria"/>
          <w:noProof w:val="0"/>
        </w:rPr>
        <w:t>- L’école élémentaire 2+2=4 – Punaauia –Tahiti ;</w:t>
      </w:r>
    </w:p>
    <w:p w:rsidR="00E45CA5" w:rsidRPr="00E45CA5" w:rsidRDefault="00E45CA5" w:rsidP="00E45CA5">
      <w:pPr>
        <w:pStyle w:val="-LettreTexteGEDA"/>
        <w:rPr>
          <w:rFonts w:ascii="Cambria" w:hAnsi="Cambria"/>
          <w:noProof w:val="0"/>
        </w:rPr>
      </w:pPr>
      <w:r w:rsidRPr="00E45CA5">
        <w:rPr>
          <w:rFonts w:ascii="Cambria" w:hAnsi="Cambria"/>
          <w:noProof w:val="0"/>
        </w:rPr>
        <w:t xml:space="preserve">- L’école élémentaire de </w:t>
      </w:r>
      <w:proofErr w:type="spellStart"/>
      <w:r w:rsidRPr="00E45CA5">
        <w:rPr>
          <w:rFonts w:ascii="Cambria" w:hAnsi="Cambria"/>
          <w:noProof w:val="0"/>
        </w:rPr>
        <w:t>Fareroi</w:t>
      </w:r>
      <w:proofErr w:type="spellEnd"/>
      <w:r w:rsidRPr="00E45CA5">
        <w:rPr>
          <w:rFonts w:ascii="Cambria" w:hAnsi="Cambria"/>
          <w:noProof w:val="0"/>
        </w:rPr>
        <w:t xml:space="preserve"> - </w:t>
      </w:r>
      <w:proofErr w:type="spellStart"/>
      <w:r w:rsidRPr="00E45CA5">
        <w:rPr>
          <w:rFonts w:ascii="Cambria" w:hAnsi="Cambria"/>
          <w:noProof w:val="0"/>
        </w:rPr>
        <w:t>Mahina</w:t>
      </w:r>
      <w:proofErr w:type="spellEnd"/>
      <w:r w:rsidRPr="00E45CA5">
        <w:rPr>
          <w:rFonts w:ascii="Cambria" w:hAnsi="Cambria"/>
          <w:noProof w:val="0"/>
        </w:rPr>
        <w:t xml:space="preserve"> –Tahiti ;</w:t>
      </w:r>
    </w:p>
    <w:p w:rsidR="00E45CA5" w:rsidRPr="00E45CA5" w:rsidRDefault="00E45CA5" w:rsidP="00E45CA5">
      <w:pPr>
        <w:pStyle w:val="-LettreTexteGEDA"/>
        <w:rPr>
          <w:rFonts w:ascii="Cambria" w:hAnsi="Cambria"/>
          <w:noProof w:val="0"/>
        </w:rPr>
      </w:pPr>
      <w:r w:rsidRPr="00E45CA5">
        <w:rPr>
          <w:rFonts w:ascii="Cambria" w:hAnsi="Cambria"/>
          <w:noProof w:val="0"/>
        </w:rPr>
        <w:t xml:space="preserve">- L’institut d’insertion médico-éducatif </w:t>
      </w:r>
      <w:proofErr w:type="spellStart"/>
      <w:r w:rsidRPr="00E45CA5">
        <w:rPr>
          <w:rFonts w:ascii="Cambria" w:hAnsi="Cambria"/>
          <w:noProof w:val="0"/>
        </w:rPr>
        <w:t>Tamaru</w:t>
      </w:r>
      <w:proofErr w:type="spellEnd"/>
      <w:r w:rsidRPr="00E45CA5">
        <w:rPr>
          <w:rFonts w:ascii="Cambria" w:hAnsi="Cambria"/>
          <w:noProof w:val="0"/>
        </w:rPr>
        <w:t xml:space="preserve"> </w:t>
      </w:r>
      <w:proofErr w:type="spellStart"/>
      <w:r w:rsidRPr="00E45CA5">
        <w:rPr>
          <w:rFonts w:ascii="Cambria" w:hAnsi="Cambria"/>
          <w:noProof w:val="0"/>
        </w:rPr>
        <w:t>arii</w:t>
      </w:r>
      <w:proofErr w:type="spellEnd"/>
      <w:r w:rsidRPr="00E45CA5">
        <w:rPr>
          <w:rFonts w:ascii="Cambria" w:hAnsi="Cambria"/>
          <w:noProof w:val="0"/>
        </w:rPr>
        <w:t xml:space="preserve"> de </w:t>
      </w:r>
      <w:proofErr w:type="spellStart"/>
      <w:r w:rsidRPr="00E45CA5">
        <w:rPr>
          <w:rFonts w:ascii="Cambria" w:hAnsi="Cambria"/>
          <w:noProof w:val="0"/>
        </w:rPr>
        <w:t>Taravao</w:t>
      </w:r>
      <w:proofErr w:type="spellEnd"/>
      <w:r w:rsidRPr="00E45CA5">
        <w:rPr>
          <w:rFonts w:ascii="Cambria" w:hAnsi="Cambria"/>
          <w:noProof w:val="0"/>
        </w:rPr>
        <w:t xml:space="preserve"> –Tahiti ;</w:t>
      </w:r>
    </w:p>
    <w:p w:rsidR="00E45CA5" w:rsidRPr="00E45CA5" w:rsidRDefault="00E45CA5" w:rsidP="00E45CA5">
      <w:pPr>
        <w:pStyle w:val="-LettreTexteGEDA"/>
        <w:rPr>
          <w:rFonts w:ascii="Cambria" w:hAnsi="Cambria"/>
          <w:noProof w:val="0"/>
        </w:rPr>
      </w:pPr>
      <w:r w:rsidRPr="00E45CA5">
        <w:rPr>
          <w:rFonts w:ascii="Cambria" w:hAnsi="Cambria"/>
          <w:noProof w:val="0"/>
        </w:rPr>
        <w:t xml:space="preserve">- Le Centre scolaire primaire de </w:t>
      </w:r>
      <w:proofErr w:type="spellStart"/>
      <w:r w:rsidRPr="00E45CA5">
        <w:rPr>
          <w:rFonts w:ascii="Cambria" w:hAnsi="Cambria"/>
          <w:noProof w:val="0"/>
        </w:rPr>
        <w:t>Hakahau</w:t>
      </w:r>
      <w:proofErr w:type="spellEnd"/>
      <w:r w:rsidRPr="00E45CA5">
        <w:rPr>
          <w:rFonts w:ascii="Cambria" w:hAnsi="Cambria"/>
          <w:noProof w:val="0"/>
        </w:rPr>
        <w:t xml:space="preserve"> - </w:t>
      </w:r>
      <w:proofErr w:type="spellStart"/>
      <w:r w:rsidRPr="00E45CA5">
        <w:rPr>
          <w:rFonts w:ascii="Cambria" w:hAnsi="Cambria"/>
          <w:noProof w:val="0"/>
        </w:rPr>
        <w:t>Ua</w:t>
      </w:r>
      <w:proofErr w:type="spellEnd"/>
      <w:r w:rsidRPr="00E45CA5">
        <w:rPr>
          <w:rFonts w:ascii="Cambria" w:hAnsi="Cambria"/>
          <w:noProof w:val="0"/>
        </w:rPr>
        <w:t xml:space="preserve"> Pou ;</w:t>
      </w:r>
    </w:p>
    <w:p w:rsidR="00E45CA5" w:rsidRPr="00E45CA5" w:rsidRDefault="00E45CA5" w:rsidP="00E45CA5">
      <w:pPr>
        <w:pStyle w:val="-LettreTexteGEDA"/>
        <w:rPr>
          <w:rFonts w:ascii="Cambria" w:hAnsi="Cambria"/>
          <w:noProof w:val="0"/>
        </w:rPr>
      </w:pPr>
      <w:r w:rsidRPr="00E45CA5">
        <w:rPr>
          <w:rFonts w:ascii="Cambria" w:hAnsi="Cambria"/>
          <w:noProof w:val="0"/>
        </w:rPr>
        <w:t xml:space="preserve">- L’école primaire de </w:t>
      </w:r>
      <w:proofErr w:type="spellStart"/>
      <w:r w:rsidRPr="00E45CA5">
        <w:rPr>
          <w:rFonts w:ascii="Cambria" w:hAnsi="Cambria"/>
          <w:noProof w:val="0"/>
        </w:rPr>
        <w:t>Patoa</w:t>
      </w:r>
      <w:proofErr w:type="spellEnd"/>
      <w:r w:rsidRPr="00E45CA5">
        <w:rPr>
          <w:rFonts w:ascii="Cambria" w:hAnsi="Cambria"/>
          <w:noProof w:val="0"/>
        </w:rPr>
        <w:t xml:space="preserve">, </w:t>
      </w:r>
      <w:proofErr w:type="spellStart"/>
      <w:r w:rsidRPr="00E45CA5">
        <w:rPr>
          <w:rFonts w:ascii="Cambria" w:hAnsi="Cambria"/>
          <w:noProof w:val="0"/>
        </w:rPr>
        <w:t>Taiohae</w:t>
      </w:r>
      <w:proofErr w:type="spellEnd"/>
      <w:r w:rsidRPr="00E45CA5">
        <w:rPr>
          <w:rFonts w:ascii="Cambria" w:hAnsi="Cambria"/>
          <w:noProof w:val="0"/>
        </w:rPr>
        <w:t xml:space="preserve"> - </w:t>
      </w:r>
      <w:proofErr w:type="spellStart"/>
      <w:r w:rsidRPr="00E45CA5">
        <w:rPr>
          <w:rFonts w:ascii="Cambria" w:hAnsi="Cambria"/>
          <w:noProof w:val="0"/>
        </w:rPr>
        <w:t>Nuku</w:t>
      </w:r>
      <w:proofErr w:type="spellEnd"/>
      <w:r w:rsidRPr="00E45CA5">
        <w:rPr>
          <w:rFonts w:ascii="Cambria" w:hAnsi="Cambria"/>
          <w:noProof w:val="0"/>
        </w:rPr>
        <w:t xml:space="preserve"> </w:t>
      </w:r>
      <w:proofErr w:type="spellStart"/>
      <w:r w:rsidRPr="00E45CA5">
        <w:rPr>
          <w:rFonts w:ascii="Cambria" w:hAnsi="Cambria"/>
          <w:noProof w:val="0"/>
        </w:rPr>
        <w:t>Hiva</w:t>
      </w:r>
      <w:proofErr w:type="spellEnd"/>
      <w:r w:rsidRPr="00E45CA5">
        <w:rPr>
          <w:rFonts w:ascii="Cambria" w:hAnsi="Cambria"/>
          <w:noProof w:val="0"/>
        </w:rPr>
        <w:t>.</w:t>
      </w:r>
    </w:p>
    <w:p w:rsidR="00E45CA5" w:rsidRPr="00E45CA5" w:rsidRDefault="00E45CA5" w:rsidP="00E45CA5">
      <w:pPr>
        <w:pStyle w:val="-LettreTexteGEDA"/>
        <w:spacing w:before="0"/>
        <w:rPr>
          <w:rFonts w:ascii="Cambria" w:hAnsi="Cambria"/>
          <w:noProof w:val="0"/>
        </w:rPr>
      </w:pPr>
    </w:p>
    <w:p w:rsidR="00E45CA5" w:rsidRPr="00E45CA5" w:rsidRDefault="00E45CA5" w:rsidP="00E45CA5">
      <w:pPr>
        <w:pStyle w:val="-LettreTexteGEDA"/>
        <w:spacing w:before="0"/>
        <w:ind w:firstLine="0"/>
        <w:rPr>
          <w:rFonts w:ascii="Cambria" w:hAnsi="Cambria"/>
          <w:noProof w:val="0"/>
        </w:rPr>
      </w:pPr>
      <w:r w:rsidRPr="00E45CA5">
        <w:rPr>
          <w:rFonts w:ascii="Cambria" w:hAnsi="Cambria"/>
          <w:noProof w:val="0"/>
          <w:u w:val="single"/>
        </w:rPr>
        <w:t>Génération 3</w:t>
      </w:r>
      <w:r w:rsidRPr="00E45CA5">
        <w:rPr>
          <w:rFonts w:ascii="Cambria" w:hAnsi="Cambria"/>
          <w:noProof w:val="0"/>
        </w:rPr>
        <w:t> : 2017-2018</w:t>
      </w:r>
    </w:p>
    <w:p w:rsidR="00E45CA5" w:rsidRPr="00E45CA5" w:rsidRDefault="00E45CA5" w:rsidP="00E45CA5">
      <w:pPr>
        <w:pStyle w:val="-LettreTexteGEDA"/>
        <w:rPr>
          <w:rFonts w:ascii="Cambria" w:hAnsi="Cambria"/>
          <w:noProof w:val="0"/>
        </w:rPr>
      </w:pPr>
      <w:r w:rsidRPr="00E45CA5">
        <w:rPr>
          <w:rFonts w:ascii="Cambria" w:hAnsi="Cambria"/>
          <w:noProof w:val="0"/>
        </w:rPr>
        <w:t xml:space="preserve">- L’école primaire </w:t>
      </w:r>
      <w:proofErr w:type="spellStart"/>
      <w:r w:rsidRPr="00E45CA5">
        <w:rPr>
          <w:rFonts w:ascii="Cambria" w:hAnsi="Cambria"/>
          <w:noProof w:val="0"/>
        </w:rPr>
        <w:t>Ahototeina</w:t>
      </w:r>
      <w:proofErr w:type="spellEnd"/>
      <w:r w:rsidRPr="00E45CA5">
        <w:rPr>
          <w:rFonts w:ascii="Cambria" w:hAnsi="Cambria"/>
          <w:noProof w:val="0"/>
        </w:rPr>
        <w:t xml:space="preserve">, </w:t>
      </w:r>
      <w:proofErr w:type="spellStart"/>
      <w:r w:rsidRPr="00E45CA5">
        <w:rPr>
          <w:rFonts w:ascii="Cambria" w:hAnsi="Cambria"/>
          <w:noProof w:val="0"/>
        </w:rPr>
        <w:t>Teahupoo</w:t>
      </w:r>
      <w:proofErr w:type="spellEnd"/>
      <w:r w:rsidRPr="00E45CA5">
        <w:rPr>
          <w:rFonts w:ascii="Cambria" w:hAnsi="Cambria"/>
          <w:noProof w:val="0"/>
        </w:rPr>
        <w:t xml:space="preserve"> - Tahiti ;</w:t>
      </w:r>
    </w:p>
    <w:p w:rsidR="00E45CA5" w:rsidRPr="00E45CA5" w:rsidRDefault="00E45CA5" w:rsidP="00E45CA5">
      <w:pPr>
        <w:pStyle w:val="-LettreTexteGEDA"/>
        <w:rPr>
          <w:rFonts w:ascii="Cambria" w:hAnsi="Cambria"/>
          <w:noProof w:val="0"/>
        </w:rPr>
      </w:pPr>
      <w:r w:rsidRPr="00E45CA5">
        <w:rPr>
          <w:rFonts w:ascii="Cambria" w:hAnsi="Cambria"/>
          <w:noProof w:val="0"/>
        </w:rPr>
        <w:t xml:space="preserve">- L’école primaire </w:t>
      </w:r>
      <w:proofErr w:type="spellStart"/>
      <w:r w:rsidRPr="00E45CA5">
        <w:rPr>
          <w:rFonts w:ascii="Cambria" w:hAnsi="Cambria"/>
          <w:noProof w:val="0"/>
        </w:rPr>
        <w:t>Mairipehe</w:t>
      </w:r>
      <w:proofErr w:type="spellEnd"/>
      <w:r w:rsidRPr="00E45CA5">
        <w:rPr>
          <w:rFonts w:ascii="Cambria" w:hAnsi="Cambria"/>
          <w:noProof w:val="0"/>
        </w:rPr>
        <w:t xml:space="preserve">, </w:t>
      </w:r>
      <w:proofErr w:type="spellStart"/>
      <w:r w:rsidRPr="00E45CA5">
        <w:rPr>
          <w:rFonts w:ascii="Cambria" w:hAnsi="Cambria"/>
          <w:noProof w:val="0"/>
        </w:rPr>
        <w:t>Mataiea</w:t>
      </w:r>
      <w:proofErr w:type="spellEnd"/>
      <w:r w:rsidRPr="00E45CA5">
        <w:rPr>
          <w:rFonts w:ascii="Cambria" w:hAnsi="Cambria"/>
          <w:noProof w:val="0"/>
        </w:rPr>
        <w:t xml:space="preserve"> - Tahiti ;</w:t>
      </w:r>
    </w:p>
    <w:p w:rsidR="00E45CA5" w:rsidRPr="00E45CA5" w:rsidRDefault="00E45CA5" w:rsidP="00E45CA5">
      <w:pPr>
        <w:pStyle w:val="-LettreTexteGEDA"/>
        <w:rPr>
          <w:rFonts w:ascii="Cambria" w:hAnsi="Cambria"/>
          <w:noProof w:val="0"/>
        </w:rPr>
      </w:pPr>
      <w:r w:rsidRPr="00E45CA5">
        <w:rPr>
          <w:rFonts w:ascii="Cambria" w:hAnsi="Cambria"/>
          <w:noProof w:val="0"/>
        </w:rPr>
        <w:lastRenderedPageBreak/>
        <w:t xml:space="preserve">- Le groupe scolaire </w:t>
      </w:r>
      <w:proofErr w:type="spellStart"/>
      <w:r w:rsidRPr="00E45CA5">
        <w:rPr>
          <w:rFonts w:ascii="Cambria" w:hAnsi="Cambria"/>
          <w:noProof w:val="0"/>
        </w:rPr>
        <w:t>Nuutafaratea</w:t>
      </w:r>
      <w:proofErr w:type="spellEnd"/>
      <w:r w:rsidRPr="00E45CA5">
        <w:rPr>
          <w:rFonts w:ascii="Cambria" w:hAnsi="Cambria"/>
          <w:noProof w:val="0"/>
        </w:rPr>
        <w:t xml:space="preserve">, </w:t>
      </w:r>
      <w:proofErr w:type="spellStart"/>
      <w:r w:rsidRPr="00E45CA5">
        <w:rPr>
          <w:rFonts w:ascii="Cambria" w:hAnsi="Cambria"/>
          <w:noProof w:val="0"/>
        </w:rPr>
        <w:t>Mataiea</w:t>
      </w:r>
      <w:proofErr w:type="spellEnd"/>
      <w:r w:rsidRPr="00E45CA5">
        <w:rPr>
          <w:rFonts w:ascii="Cambria" w:hAnsi="Cambria"/>
          <w:noProof w:val="0"/>
        </w:rPr>
        <w:t xml:space="preserve"> - Tahiti ;</w:t>
      </w:r>
    </w:p>
    <w:p w:rsidR="00E45CA5" w:rsidRPr="00E45CA5" w:rsidRDefault="00E45CA5" w:rsidP="00E45CA5">
      <w:pPr>
        <w:pStyle w:val="-LettreTexteGEDA"/>
        <w:rPr>
          <w:rFonts w:ascii="Cambria" w:hAnsi="Cambria"/>
          <w:noProof w:val="0"/>
        </w:rPr>
      </w:pPr>
      <w:r w:rsidRPr="00E45CA5">
        <w:rPr>
          <w:rFonts w:ascii="Cambria" w:hAnsi="Cambria"/>
          <w:noProof w:val="0"/>
        </w:rPr>
        <w:t xml:space="preserve">- L’école élémentaire </w:t>
      </w:r>
      <w:proofErr w:type="spellStart"/>
      <w:r w:rsidRPr="00E45CA5">
        <w:rPr>
          <w:rFonts w:ascii="Cambria" w:hAnsi="Cambria"/>
          <w:noProof w:val="0"/>
        </w:rPr>
        <w:t>Apea</w:t>
      </w:r>
      <w:proofErr w:type="spellEnd"/>
      <w:r w:rsidRPr="00E45CA5">
        <w:rPr>
          <w:rFonts w:ascii="Cambria" w:hAnsi="Cambria"/>
          <w:noProof w:val="0"/>
        </w:rPr>
        <w:t>, Papara - Tahiti ;</w:t>
      </w:r>
    </w:p>
    <w:p w:rsidR="00E45CA5" w:rsidRPr="00E45CA5" w:rsidRDefault="00E45CA5" w:rsidP="00F10B6A">
      <w:pPr>
        <w:pStyle w:val="-LettreTexteGEDA"/>
        <w:rPr>
          <w:rFonts w:ascii="Cambria" w:hAnsi="Cambria"/>
          <w:noProof w:val="0"/>
        </w:rPr>
      </w:pPr>
      <w:r w:rsidRPr="00E45CA5">
        <w:rPr>
          <w:rFonts w:ascii="Cambria" w:hAnsi="Cambria"/>
          <w:noProof w:val="0"/>
        </w:rPr>
        <w:t xml:space="preserve">- L’école primaire Manava </w:t>
      </w:r>
      <w:proofErr w:type="spellStart"/>
      <w:r w:rsidRPr="00E45CA5">
        <w:rPr>
          <w:rFonts w:ascii="Cambria" w:hAnsi="Cambria"/>
          <w:noProof w:val="0"/>
        </w:rPr>
        <w:t>Tavahiroa</w:t>
      </w:r>
      <w:proofErr w:type="spellEnd"/>
      <w:r w:rsidRPr="00E45CA5">
        <w:rPr>
          <w:rFonts w:ascii="Cambria" w:hAnsi="Cambria"/>
          <w:noProof w:val="0"/>
        </w:rPr>
        <w:t xml:space="preserve"> - </w:t>
      </w:r>
      <w:proofErr w:type="spellStart"/>
      <w:r w:rsidRPr="00E45CA5">
        <w:rPr>
          <w:rFonts w:ascii="Cambria" w:hAnsi="Cambria"/>
          <w:noProof w:val="0"/>
        </w:rPr>
        <w:t>Anaa</w:t>
      </w:r>
      <w:proofErr w:type="spellEnd"/>
      <w:r w:rsidRPr="00E45CA5">
        <w:rPr>
          <w:rFonts w:ascii="Cambria" w:hAnsi="Cambria"/>
          <w:noProof w:val="0"/>
        </w:rPr>
        <w:t> ;</w:t>
      </w:r>
    </w:p>
    <w:p w:rsidR="00E45CA5" w:rsidRPr="00E45CA5" w:rsidRDefault="00E45CA5" w:rsidP="00E45CA5">
      <w:pPr>
        <w:pStyle w:val="-LettreTexteGEDA"/>
        <w:rPr>
          <w:rFonts w:ascii="Cambria" w:hAnsi="Cambria"/>
          <w:noProof w:val="0"/>
        </w:rPr>
      </w:pPr>
      <w:r w:rsidRPr="00E45CA5">
        <w:rPr>
          <w:rFonts w:ascii="Cambria" w:hAnsi="Cambria"/>
          <w:noProof w:val="0"/>
        </w:rPr>
        <w:t xml:space="preserve">- L’école primaire Te </w:t>
      </w:r>
      <w:proofErr w:type="spellStart"/>
      <w:r w:rsidRPr="00E45CA5">
        <w:rPr>
          <w:rFonts w:ascii="Cambria" w:hAnsi="Cambria"/>
          <w:noProof w:val="0"/>
        </w:rPr>
        <w:t>hihi</w:t>
      </w:r>
      <w:proofErr w:type="spellEnd"/>
      <w:r w:rsidRPr="00E45CA5">
        <w:rPr>
          <w:rFonts w:ascii="Cambria" w:hAnsi="Cambria"/>
          <w:noProof w:val="0"/>
        </w:rPr>
        <w:t xml:space="preserve"> o te </w:t>
      </w:r>
      <w:proofErr w:type="spellStart"/>
      <w:r w:rsidRPr="00E45CA5">
        <w:rPr>
          <w:rFonts w:ascii="Cambria" w:hAnsi="Cambria"/>
          <w:noProof w:val="0"/>
        </w:rPr>
        <w:t>maramarama</w:t>
      </w:r>
      <w:proofErr w:type="spellEnd"/>
      <w:r w:rsidRPr="00E45CA5">
        <w:rPr>
          <w:rFonts w:ascii="Cambria" w:hAnsi="Cambria"/>
          <w:noProof w:val="0"/>
        </w:rPr>
        <w:t xml:space="preserve"> de </w:t>
      </w:r>
      <w:proofErr w:type="spellStart"/>
      <w:r w:rsidRPr="00E45CA5">
        <w:rPr>
          <w:rFonts w:ascii="Cambria" w:hAnsi="Cambria"/>
          <w:noProof w:val="0"/>
        </w:rPr>
        <w:t>Puohine</w:t>
      </w:r>
      <w:proofErr w:type="spellEnd"/>
      <w:r w:rsidRPr="00E45CA5">
        <w:rPr>
          <w:rFonts w:ascii="Cambria" w:hAnsi="Cambria"/>
          <w:noProof w:val="0"/>
        </w:rPr>
        <w:t xml:space="preserve"> - </w:t>
      </w:r>
      <w:proofErr w:type="spellStart"/>
      <w:r w:rsidRPr="00E45CA5">
        <w:rPr>
          <w:rFonts w:ascii="Cambria" w:hAnsi="Cambria"/>
          <w:noProof w:val="0"/>
        </w:rPr>
        <w:t>Taputapuatea</w:t>
      </w:r>
      <w:proofErr w:type="spellEnd"/>
      <w:r w:rsidRPr="00E45CA5">
        <w:rPr>
          <w:rFonts w:ascii="Cambria" w:hAnsi="Cambria"/>
          <w:noProof w:val="0"/>
        </w:rPr>
        <w:t xml:space="preserve"> - Raiatea ;</w:t>
      </w:r>
    </w:p>
    <w:p w:rsidR="00E45CA5" w:rsidRPr="00E45CA5" w:rsidRDefault="00E45CA5" w:rsidP="00E45CA5">
      <w:pPr>
        <w:pStyle w:val="-LettreTexteGEDA"/>
        <w:rPr>
          <w:rFonts w:ascii="Cambria" w:hAnsi="Cambria"/>
          <w:noProof w:val="0"/>
        </w:rPr>
      </w:pPr>
      <w:r w:rsidRPr="00E45CA5">
        <w:rPr>
          <w:rFonts w:ascii="Cambria" w:hAnsi="Cambria"/>
          <w:noProof w:val="0"/>
        </w:rPr>
        <w:t xml:space="preserve">- Le centre pour jeunes adolescents de </w:t>
      </w:r>
      <w:proofErr w:type="spellStart"/>
      <w:r w:rsidRPr="00E45CA5">
        <w:rPr>
          <w:rFonts w:ascii="Cambria" w:hAnsi="Cambria"/>
          <w:noProof w:val="0"/>
        </w:rPr>
        <w:t>Fare</w:t>
      </w:r>
      <w:proofErr w:type="spellEnd"/>
      <w:r w:rsidRPr="00E45CA5">
        <w:rPr>
          <w:rFonts w:ascii="Cambria" w:hAnsi="Cambria"/>
          <w:noProof w:val="0"/>
        </w:rPr>
        <w:t xml:space="preserve"> - </w:t>
      </w:r>
      <w:proofErr w:type="spellStart"/>
      <w:r w:rsidRPr="00E45CA5">
        <w:rPr>
          <w:rFonts w:ascii="Cambria" w:hAnsi="Cambria"/>
          <w:noProof w:val="0"/>
        </w:rPr>
        <w:t>Huahine</w:t>
      </w:r>
      <w:proofErr w:type="spellEnd"/>
      <w:r w:rsidRPr="00E45CA5">
        <w:rPr>
          <w:rFonts w:ascii="Cambria" w:hAnsi="Cambria"/>
          <w:noProof w:val="0"/>
        </w:rPr>
        <w:t>.</w:t>
      </w:r>
    </w:p>
    <w:p w:rsidR="00E45CA5" w:rsidRPr="00E45CA5" w:rsidRDefault="00E45CA5" w:rsidP="00E45CA5">
      <w:pPr>
        <w:pStyle w:val="-LettreTexteGEDA"/>
        <w:spacing w:before="0"/>
        <w:rPr>
          <w:rFonts w:ascii="Cambria" w:hAnsi="Cambria"/>
          <w:noProof w:val="0"/>
        </w:rPr>
      </w:pPr>
    </w:p>
    <w:p w:rsidR="00E45CA5" w:rsidRPr="00E45CA5" w:rsidRDefault="00E45CA5" w:rsidP="00E45CA5">
      <w:pPr>
        <w:pStyle w:val="-LettreTexteGEDA"/>
        <w:spacing w:before="0"/>
        <w:ind w:firstLine="0"/>
        <w:rPr>
          <w:rFonts w:ascii="Cambria" w:hAnsi="Cambria"/>
          <w:noProof w:val="0"/>
        </w:rPr>
      </w:pPr>
      <w:r w:rsidRPr="00E45CA5">
        <w:rPr>
          <w:rFonts w:ascii="Cambria" w:hAnsi="Cambria"/>
          <w:noProof w:val="0"/>
          <w:u w:val="single"/>
        </w:rPr>
        <w:t>Génération 4</w:t>
      </w:r>
      <w:r w:rsidRPr="00E45CA5">
        <w:rPr>
          <w:rFonts w:ascii="Cambria" w:hAnsi="Cambria"/>
          <w:noProof w:val="0"/>
        </w:rPr>
        <w:t>: 2018-2019</w:t>
      </w:r>
    </w:p>
    <w:p w:rsidR="00E45CA5" w:rsidRPr="00E45CA5" w:rsidRDefault="00E45CA5" w:rsidP="00E45CA5">
      <w:pPr>
        <w:pStyle w:val="-LettreTexteGEDA"/>
        <w:rPr>
          <w:rFonts w:ascii="Cambria" w:hAnsi="Cambria"/>
          <w:noProof w:val="0"/>
        </w:rPr>
      </w:pPr>
      <w:r w:rsidRPr="00E45CA5">
        <w:rPr>
          <w:rFonts w:ascii="Cambria" w:hAnsi="Cambria"/>
          <w:noProof w:val="0"/>
        </w:rPr>
        <w:t xml:space="preserve">- L’école primaire de </w:t>
      </w:r>
      <w:proofErr w:type="spellStart"/>
      <w:r w:rsidRPr="00E45CA5">
        <w:rPr>
          <w:rFonts w:ascii="Cambria" w:hAnsi="Cambria"/>
          <w:noProof w:val="0"/>
        </w:rPr>
        <w:t>Teavaro</w:t>
      </w:r>
      <w:proofErr w:type="spellEnd"/>
      <w:r w:rsidRPr="00E45CA5">
        <w:rPr>
          <w:rFonts w:ascii="Cambria" w:hAnsi="Cambria"/>
          <w:noProof w:val="0"/>
        </w:rPr>
        <w:t xml:space="preserve"> - Moorea ;</w:t>
      </w:r>
    </w:p>
    <w:p w:rsidR="00E45CA5" w:rsidRPr="00E45CA5" w:rsidRDefault="00E45CA5" w:rsidP="00E45CA5">
      <w:pPr>
        <w:pStyle w:val="-LettreTexteGEDA"/>
        <w:rPr>
          <w:rFonts w:ascii="Cambria" w:hAnsi="Cambria"/>
          <w:noProof w:val="0"/>
        </w:rPr>
      </w:pPr>
      <w:r w:rsidRPr="00E45CA5">
        <w:rPr>
          <w:rFonts w:ascii="Cambria" w:hAnsi="Cambria"/>
          <w:noProof w:val="0"/>
        </w:rPr>
        <w:t xml:space="preserve">- L’école primaire de </w:t>
      </w:r>
      <w:proofErr w:type="spellStart"/>
      <w:r w:rsidRPr="00E45CA5">
        <w:rPr>
          <w:rFonts w:ascii="Cambria" w:hAnsi="Cambria"/>
          <w:noProof w:val="0"/>
        </w:rPr>
        <w:t>Rotoava</w:t>
      </w:r>
      <w:proofErr w:type="spellEnd"/>
      <w:r w:rsidRPr="00E45CA5">
        <w:rPr>
          <w:rFonts w:ascii="Cambria" w:hAnsi="Cambria"/>
          <w:noProof w:val="0"/>
        </w:rPr>
        <w:t xml:space="preserve"> - </w:t>
      </w:r>
      <w:proofErr w:type="spellStart"/>
      <w:r w:rsidRPr="00E45CA5">
        <w:rPr>
          <w:rFonts w:ascii="Cambria" w:hAnsi="Cambria"/>
          <w:noProof w:val="0"/>
        </w:rPr>
        <w:t>Fakarava</w:t>
      </w:r>
      <w:proofErr w:type="spellEnd"/>
      <w:r w:rsidRPr="00E45CA5">
        <w:rPr>
          <w:rFonts w:ascii="Cambria" w:hAnsi="Cambria"/>
          <w:noProof w:val="0"/>
        </w:rPr>
        <w:t> ;</w:t>
      </w:r>
    </w:p>
    <w:p w:rsidR="00E45CA5" w:rsidRPr="00E45CA5" w:rsidRDefault="00E45CA5" w:rsidP="00E45CA5">
      <w:pPr>
        <w:pStyle w:val="-LettreTexteGEDA"/>
        <w:rPr>
          <w:rFonts w:ascii="Cambria" w:hAnsi="Cambria"/>
          <w:noProof w:val="0"/>
        </w:rPr>
      </w:pPr>
      <w:r w:rsidRPr="00E45CA5">
        <w:rPr>
          <w:rFonts w:ascii="Cambria" w:hAnsi="Cambria"/>
          <w:noProof w:val="0"/>
        </w:rPr>
        <w:t xml:space="preserve">- Le groupe scolaire Teina - </w:t>
      </w:r>
      <w:proofErr w:type="spellStart"/>
      <w:r w:rsidRPr="00E45CA5">
        <w:rPr>
          <w:rFonts w:ascii="Cambria" w:hAnsi="Cambria"/>
          <w:noProof w:val="0"/>
        </w:rPr>
        <w:t>Mahu</w:t>
      </w:r>
      <w:proofErr w:type="spellEnd"/>
      <w:r w:rsidRPr="00E45CA5">
        <w:rPr>
          <w:rFonts w:ascii="Cambria" w:hAnsi="Cambria"/>
          <w:noProof w:val="0"/>
        </w:rPr>
        <w:t xml:space="preserve"> - </w:t>
      </w:r>
      <w:proofErr w:type="spellStart"/>
      <w:r w:rsidRPr="00E45CA5">
        <w:rPr>
          <w:rFonts w:ascii="Cambria" w:hAnsi="Cambria"/>
          <w:noProof w:val="0"/>
        </w:rPr>
        <w:t>Tubuai</w:t>
      </w:r>
      <w:proofErr w:type="spellEnd"/>
      <w:r w:rsidRPr="00E45CA5">
        <w:rPr>
          <w:rFonts w:ascii="Cambria" w:hAnsi="Cambria"/>
          <w:noProof w:val="0"/>
        </w:rPr>
        <w:t> ;</w:t>
      </w:r>
    </w:p>
    <w:p w:rsidR="00E45CA5" w:rsidRPr="00E45CA5" w:rsidRDefault="00E45CA5" w:rsidP="00E45CA5">
      <w:pPr>
        <w:pStyle w:val="-LettreTexteGEDA"/>
        <w:rPr>
          <w:rFonts w:ascii="Cambria" w:hAnsi="Cambria"/>
          <w:noProof w:val="0"/>
        </w:rPr>
      </w:pPr>
      <w:r w:rsidRPr="00E45CA5">
        <w:rPr>
          <w:rFonts w:ascii="Cambria" w:hAnsi="Cambria"/>
          <w:noProof w:val="0"/>
        </w:rPr>
        <w:t>- Le collège de Punaauia - Tahiti ;</w:t>
      </w:r>
    </w:p>
    <w:p w:rsidR="00E45CA5" w:rsidRPr="00E45CA5" w:rsidRDefault="00E45CA5" w:rsidP="00E45CA5">
      <w:pPr>
        <w:pStyle w:val="-LettreTexteGEDA"/>
        <w:rPr>
          <w:rFonts w:ascii="Cambria" w:hAnsi="Cambria"/>
          <w:noProof w:val="0"/>
        </w:rPr>
      </w:pPr>
      <w:r w:rsidRPr="00E45CA5">
        <w:rPr>
          <w:rFonts w:ascii="Cambria" w:hAnsi="Cambria"/>
          <w:noProof w:val="0"/>
        </w:rPr>
        <w:t xml:space="preserve">- Le collège de </w:t>
      </w:r>
      <w:proofErr w:type="spellStart"/>
      <w:r w:rsidRPr="00E45CA5">
        <w:rPr>
          <w:rFonts w:ascii="Cambria" w:hAnsi="Cambria"/>
          <w:noProof w:val="0"/>
        </w:rPr>
        <w:t>Hakahau</w:t>
      </w:r>
      <w:proofErr w:type="spellEnd"/>
      <w:r w:rsidRPr="00E45CA5">
        <w:rPr>
          <w:rFonts w:ascii="Cambria" w:hAnsi="Cambria"/>
          <w:noProof w:val="0"/>
        </w:rPr>
        <w:t xml:space="preserve"> - </w:t>
      </w:r>
      <w:proofErr w:type="spellStart"/>
      <w:r w:rsidRPr="00E45CA5">
        <w:rPr>
          <w:rFonts w:ascii="Cambria" w:hAnsi="Cambria"/>
          <w:noProof w:val="0"/>
        </w:rPr>
        <w:t>Ua</w:t>
      </w:r>
      <w:proofErr w:type="spellEnd"/>
      <w:r w:rsidRPr="00E45CA5">
        <w:rPr>
          <w:rFonts w:ascii="Cambria" w:hAnsi="Cambria"/>
          <w:noProof w:val="0"/>
        </w:rPr>
        <w:t xml:space="preserve"> Pou ;</w:t>
      </w:r>
    </w:p>
    <w:p w:rsidR="00E45CA5" w:rsidRPr="00E45CA5" w:rsidRDefault="00E45CA5" w:rsidP="00E45CA5">
      <w:pPr>
        <w:pStyle w:val="-LettreTexteGEDA"/>
        <w:rPr>
          <w:rFonts w:ascii="Cambria" w:hAnsi="Cambria"/>
          <w:noProof w:val="0"/>
        </w:rPr>
      </w:pPr>
      <w:r w:rsidRPr="00E45CA5">
        <w:rPr>
          <w:rFonts w:ascii="Cambria" w:hAnsi="Cambria"/>
          <w:noProof w:val="0"/>
        </w:rPr>
        <w:t xml:space="preserve">- Le lycée polyvalent </w:t>
      </w:r>
      <w:proofErr w:type="spellStart"/>
      <w:r w:rsidRPr="00E45CA5">
        <w:rPr>
          <w:rFonts w:ascii="Cambria" w:hAnsi="Cambria"/>
          <w:noProof w:val="0"/>
        </w:rPr>
        <w:t>Ihi</w:t>
      </w:r>
      <w:proofErr w:type="spellEnd"/>
      <w:r w:rsidRPr="00E45CA5">
        <w:rPr>
          <w:rFonts w:ascii="Cambria" w:hAnsi="Cambria"/>
          <w:noProof w:val="0"/>
        </w:rPr>
        <w:t xml:space="preserve">-Tea no </w:t>
      </w:r>
      <w:proofErr w:type="spellStart"/>
      <w:r w:rsidRPr="00E45CA5">
        <w:rPr>
          <w:rFonts w:ascii="Cambria" w:hAnsi="Cambria"/>
          <w:noProof w:val="0"/>
        </w:rPr>
        <w:t>Vavau</w:t>
      </w:r>
      <w:proofErr w:type="spellEnd"/>
      <w:r w:rsidRPr="00E45CA5">
        <w:rPr>
          <w:rFonts w:ascii="Cambria" w:hAnsi="Cambria"/>
          <w:noProof w:val="0"/>
        </w:rPr>
        <w:t xml:space="preserve"> – Bora Bora.</w:t>
      </w:r>
    </w:p>
    <w:p w:rsidR="00762278" w:rsidRDefault="00762278" w:rsidP="003C5FFF">
      <w:pPr>
        <w:pStyle w:val="-LettreSuiteORefPJGEDA"/>
        <w:ind w:left="0"/>
        <w:rPr>
          <w:rFonts w:asciiTheme="majorHAnsi" w:hAnsiTheme="majorHAnsi"/>
        </w:rPr>
      </w:pPr>
    </w:p>
    <w:p w:rsidR="00762278" w:rsidRPr="003C5FFF" w:rsidRDefault="00762278" w:rsidP="003C5FFF">
      <w:pPr>
        <w:pStyle w:val="-LettreSuiteORefPJGEDA"/>
        <w:ind w:left="0"/>
        <w:rPr>
          <w:rFonts w:asciiTheme="majorHAnsi" w:hAnsiTheme="majorHAnsi"/>
        </w:rPr>
      </w:pPr>
    </w:p>
    <w:p w:rsidR="003C5FFF" w:rsidRPr="000561CA" w:rsidRDefault="003C5FFF" w:rsidP="00EF2FA8">
      <w:pPr>
        <w:pStyle w:val="-LettreSuiteORefPJGEDA"/>
        <w:ind w:left="0"/>
        <w:rPr>
          <w:rFonts w:ascii="Cambria" w:hAnsi="Cambria"/>
        </w:rPr>
      </w:pPr>
    </w:p>
    <w:p w:rsidR="008059E4" w:rsidRPr="00DA69B1" w:rsidRDefault="00264EF2" w:rsidP="00CD5D5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D90" w:rsidRDefault="000C5D90">
      <w:r>
        <w:separator/>
      </w:r>
    </w:p>
  </w:endnote>
  <w:endnote w:type="continuationSeparator" w:id="0">
    <w:p w:rsidR="000C5D90" w:rsidRDefault="000C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Default="00642DA2"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42DA2" w:rsidRDefault="000C5D90" w:rsidP="00922ABB">
    <w:pPr>
      <w:pStyle w:val="Pieddepage"/>
      <w:ind w:right="360"/>
    </w:pPr>
    <w:sdt>
      <w:sdtPr>
        <w:id w:val="969400743"/>
        <w:temporary/>
        <w:showingPlcHdr/>
      </w:sdtPr>
      <w:sdtEndPr/>
      <w:sdtContent>
        <w:r w:rsidR="00642DA2">
          <w:t>[Tapez le texte]</w:t>
        </w:r>
      </w:sdtContent>
    </w:sdt>
    <w:r w:rsidR="00642DA2">
      <w:ptab w:relativeTo="margin" w:alignment="center" w:leader="none"/>
    </w:r>
    <w:sdt>
      <w:sdtPr>
        <w:id w:val="969400748"/>
        <w:temporary/>
        <w:showingPlcHdr/>
      </w:sdtPr>
      <w:sdtEndPr/>
      <w:sdtContent>
        <w:r w:rsidR="00642DA2">
          <w:t>[Tapez le texte]</w:t>
        </w:r>
      </w:sdtContent>
    </w:sdt>
    <w:r w:rsidR="00642DA2">
      <w:ptab w:relativeTo="margin" w:alignment="right" w:leader="none"/>
    </w:r>
    <w:sdt>
      <w:sdtPr>
        <w:id w:val="969400753"/>
        <w:temporary/>
        <w:showingPlcHdr/>
      </w:sdtPr>
      <w:sdtEndPr/>
      <w:sdtContent>
        <w:r w:rsidR="00642DA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Pr="00BA209E" w:rsidRDefault="00642DA2" w:rsidP="00922ABB">
    <w:pPr>
      <w:pStyle w:val="Pieddepage"/>
      <w:jc w:val="center"/>
      <w:rPr>
        <w:i/>
        <w:sz w:val="20"/>
        <w:szCs w:val="20"/>
      </w:rPr>
    </w:pPr>
    <w:r w:rsidRPr="00BA209E">
      <w:rPr>
        <w:i/>
        <w:sz w:val="20"/>
        <w:szCs w:val="20"/>
      </w:rPr>
      <w:t>Présidence de la Polynésie Française</w:t>
    </w:r>
  </w:p>
  <w:p w:rsidR="00642DA2" w:rsidRPr="00BA209E" w:rsidRDefault="00642DA2" w:rsidP="00922ABB">
    <w:pPr>
      <w:pStyle w:val="Pieddepage"/>
      <w:jc w:val="center"/>
      <w:rPr>
        <w:i/>
        <w:sz w:val="20"/>
        <w:szCs w:val="20"/>
      </w:rPr>
    </w:pPr>
    <w:r w:rsidRPr="00BA209E">
      <w:rPr>
        <w:i/>
        <w:sz w:val="20"/>
        <w:szCs w:val="20"/>
      </w:rPr>
      <w:t xml:space="preserve">Service </w:t>
    </w:r>
    <w:r>
      <w:rPr>
        <w:i/>
        <w:sz w:val="20"/>
        <w:szCs w:val="20"/>
      </w:rPr>
      <w:t>de la communication</w:t>
    </w:r>
  </w:p>
  <w:p w:rsidR="00642DA2" w:rsidRPr="00BA209E" w:rsidRDefault="000C5D90" w:rsidP="00922ABB">
    <w:pPr>
      <w:pStyle w:val="Pieddepage"/>
      <w:jc w:val="center"/>
      <w:rPr>
        <w:sz w:val="20"/>
        <w:szCs w:val="20"/>
      </w:rPr>
    </w:pPr>
    <w:hyperlink r:id="rId1" w:history="1">
      <w:r w:rsidR="00642DA2" w:rsidRPr="00E264FC">
        <w:rPr>
          <w:rStyle w:val="Lienhypertexte"/>
          <w:sz w:val="20"/>
        </w:rPr>
        <w:t>communication@presidence.pf</w:t>
      </w:r>
    </w:hyperlink>
    <w:r w:rsidR="00642DA2" w:rsidRPr="00BA209E">
      <w:rPr>
        <w:sz w:val="20"/>
        <w:szCs w:val="20"/>
      </w:rPr>
      <w:t xml:space="preserve"> – </w:t>
    </w:r>
    <w:r w:rsidR="00642DA2">
      <w:rPr>
        <w:sz w:val="20"/>
        <w:szCs w:val="20"/>
      </w:rPr>
      <w:t xml:space="preserve">40 </w:t>
    </w:r>
    <w:r w:rsidR="00642DA2" w:rsidRPr="00BA209E">
      <w:rPr>
        <w:sz w:val="20"/>
        <w:szCs w:val="20"/>
      </w:rPr>
      <w:t>47 20 00</w:t>
    </w:r>
  </w:p>
  <w:p w:rsidR="00642DA2" w:rsidRDefault="00642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D90" w:rsidRDefault="000C5D90">
      <w:r>
        <w:separator/>
      </w:r>
    </w:p>
  </w:footnote>
  <w:footnote w:type="continuationSeparator" w:id="0">
    <w:p w:rsidR="000C5D90" w:rsidRDefault="000C5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006D"/>
    <w:multiLevelType w:val="hybridMultilevel"/>
    <w:tmpl w:val="818EA7B8"/>
    <w:lvl w:ilvl="0" w:tplc="A59CDCC2">
      <w:numFmt w:val="bullet"/>
      <w:lvlText w:val="-"/>
      <w:lvlJc w:val="left"/>
      <w:pPr>
        <w:ind w:left="1494" w:hanging="360"/>
      </w:pPr>
      <w:rPr>
        <w:rFonts w:ascii="Cambria" w:eastAsia="Calibri" w:hAnsi="Cambria"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E004085"/>
    <w:multiLevelType w:val="hybridMultilevel"/>
    <w:tmpl w:val="F4B0A1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0C15ECF"/>
    <w:multiLevelType w:val="singleLevel"/>
    <w:tmpl w:val="83CCB92C"/>
    <w:lvl w:ilvl="0">
      <w:start w:val="1"/>
      <w:numFmt w:val="none"/>
      <w:pStyle w:val="Titre4"/>
      <w:lvlText w:val="Réf. : "/>
      <w:legacy w:legacy="1" w:legacySpace="0" w:legacyIndent="851"/>
      <w:lvlJc w:val="left"/>
      <w:pPr>
        <w:ind w:left="851" w:hanging="851"/>
      </w:pPr>
      <w:rPr>
        <w:b/>
        <w:i w:val="0"/>
        <w:sz w:val="24"/>
        <w:u w:val="single"/>
      </w:rPr>
    </w:lvl>
  </w:abstractNum>
  <w:abstractNum w:abstractNumId="3">
    <w:nsid w:val="153F5230"/>
    <w:multiLevelType w:val="hybridMultilevel"/>
    <w:tmpl w:val="4A04D980"/>
    <w:lvl w:ilvl="0" w:tplc="CB7280BC">
      <w:start w:val="16"/>
      <w:numFmt w:val="bullet"/>
      <w:lvlText w:val="-"/>
      <w:lvlJc w:val="left"/>
      <w:pPr>
        <w:ind w:left="660" w:hanging="360"/>
      </w:pPr>
      <w:rPr>
        <w:rFonts w:ascii="Times New Roman" w:eastAsia="Times New Roman" w:hAnsi="Times New Roman" w:cs="Times New Roman"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4">
    <w:nsid w:val="15910F4A"/>
    <w:multiLevelType w:val="hybridMultilevel"/>
    <w:tmpl w:val="9AD69F20"/>
    <w:lvl w:ilvl="0" w:tplc="BAD4E5D4">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5">
    <w:nsid w:val="16FF74B8"/>
    <w:multiLevelType w:val="hybridMultilevel"/>
    <w:tmpl w:val="048A7F40"/>
    <w:lvl w:ilvl="0" w:tplc="F320CB1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865AD1"/>
    <w:multiLevelType w:val="hybridMultilevel"/>
    <w:tmpl w:val="45B6CBDC"/>
    <w:lvl w:ilvl="0" w:tplc="F38A9B02">
      <w:start w:val="3"/>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7">
    <w:nsid w:val="22AC5375"/>
    <w:multiLevelType w:val="hybridMultilevel"/>
    <w:tmpl w:val="190E9786"/>
    <w:lvl w:ilvl="0" w:tplc="4BC4190A">
      <w:numFmt w:val="bullet"/>
      <w:lvlText w:val="-"/>
      <w:lvlJc w:val="left"/>
      <w:pPr>
        <w:ind w:left="700" w:hanging="360"/>
      </w:pPr>
      <w:rPr>
        <w:rFonts w:ascii="Times New Roman" w:eastAsia="Times New Roman" w:hAnsi="Times New Roman" w:cs="Times New Roman" w:hint="default"/>
      </w:rPr>
    </w:lvl>
    <w:lvl w:ilvl="1" w:tplc="040C0003">
      <w:start w:val="1"/>
      <w:numFmt w:val="bullet"/>
      <w:lvlText w:val="o"/>
      <w:lvlJc w:val="left"/>
      <w:pPr>
        <w:ind w:left="1420" w:hanging="360"/>
      </w:pPr>
      <w:rPr>
        <w:rFonts w:ascii="Courier New" w:hAnsi="Courier New" w:cs="Courier New" w:hint="default"/>
      </w:rPr>
    </w:lvl>
    <w:lvl w:ilvl="2" w:tplc="040C0005">
      <w:start w:val="1"/>
      <w:numFmt w:val="bullet"/>
      <w:lvlText w:val=""/>
      <w:lvlJc w:val="left"/>
      <w:pPr>
        <w:ind w:left="2140" w:hanging="360"/>
      </w:pPr>
      <w:rPr>
        <w:rFonts w:ascii="Wingdings" w:hAnsi="Wingdings" w:hint="default"/>
      </w:rPr>
    </w:lvl>
    <w:lvl w:ilvl="3" w:tplc="040C0001">
      <w:start w:val="1"/>
      <w:numFmt w:val="bullet"/>
      <w:lvlText w:val=""/>
      <w:lvlJc w:val="left"/>
      <w:pPr>
        <w:ind w:left="2860" w:hanging="360"/>
      </w:pPr>
      <w:rPr>
        <w:rFonts w:ascii="Symbol" w:hAnsi="Symbol" w:hint="default"/>
      </w:rPr>
    </w:lvl>
    <w:lvl w:ilvl="4" w:tplc="040C0003">
      <w:start w:val="1"/>
      <w:numFmt w:val="bullet"/>
      <w:lvlText w:val="o"/>
      <w:lvlJc w:val="left"/>
      <w:pPr>
        <w:ind w:left="3580" w:hanging="360"/>
      </w:pPr>
      <w:rPr>
        <w:rFonts w:ascii="Courier New" w:hAnsi="Courier New" w:cs="Courier New" w:hint="default"/>
      </w:rPr>
    </w:lvl>
    <w:lvl w:ilvl="5" w:tplc="040C0005">
      <w:start w:val="1"/>
      <w:numFmt w:val="bullet"/>
      <w:lvlText w:val=""/>
      <w:lvlJc w:val="left"/>
      <w:pPr>
        <w:ind w:left="4300" w:hanging="360"/>
      </w:pPr>
      <w:rPr>
        <w:rFonts w:ascii="Wingdings" w:hAnsi="Wingdings" w:hint="default"/>
      </w:rPr>
    </w:lvl>
    <w:lvl w:ilvl="6" w:tplc="040C0001">
      <w:start w:val="1"/>
      <w:numFmt w:val="bullet"/>
      <w:lvlText w:val=""/>
      <w:lvlJc w:val="left"/>
      <w:pPr>
        <w:ind w:left="5020" w:hanging="360"/>
      </w:pPr>
      <w:rPr>
        <w:rFonts w:ascii="Symbol" w:hAnsi="Symbol" w:hint="default"/>
      </w:rPr>
    </w:lvl>
    <w:lvl w:ilvl="7" w:tplc="040C0003">
      <w:start w:val="1"/>
      <w:numFmt w:val="bullet"/>
      <w:lvlText w:val="o"/>
      <w:lvlJc w:val="left"/>
      <w:pPr>
        <w:ind w:left="5740" w:hanging="360"/>
      </w:pPr>
      <w:rPr>
        <w:rFonts w:ascii="Courier New" w:hAnsi="Courier New" w:cs="Courier New" w:hint="default"/>
      </w:rPr>
    </w:lvl>
    <w:lvl w:ilvl="8" w:tplc="040C0005">
      <w:start w:val="1"/>
      <w:numFmt w:val="bullet"/>
      <w:lvlText w:val=""/>
      <w:lvlJc w:val="left"/>
      <w:pPr>
        <w:ind w:left="6460" w:hanging="360"/>
      </w:pPr>
      <w:rPr>
        <w:rFonts w:ascii="Wingdings" w:hAnsi="Wingdings" w:hint="default"/>
      </w:rPr>
    </w:lvl>
  </w:abstractNum>
  <w:abstractNum w:abstractNumId="8">
    <w:nsid w:val="23647264"/>
    <w:multiLevelType w:val="hybridMultilevel"/>
    <w:tmpl w:val="32FAF24A"/>
    <w:lvl w:ilvl="0" w:tplc="E8105548">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9">
    <w:nsid w:val="2F033B37"/>
    <w:multiLevelType w:val="hybridMultilevel"/>
    <w:tmpl w:val="C3763D74"/>
    <w:styleLink w:val="Style9import"/>
    <w:lvl w:ilvl="0" w:tplc="D48EF734">
      <w:start w:val="1"/>
      <w:numFmt w:val="bullet"/>
      <w:lvlText w:val="-"/>
      <w:lvlJc w:val="left"/>
      <w:pPr>
        <w:tabs>
          <w:tab w:val="num" w:pos="1778"/>
        </w:tabs>
        <w:ind w:left="10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8A468">
      <w:start w:val="1"/>
      <w:numFmt w:val="bullet"/>
      <w:lvlText w:val="o"/>
      <w:lvlJc w:val="left"/>
      <w:pPr>
        <w:tabs>
          <w:tab w:val="num" w:pos="2498"/>
        </w:tabs>
        <w:ind w:left="17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28DBB0">
      <w:start w:val="1"/>
      <w:numFmt w:val="bullet"/>
      <w:lvlText w:val="▪"/>
      <w:lvlJc w:val="left"/>
      <w:pPr>
        <w:tabs>
          <w:tab w:val="num" w:pos="3218"/>
        </w:tabs>
        <w:ind w:left="25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46B6A">
      <w:start w:val="1"/>
      <w:numFmt w:val="bullet"/>
      <w:lvlText w:val="•"/>
      <w:lvlJc w:val="left"/>
      <w:pPr>
        <w:tabs>
          <w:tab w:val="num" w:pos="3938"/>
        </w:tabs>
        <w:ind w:left="32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3C131E">
      <w:start w:val="1"/>
      <w:numFmt w:val="bullet"/>
      <w:lvlText w:val="o"/>
      <w:lvlJc w:val="left"/>
      <w:pPr>
        <w:tabs>
          <w:tab w:val="num" w:pos="4658"/>
        </w:tabs>
        <w:ind w:left="394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06CCE">
      <w:start w:val="1"/>
      <w:numFmt w:val="bullet"/>
      <w:lvlText w:val="▪"/>
      <w:lvlJc w:val="left"/>
      <w:pPr>
        <w:tabs>
          <w:tab w:val="num" w:pos="5378"/>
        </w:tabs>
        <w:ind w:left="46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00A46">
      <w:start w:val="1"/>
      <w:numFmt w:val="bullet"/>
      <w:lvlText w:val="•"/>
      <w:lvlJc w:val="left"/>
      <w:pPr>
        <w:tabs>
          <w:tab w:val="num" w:pos="6098"/>
        </w:tabs>
        <w:ind w:left="53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A8152">
      <w:start w:val="1"/>
      <w:numFmt w:val="bullet"/>
      <w:lvlText w:val="o"/>
      <w:lvlJc w:val="left"/>
      <w:pPr>
        <w:tabs>
          <w:tab w:val="num" w:pos="6818"/>
        </w:tabs>
        <w:ind w:left="61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B7DE">
      <w:start w:val="1"/>
      <w:numFmt w:val="bullet"/>
      <w:lvlText w:val="▪"/>
      <w:lvlJc w:val="left"/>
      <w:pPr>
        <w:tabs>
          <w:tab w:val="num" w:pos="7538"/>
        </w:tabs>
        <w:ind w:left="68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FDA6FC6"/>
    <w:multiLevelType w:val="hybridMultilevel"/>
    <w:tmpl w:val="4A42421C"/>
    <w:lvl w:ilvl="0" w:tplc="80D874CC">
      <w:start w:val="1"/>
      <w:numFmt w:val="decimal"/>
      <w:lvlText w:val="%1."/>
      <w:lvlJc w:val="left"/>
      <w:pPr>
        <w:ind w:left="1571" w:hanging="360"/>
      </w:pPr>
      <w:rPr>
        <w:rFonts w:hint="default"/>
        <w:i w:val="0"/>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1">
    <w:nsid w:val="363E30A0"/>
    <w:multiLevelType w:val="hybridMultilevel"/>
    <w:tmpl w:val="D5EC5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AF36C0"/>
    <w:multiLevelType w:val="hybridMultilevel"/>
    <w:tmpl w:val="8392DAF6"/>
    <w:lvl w:ilvl="0" w:tplc="ED7A2018">
      <w:start w:val="16"/>
      <w:numFmt w:val="bullet"/>
      <w:lvlText w:val="-"/>
      <w:lvlJc w:val="left"/>
      <w:pPr>
        <w:ind w:left="1065" w:hanging="360"/>
      </w:pPr>
      <w:rPr>
        <w:rFonts w:ascii="Times New Roman" w:eastAsia="Times New Roman" w:hAnsi="Times New Roman" w:cs="Times New Roman" w:hint="default"/>
      </w:rPr>
    </w:lvl>
    <w:lvl w:ilvl="1" w:tplc="20000003" w:tentative="1">
      <w:start w:val="1"/>
      <w:numFmt w:val="bullet"/>
      <w:lvlText w:val="o"/>
      <w:lvlJc w:val="left"/>
      <w:pPr>
        <w:ind w:left="1785" w:hanging="360"/>
      </w:pPr>
      <w:rPr>
        <w:rFonts w:ascii="Courier New" w:hAnsi="Courier New" w:cs="Courier New" w:hint="default"/>
      </w:rPr>
    </w:lvl>
    <w:lvl w:ilvl="2" w:tplc="20000005" w:tentative="1">
      <w:start w:val="1"/>
      <w:numFmt w:val="bullet"/>
      <w:lvlText w:val=""/>
      <w:lvlJc w:val="left"/>
      <w:pPr>
        <w:ind w:left="2505" w:hanging="360"/>
      </w:pPr>
      <w:rPr>
        <w:rFonts w:ascii="Wingdings" w:hAnsi="Wingdings" w:hint="default"/>
      </w:rPr>
    </w:lvl>
    <w:lvl w:ilvl="3" w:tplc="20000001" w:tentative="1">
      <w:start w:val="1"/>
      <w:numFmt w:val="bullet"/>
      <w:lvlText w:val=""/>
      <w:lvlJc w:val="left"/>
      <w:pPr>
        <w:ind w:left="3225" w:hanging="360"/>
      </w:pPr>
      <w:rPr>
        <w:rFonts w:ascii="Symbol" w:hAnsi="Symbol" w:hint="default"/>
      </w:rPr>
    </w:lvl>
    <w:lvl w:ilvl="4" w:tplc="20000003" w:tentative="1">
      <w:start w:val="1"/>
      <w:numFmt w:val="bullet"/>
      <w:lvlText w:val="o"/>
      <w:lvlJc w:val="left"/>
      <w:pPr>
        <w:ind w:left="3945" w:hanging="360"/>
      </w:pPr>
      <w:rPr>
        <w:rFonts w:ascii="Courier New" w:hAnsi="Courier New" w:cs="Courier New" w:hint="default"/>
      </w:rPr>
    </w:lvl>
    <w:lvl w:ilvl="5" w:tplc="20000005" w:tentative="1">
      <w:start w:val="1"/>
      <w:numFmt w:val="bullet"/>
      <w:lvlText w:val=""/>
      <w:lvlJc w:val="left"/>
      <w:pPr>
        <w:ind w:left="4665" w:hanging="360"/>
      </w:pPr>
      <w:rPr>
        <w:rFonts w:ascii="Wingdings" w:hAnsi="Wingdings" w:hint="default"/>
      </w:rPr>
    </w:lvl>
    <w:lvl w:ilvl="6" w:tplc="20000001" w:tentative="1">
      <w:start w:val="1"/>
      <w:numFmt w:val="bullet"/>
      <w:lvlText w:val=""/>
      <w:lvlJc w:val="left"/>
      <w:pPr>
        <w:ind w:left="5385" w:hanging="360"/>
      </w:pPr>
      <w:rPr>
        <w:rFonts w:ascii="Symbol" w:hAnsi="Symbol" w:hint="default"/>
      </w:rPr>
    </w:lvl>
    <w:lvl w:ilvl="7" w:tplc="20000003" w:tentative="1">
      <w:start w:val="1"/>
      <w:numFmt w:val="bullet"/>
      <w:lvlText w:val="o"/>
      <w:lvlJc w:val="left"/>
      <w:pPr>
        <w:ind w:left="6105" w:hanging="360"/>
      </w:pPr>
      <w:rPr>
        <w:rFonts w:ascii="Courier New" w:hAnsi="Courier New" w:cs="Courier New" w:hint="default"/>
      </w:rPr>
    </w:lvl>
    <w:lvl w:ilvl="8" w:tplc="20000005" w:tentative="1">
      <w:start w:val="1"/>
      <w:numFmt w:val="bullet"/>
      <w:lvlText w:val=""/>
      <w:lvlJc w:val="left"/>
      <w:pPr>
        <w:ind w:left="6825" w:hanging="360"/>
      </w:pPr>
      <w:rPr>
        <w:rFonts w:ascii="Wingdings" w:hAnsi="Wingdings" w:hint="default"/>
      </w:rPr>
    </w:lvl>
  </w:abstractNum>
  <w:abstractNum w:abstractNumId="13">
    <w:nsid w:val="3B6E3CB6"/>
    <w:multiLevelType w:val="hybridMultilevel"/>
    <w:tmpl w:val="A7668B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5">
    <w:nsid w:val="40D3159D"/>
    <w:multiLevelType w:val="hybridMultilevel"/>
    <w:tmpl w:val="B9FEB730"/>
    <w:lvl w:ilvl="0" w:tplc="1E784C9E">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7">
    <w:nsid w:val="488C6C28"/>
    <w:multiLevelType w:val="hybridMultilevel"/>
    <w:tmpl w:val="0F24425E"/>
    <w:lvl w:ilvl="0" w:tplc="4CD28BA0">
      <w:start w:val="251"/>
      <w:numFmt w:val="bullet"/>
      <w:lvlText w:val="­"/>
      <w:lvlJc w:val="left"/>
      <w:pPr>
        <w:ind w:left="1571" w:hanging="360"/>
      </w:pPr>
      <w:rPr>
        <w:rFonts w:ascii="Arial" w:eastAsia="Arial" w:hAnsi="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nsid w:val="498D6CCA"/>
    <w:multiLevelType w:val="hybridMultilevel"/>
    <w:tmpl w:val="DA8CEF90"/>
    <w:lvl w:ilvl="0" w:tplc="B360D87E">
      <w:numFmt w:val="bullet"/>
      <w:lvlText w:val="-"/>
      <w:lvlJc w:val="left"/>
      <w:pPr>
        <w:ind w:left="1069" w:hanging="360"/>
      </w:pPr>
      <w:rPr>
        <w:rFonts w:ascii="Times New Roman" w:eastAsia="Times New Roman" w:hAnsi="Times New Roman"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9">
    <w:nsid w:val="4A666337"/>
    <w:multiLevelType w:val="hybridMultilevel"/>
    <w:tmpl w:val="CB447612"/>
    <w:lvl w:ilvl="0" w:tplc="15DCE854">
      <w:start w:val="1"/>
      <w:numFmt w:val="none"/>
      <w:pStyle w:val="-LettreAffairesuivieGEDA"/>
      <w:lvlText w:val="%1Affaire suivie par :"/>
      <w:lvlJc w:val="left"/>
      <w:pPr>
        <w:tabs>
          <w:tab w:val="num" w:pos="2880"/>
        </w:tabs>
        <w:ind w:left="1080" w:hanging="360"/>
      </w:pPr>
      <w:rPr>
        <w:rFonts w:hint="default"/>
        <w:b w:val="0"/>
        <w:i/>
        <w:sz w:val="18"/>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EB53DC5"/>
    <w:multiLevelType w:val="hybridMultilevel"/>
    <w:tmpl w:val="F3CEC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52D6960"/>
    <w:multiLevelType w:val="hybridMultilevel"/>
    <w:tmpl w:val="8662EA50"/>
    <w:lvl w:ilvl="0" w:tplc="B13CCB72">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55712553"/>
    <w:multiLevelType w:val="hybridMultilevel"/>
    <w:tmpl w:val="2B48AE8E"/>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nsid w:val="582F4CE2"/>
    <w:multiLevelType w:val="hybridMultilevel"/>
    <w:tmpl w:val="9DC2B7F0"/>
    <w:lvl w:ilvl="0" w:tplc="EFEA912A">
      <w:start w:val="1"/>
      <w:numFmt w:val="decimal"/>
      <w:lvlText w:val="%1-"/>
      <w:lvlJc w:val="left"/>
      <w:pPr>
        <w:ind w:left="1778" w:hanging="36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24">
    <w:nsid w:val="584F05CB"/>
    <w:multiLevelType w:val="hybridMultilevel"/>
    <w:tmpl w:val="DE282D32"/>
    <w:lvl w:ilvl="0" w:tplc="040C000B">
      <w:start w:val="1"/>
      <w:numFmt w:val="bullet"/>
      <w:lvlText w:val=""/>
      <w:lvlJc w:val="left"/>
      <w:pPr>
        <w:ind w:left="1211" w:hanging="360"/>
      </w:pPr>
      <w:rPr>
        <w:rFonts w:ascii="Wingdings" w:hAnsi="Wingdings"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25">
    <w:nsid w:val="5EA24052"/>
    <w:multiLevelType w:val="hybridMultilevel"/>
    <w:tmpl w:val="9E8E5818"/>
    <w:lvl w:ilvl="0" w:tplc="4558BE9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6">
    <w:nsid w:val="694014EA"/>
    <w:multiLevelType w:val="hybridMultilevel"/>
    <w:tmpl w:val="FDAA2E60"/>
    <w:lvl w:ilvl="0" w:tplc="E79841E8">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7">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28">
    <w:nsid w:val="6B073BBC"/>
    <w:multiLevelType w:val="hybridMultilevel"/>
    <w:tmpl w:val="A7ACF21A"/>
    <w:lvl w:ilvl="0" w:tplc="1E784C9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BAB4522"/>
    <w:multiLevelType w:val="hybridMultilevel"/>
    <w:tmpl w:val="C6205840"/>
    <w:lvl w:ilvl="0" w:tplc="040C0003">
      <w:start w:val="1"/>
      <w:numFmt w:val="bullet"/>
      <w:lvlText w:val="o"/>
      <w:lvlJc w:val="left"/>
      <w:pPr>
        <w:ind w:left="1197" w:hanging="360"/>
      </w:pPr>
      <w:rPr>
        <w:rFonts w:ascii="Courier New" w:hAnsi="Courier New" w:cs="Courier New" w:hint="default"/>
      </w:rPr>
    </w:lvl>
    <w:lvl w:ilvl="1" w:tplc="040C0003" w:tentative="1">
      <w:start w:val="1"/>
      <w:numFmt w:val="bullet"/>
      <w:lvlText w:val="o"/>
      <w:lvlJc w:val="left"/>
      <w:pPr>
        <w:ind w:left="1917" w:hanging="360"/>
      </w:pPr>
      <w:rPr>
        <w:rFonts w:ascii="Courier New" w:hAnsi="Courier New" w:cs="Courier New" w:hint="default"/>
      </w:rPr>
    </w:lvl>
    <w:lvl w:ilvl="2" w:tplc="040C0005" w:tentative="1">
      <w:start w:val="1"/>
      <w:numFmt w:val="bullet"/>
      <w:lvlText w:val=""/>
      <w:lvlJc w:val="left"/>
      <w:pPr>
        <w:ind w:left="2637" w:hanging="360"/>
      </w:pPr>
      <w:rPr>
        <w:rFonts w:ascii="Wingdings" w:hAnsi="Wingdings" w:hint="default"/>
      </w:rPr>
    </w:lvl>
    <w:lvl w:ilvl="3" w:tplc="040C0001" w:tentative="1">
      <w:start w:val="1"/>
      <w:numFmt w:val="bullet"/>
      <w:lvlText w:val=""/>
      <w:lvlJc w:val="left"/>
      <w:pPr>
        <w:ind w:left="3357" w:hanging="360"/>
      </w:pPr>
      <w:rPr>
        <w:rFonts w:ascii="Symbol" w:hAnsi="Symbol" w:hint="default"/>
      </w:rPr>
    </w:lvl>
    <w:lvl w:ilvl="4" w:tplc="040C0003" w:tentative="1">
      <w:start w:val="1"/>
      <w:numFmt w:val="bullet"/>
      <w:lvlText w:val="o"/>
      <w:lvlJc w:val="left"/>
      <w:pPr>
        <w:ind w:left="4077" w:hanging="360"/>
      </w:pPr>
      <w:rPr>
        <w:rFonts w:ascii="Courier New" w:hAnsi="Courier New" w:cs="Courier New" w:hint="default"/>
      </w:rPr>
    </w:lvl>
    <w:lvl w:ilvl="5" w:tplc="040C0005" w:tentative="1">
      <w:start w:val="1"/>
      <w:numFmt w:val="bullet"/>
      <w:lvlText w:val=""/>
      <w:lvlJc w:val="left"/>
      <w:pPr>
        <w:ind w:left="4797" w:hanging="360"/>
      </w:pPr>
      <w:rPr>
        <w:rFonts w:ascii="Wingdings" w:hAnsi="Wingdings" w:hint="default"/>
      </w:rPr>
    </w:lvl>
    <w:lvl w:ilvl="6" w:tplc="040C0001" w:tentative="1">
      <w:start w:val="1"/>
      <w:numFmt w:val="bullet"/>
      <w:lvlText w:val=""/>
      <w:lvlJc w:val="left"/>
      <w:pPr>
        <w:ind w:left="5517" w:hanging="360"/>
      </w:pPr>
      <w:rPr>
        <w:rFonts w:ascii="Symbol" w:hAnsi="Symbol" w:hint="default"/>
      </w:rPr>
    </w:lvl>
    <w:lvl w:ilvl="7" w:tplc="040C0003" w:tentative="1">
      <w:start w:val="1"/>
      <w:numFmt w:val="bullet"/>
      <w:lvlText w:val="o"/>
      <w:lvlJc w:val="left"/>
      <w:pPr>
        <w:ind w:left="6237" w:hanging="360"/>
      </w:pPr>
      <w:rPr>
        <w:rFonts w:ascii="Courier New" w:hAnsi="Courier New" w:cs="Courier New" w:hint="default"/>
      </w:rPr>
    </w:lvl>
    <w:lvl w:ilvl="8" w:tplc="040C0005" w:tentative="1">
      <w:start w:val="1"/>
      <w:numFmt w:val="bullet"/>
      <w:lvlText w:val=""/>
      <w:lvlJc w:val="left"/>
      <w:pPr>
        <w:ind w:left="6957" w:hanging="360"/>
      </w:pPr>
      <w:rPr>
        <w:rFonts w:ascii="Wingdings" w:hAnsi="Wingdings" w:hint="default"/>
      </w:rPr>
    </w:lvl>
  </w:abstractNum>
  <w:abstractNum w:abstractNumId="30">
    <w:nsid w:val="6EC25E1E"/>
    <w:multiLevelType w:val="hybridMultilevel"/>
    <w:tmpl w:val="47FAC7C6"/>
    <w:lvl w:ilvl="0" w:tplc="ACC46FE0">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73205825"/>
    <w:multiLevelType w:val="singleLevel"/>
    <w:tmpl w:val="C20E3398"/>
    <w:lvl w:ilvl="0">
      <w:start w:val="1"/>
      <w:numFmt w:val="none"/>
      <w:pStyle w:val="-ActeAttenduConsidrantGEDA"/>
      <w:lvlText w:val="Considérant"/>
      <w:lvlJc w:val="left"/>
      <w:pPr>
        <w:tabs>
          <w:tab w:val="num" w:pos="1080"/>
        </w:tabs>
        <w:ind w:left="340" w:hanging="340"/>
      </w:pPr>
      <w:rPr>
        <w:rFonts w:hint="default"/>
        <w:sz w:val="20"/>
      </w:rPr>
    </w:lvl>
  </w:abstractNum>
  <w:abstractNum w:abstractNumId="32">
    <w:nsid w:val="74507261"/>
    <w:multiLevelType w:val="hybridMultilevel"/>
    <w:tmpl w:val="6A3E42F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75C5D0B"/>
    <w:multiLevelType w:val="hybridMultilevel"/>
    <w:tmpl w:val="5CFC92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77224C6"/>
    <w:multiLevelType w:val="hybridMultilevel"/>
    <w:tmpl w:val="CE566B10"/>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5">
    <w:nsid w:val="792147B1"/>
    <w:multiLevelType w:val="hybridMultilevel"/>
    <w:tmpl w:val="446C46CE"/>
    <w:lvl w:ilvl="0" w:tplc="0A68BA86">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6">
    <w:nsid w:val="7B431976"/>
    <w:multiLevelType w:val="hybridMultilevel"/>
    <w:tmpl w:val="FE5A615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7">
    <w:nsid w:val="7DA1617E"/>
    <w:multiLevelType w:val="hybridMultilevel"/>
    <w:tmpl w:val="21AC3910"/>
    <w:lvl w:ilvl="0" w:tplc="1B7A7A88">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8">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abstractNum w:abstractNumId="39">
    <w:nsid w:val="7F6D4C86"/>
    <w:multiLevelType w:val="hybridMultilevel"/>
    <w:tmpl w:val="0F4C5D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8"/>
  </w:num>
  <w:num w:numId="4">
    <w:abstractNumId w:val="27"/>
  </w:num>
  <w:num w:numId="5">
    <w:abstractNumId w:val="31"/>
  </w:num>
  <w:num w:numId="6">
    <w:abstractNumId w:val="2"/>
  </w:num>
  <w:num w:numId="7">
    <w:abstractNumId w:val="9"/>
  </w:num>
  <w:num w:numId="8">
    <w:abstractNumId w:val="11"/>
  </w:num>
  <w:num w:numId="9">
    <w:abstractNumId w:val="17"/>
  </w:num>
  <w:num w:numId="10">
    <w:abstractNumId w:val="35"/>
  </w:num>
  <w:num w:numId="11">
    <w:abstractNumId w:val="12"/>
  </w:num>
  <w:num w:numId="12">
    <w:abstractNumId w:val="23"/>
  </w:num>
  <w:num w:numId="13">
    <w:abstractNumId w:val="6"/>
  </w:num>
  <w:num w:numId="14">
    <w:abstractNumId w:val="19"/>
  </w:num>
  <w:num w:numId="15">
    <w:abstractNumId w:val="39"/>
  </w:num>
  <w:num w:numId="16">
    <w:abstractNumId w:val="1"/>
  </w:num>
  <w:num w:numId="17">
    <w:abstractNumId w:val="15"/>
  </w:num>
  <w:num w:numId="18">
    <w:abstractNumId w:val="7"/>
  </w:num>
  <w:num w:numId="19">
    <w:abstractNumId w:val="28"/>
  </w:num>
  <w:num w:numId="20">
    <w:abstractNumId w:val="24"/>
  </w:num>
  <w:num w:numId="21">
    <w:abstractNumId w:val="30"/>
  </w:num>
  <w:num w:numId="22">
    <w:abstractNumId w:val="21"/>
  </w:num>
  <w:num w:numId="23">
    <w:abstractNumId w:val="26"/>
  </w:num>
  <w:num w:numId="24">
    <w:abstractNumId w:val="22"/>
  </w:num>
  <w:num w:numId="25">
    <w:abstractNumId w:val="37"/>
  </w:num>
  <w:num w:numId="26">
    <w:abstractNumId w:val="20"/>
  </w:num>
  <w:num w:numId="27">
    <w:abstractNumId w:val="13"/>
  </w:num>
  <w:num w:numId="28">
    <w:abstractNumId w:val="4"/>
  </w:num>
  <w:num w:numId="29">
    <w:abstractNumId w:val="18"/>
  </w:num>
  <w:num w:numId="30">
    <w:abstractNumId w:val="36"/>
  </w:num>
  <w:num w:numId="31">
    <w:abstractNumId w:val="10"/>
  </w:num>
  <w:num w:numId="32">
    <w:abstractNumId w:val="0"/>
  </w:num>
  <w:num w:numId="33">
    <w:abstractNumId w:val="33"/>
  </w:num>
  <w:num w:numId="34">
    <w:abstractNumId w:val="3"/>
  </w:num>
  <w:num w:numId="35">
    <w:abstractNumId w:val="25"/>
  </w:num>
  <w:num w:numId="36">
    <w:abstractNumId w:val="5"/>
  </w:num>
  <w:num w:numId="37">
    <w:abstractNumId w:val="34"/>
  </w:num>
  <w:num w:numId="38">
    <w:abstractNumId w:val="32"/>
  </w:num>
  <w:num w:numId="39">
    <w:abstractNumId w:val="8"/>
  </w:num>
  <w:num w:numId="40">
    <w:abstractNumId w:val="25"/>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FE8"/>
    <w:rsid w:val="00002B31"/>
    <w:rsid w:val="00011CE8"/>
    <w:rsid w:val="00015FF2"/>
    <w:rsid w:val="00021602"/>
    <w:rsid w:val="000224F9"/>
    <w:rsid w:val="00027CD3"/>
    <w:rsid w:val="0003093E"/>
    <w:rsid w:val="00033658"/>
    <w:rsid w:val="00040642"/>
    <w:rsid w:val="000442CB"/>
    <w:rsid w:val="000448E5"/>
    <w:rsid w:val="0004526C"/>
    <w:rsid w:val="00045E81"/>
    <w:rsid w:val="00047992"/>
    <w:rsid w:val="000508C8"/>
    <w:rsid w:val="000561CA"/>
    <w:rsid w:val="00063EA4"/>
    <w:rsid w:val="00064A61"/>
    <w:rsid w:val="00066013"/>
    <w:rsid w:val="000678D5"/>
    <w:rsid w:val="000728E0"/>
    <w:rsid w:val="0007390E"/>
    <w:rsid w:val="0008409F"/>
    <w:rsid w:val="00086538"/>
    <w:rsid w:val="0008783B"/>
    <w:rsid w:val="00087CFE"/>
    <w:rsid w:val="0009440F"/>
    <w:rsid w:val="00094FC4"/>
    <w:rsid w:val="000A0CBC"/>
    <w:rsid w:val="000A7995"/>
    <w:rsid w:val="000B0B49"/>
    <w:rsid w:val="000B150B"/>
    <w:rsid w:val="000B4563"/>
    <w:rsid w:val="000B77CD"/>
    <w:rsid w:val="000C0F06"/>
    <w:rsid w:val="000C103D"/>
    <w:rsid w:val="000C3FED"/>
    <w:rsid w:val="000C44EB"/>
    <w:rsid w:val="000C55DA"/>
    <w:rsid w:val="000C5D90"/>
    <w:rsid w:val="000D41CD"/>
    <w:rsid w:val="000D5AC8"/>
    <w:rsid w:val="000D5EAC"/>
    <w:rsid w:val="000D60AF"/>
    <w:rsid w:val="000E790C"/>
    <w:rsid w:val="000F1E19"/>
    <w:rsid w:val="000F7373"/>
    <w:rsid w:val="001053EF"/>
    <w:rsid w:val="00112BB8"/>
    <w:rsid w:val="00114615"/>
    <w:rsid w:val="00121991"/>
    <w:rsid w:val="00121B8F"/>
    <w:rsid w:val="0012265F"/>
    <w:rsid w:val="00124A38"/>
    <w:rsid w:val="001260E1"/>
    <w:rsid w:val="001308E2"/>
    <w:rsid w:val="00131CED"/>
    <w:rsid w:val="00131F0F"/>
    <w:rsid w:val="00132659"/>
    <w:rsid w:val="00141919"/>
    <w:rsid w:val="001510DE"/>
    <w:rsid w:val="00164559"/>
    <w:rsid w:val="0016503A"/>
    <w:rsid w:val="001702D3"/>
    <w:rsid w:val="00172F9E"/>
    <w:rsid w:val="001775EE"/>
    <w:rsid w:val="0018145E"/>
    <w:rsid w:val="00186F29"/>
    <w:rsid w:val="0019566B"/>
    <w:rsid w:val="001A2D2F"/>
    <w:rsid w:val="001A2EBB"/>
    <w:rsid w:val="001A5551"/>
    <w:rsid w:val="001A5B63"/>
    <w:rsid w:val="001A731D"/>
    <w:rsid w:val="001B1A33"/>
    <w:rsid w:val="001B28FD"/>
    <w:rsid w:val="001C2250"/>
    <w:rsid w:val="001C4DE4"/>
    <w:rsid w:val="001C5819"/>
    <w:rsid w:val="001C6C5E"/>
    <w:rsid w:val="001C6CF3"/>
    <w:rsid w:val="001C74FC"/>
    <w:rsid w:val="001D25B7"/>
    <w:rsid w:val="001D6BE1"/>
    <w:rsid w:val="001E0F84"/>
    <w:rsid w:val="001E128A"/>
    <w:rsid w:val="001E20C7"/>
    <w:rsid w:val="001E2C77"/>
    <w:rsid w:val="001E3419"/>
    <w:rsid w:val="001E3E58"/>
    <w:rsid w:val="001E4B80"/>
    <w:rsid w:val="001E547E"/>
    <w:rsid w:val="001E5D1D"/>
    <w:rsid w:val="001E5D7F"/>
    <w:rsid w:val="001E69FF"/>
    <w:rsid w:val="001F02DD"/>
    <w:rsid w:val="001F2760"/>
    <w:rsid w:val="001F6D55"/>
    <w:rsid w:val="0020266C"/>
    <w:rsid w:val="002045B4"/>
    <w:rsid w:val="00216AFA"/>
    <w:rsid w:val="002206D4"/>
    <w:rsid w:val="0022221E"/>
    <w:rsid w:val="002345BD"/>
    <w:rsid w:val="00235683"/>
    <w:rsid w:val="002359E5"/>
    <w:rsid w:val="00243141"/>
    <w:rsid w:val="00247536"/>
    <w:rsid w:val="002512C5"/>
    <w:rsid w:val="00261E72"/>
    <w:rsid w:val="002648E4"/>
    <w:rsid w:val="00264EF2"/>
    <w:rsid w:val="00270AE2"/>
    <w:rsid w:val="00276B3E"/>
    <w:rsid w:val="00277481"/>
    <w:rsid w:val="00285425"/>
    <w:rsid w:val="00286EAD"/>
    <w:rsid w:val="00286FFA"/>
    <w:rsid w:val="002904DD"/>
    <w:rsid w:val="00292FC0"/>
    <w:rsid w:val="00297A93"/>
    <w:rsid w:val="002A1123"/>
    <w:rsid w:val="002A79DA"/>
    <w:rsid w:val="002B1B00"/>
    <w:rsid w:val="002B5364"/>
    <w:rsid w:val="002B5710"/>
    <w:rsid w:val="002B5B92"/>
    <w:rsid w:val="002C05FC"/>
    <w:rsid w:val="002C134A"/>
    <w:rsid w:val="002C3C82"/>
    <w:rsid w:val="002C5958"/>
    <w:rsid w:val="002D0A26"/>
    <w:rsid w:val="002D5E49"/>
    <w:rsid w:val="002D6359"/>
    <w:rsid w:val="002E1D40"/>
    <w:rsid w:val="002E42D2"/>
    <w:rsid w:val="002F1933"/>
    <w:rsid w:val="002F1E93"/>
    <w:rsid w:val="002F733A"/>
    <w:rsid w:val="00306799"/>
    <w:rsid w:val="003107CB"/>
    <w:rsid w:val="003116D5"/>
    <w:rsid w:val="0031428F"/>
    <w:rsid w:val="00314D05"/>
    <w:rsid w:val="003175DF"/>
    <w:rsid w:val="0032141A"/>
    <w:rsid w:val="00331349"/>
    <w:rsid w:val="00335461"/>
    <w:rsid w:val="0033691B"/>
    <w:rsid w:val="003444A6"/>
    <w:rsid w:val="00347372"/>
    <w:rsid w:val="0035386E"/>
    <w:rsid w:val="00357DC7"/>
    <w:rsid w:val="003625D8"/>
    <w:rsid w:val="00366694"/>
    <w:rsid w:val="00374615"/>
    <w:rsid w:val="0037539F"/>
    <w:rsid w:val="00375466"/>
    <w:rsid w:val="0037614E"/>
    <w:rsid w:val="00376D41"/>
    <w:rsid w:val="00393D5F"/>
    <w:rsid w:val="00395780"/>
    <w:rsid w:val="00395BE4"/>
    <w:rsid w:val="00396E20"/>
    <w:rsid w:val="003A1378"/>
    <w:rsid w:val="003A3094"/>
    <w:rsid w:val="003A6507"/>
    <w:rsid w:val="003B06C4"/>
    <w:rsid w:val="003B14D7"/>
    <w:rsid w:val="003B57C8"/>
    <w:rsid w:val="003B5A14"/>
    <w:rsid w:val="003B6B55"/>
    <w:rsid w:val="003C5469"/>
    <w:rsid w:val="003C5FFF"/>
    <w:rsid w:val="003D2A49"/>
    <w:rsid w:val="003D37E1"/>
    <w:rsid w:val="003D55CF"/>
    <w:rsid w:val="003D62F0"/>
    <w:rsid w:val="003E3D40"/>
    <w:rsid w:val="003E44BD"/>
    <w:rsid w:val="003E55EF"/>
    <w:rsid w:val="003E59BB"/>
    <w:rsid w:val="003F0DC9"/>
    <w:rsid w:val="003F3E11"/>
    <w:rsid w:val="00403CBD"/>
    <w:rsid w:val="004045BC"/>
    <w:rsid w:val="00407286"/>
    <w:rsid w:val="00407DBC"/>
    <w:rsid w:val="004119C3"/>
    <w:rsid w:val="00412883"/>
    <w:rsid w:val="004138E7"/>
    <w:rsid w:val="00414234"/>
    <w:rsid w:val="00415AE9"/>
    <w:rsid w:val="00416ABB"/>
    <w:rsid w:val="00416B42"/>
    <w:rsid w:val="0042162D"/>
    <w:rsid w:val="0042227C"/>
    <w:rsid w:val="00424B02"/>
    <w:rsid w:val="00432970"/>
    <w:rsid w:val="00436764"/>
    <w:rsid w:val="004419CA"/>
    <w:rsid w:val="004443F9"/>
    <w:rsid w:val="0044573A"/>
    <w:rsid w:val="00447307"/>
    <w:rsid w:val="004504FA"/>
    <w:rsid w:val="00454BA7"/>
    <w:rsid w:val="00456F05"/>
    <w:rsid w:val="00464DBA"/>
    <w:rsid w:val="00466539"/>
    <w:rsid w:val="00467EC1"/>
    <w:rsid w:val="00471C2A"/>
    <w:rsid w:val="00477702"/>
    <w:rsid w:val="004824BE"/>
    <w:rsid w:val="004901D8"/>
    <w:rsid w:val="004945F1"/>
    <w:rsid w:val="004A0C8B"/>
    <w:rsid w:val="004B281C"/>
    <w:rsid w:val="004B389F"/>
    <w:rsid w:val="004C04C6"/>
    <w:rsid w:val="004C0B54"/>
    <w:rsid w:val="004D2C02"/>
    <w:rsid w:val="004D4B76"/>
    <w:rsid w:val="004D78E7"/>
    <w:rsid w:val="004E1879"/>
    <w:rsid w:val="004E59E4"/>
    <w:rsid w:val="004F1581"/>
    <w:rsid w:val="004F1C5F"/>
    <w:rsid w:val="004F2666"/>
    <w:rsid w:val="004F594B"/>
    <w:rsid w:val="004F6AB0"/>
    <w:rsid w:val="00500045"/>
    <w:rsid w:val="005019FE"/>
    <w:rsid w:val="005071D6"/>
    <w:rsid w:val="005104B4"/>
    <w:rsid w:val="00511481"/>
    <w:rsid w:val="005115BC"/>
    <w:rsid w:val="005117FB"/>
    <w:rsid w:val="00514734"/>
    <w:rsid w:val="00526FDB"/>
    <w:rsid w:val="00537381"/>
    <w:rsid w:val="0054277A"/>
    <w:rsid w:val="00546CAE"/>
    <w:rsid w:val="00551CEE"/>
    <w:rsid w:val="00554294"/>
    <w:rsid w:val="00555562"/>
    <w:rsid w:val="00557CBF"/>
    <w:rsid w:val="005611E3"/>
    <w:rsid w:val="0057103B"/>
    <w:rsid w:val="00572539"/>
    <w:rsid w:val="0057273D"/>
    <w:rsid w:val="00580ED3"/>
    <w:rsid w:val="00581CCF"/>
    <w:rsid w:val="00582D1E"/>
    <w:rsid w:val="005942B2"/>
    <w:rsid w:val="0059665C"/>
    <w:rsid w:val="005968D2"/>
    <w:rsid w:val="00597666"/>
    <w:rsid w:val="005A1430"/>
    <w:rsid w:val="005A2DD5"/>
    <w:rsid w:val="005B25CA"/>
    <w:rsid w:val="005B7E08"/>
    <w:rsid w:val="005C0F65"/>
    <w:rsid w:val="005C23D4"/>
    <w:rsid w:val="005C542C"/>
    <w:rsid w:val="005C64E3"/>
    <w:rsid w:val="005D0C9C"/>
    <w:rsid w:val="005D1E56"/>
    <w:rsid w:val="005D300C"/>
    <w:rsid w:val="005D3628"/>
    <w:rsid w:val="005E110E"/>
    <w:rsid w:val="005E1F37"/>
    <w:rsid w:val="005E3D2E"/>
    <w:rsid w:val="005F11F1"/>
    <w:rsid w:val="005F1FF3"/>
    <w:rsid w:val="005F5786"/>
    <w:rsid w:val="005F67A7"/>
    <w:rsid w:val="006065EA"/>
    <w:rsid w:val="00610132"/>
    <w:rsid w:val="00620349"/>
    <w:rsid w:val="006220B2"/>
    <w:rsid w:val="00625CF0"/>
    <w:rsid w:val="00633CEC"/>
    <w:rsid w:val="006351F3"/>
    <w:rsid w:val="00636B0B"/>
    <w:rsid w:val="00637337"/>
    <w:rsid w:val="006404E4"/>
    <w:rsid w:val="00642DA2"/>
    <w:rsid w:val="00643DB5"/>
    <w:rsid w:val="00643F5E"/>
    <w:rsid w:val="0064491E"/>
    <w:rsid w:val="006453D4"/>
    <w:rsid w:val="00646D25"/>
    <w:rsid w:val="006531C2"/>
    <w:rsid w:val="006545ED"/>
    <w:rsid w:val="00654764"/>
    <w:rsid w:val="00655FF1"/>
    <w:rsid w:val="0066052A"/>
    <w:rsid w:val="006619B5"/>
    <w:rsid w:val="006701A9"/>
    <w:rsid w:val="00672ED4"/>
    <w:rsid w:val="00676F7E"/>
    <w:rsid w:val="00683D1F"/>
    <w:rsid w:val="006855B9"/>
    <w:rsid w:val="00690C84"/>
    <w:rsid w:val="00691CAE"/>
    <w:rsid w:val="0069242B"/>
    <w:rsid w:val="00693A0D"/>
    <w:rsid w:val="00693F08"/>
    <w:rsid w:val="00697133"/>
    <w:rsid w:val="006A3579"/>
    <w:rsid w:val="006A6904"/>
    <w:rsid w:val="006B3196"/>
    <w:rsid w:val="006B3785"/>
    <w:rsid w:val="006B3B14"/>
    <w:rsid w:val="006B623F"/>
    <w:rsid w:val="006C3B44"/>
    <w:rsid w:val="006D3AAC"/>
    <w:rsid w:val="006E411F"/>
    <w:rsid w:val="006E478C"/>
    <w:rsid w:val="006E7470"/>
    <w:rsid w:val="006E76C6"/>
    <w:rsid w:val="006F0A62"/>
    <w:rsid w:val="006F13F3"/>
    <w:rsid w:val="006F2E69"/>
    <w:rsid w:val="006F3B1B"/>
    <w:rsid w:val="006F7090"/>
    <w:rsid w:val="007052A3"/>
    <w:rsid w:val="00706485"/>
    <w:rsid w:val="00706A5D"/>
    <w:rsid w:val="00711F71"/>
    <w:rsid w:val="007126F8"/>
    <w:rsid w:val="00716A05"/>
    <w:rsid w:val="00724158"/>
    <w:rsid w:val="0073038C"/>
    <w:rsid w:val="0073277F"/>
    <w:rsid w:val="00733923"/>
    <w:rsid w:val="00733EE6"/>
    <w:rsid w:val="00734600"/>
    <w:rsid w:val="00736200"/>
    <w:rsid w:val="00744311"/>
    <w:rsid w:val="00744E22"/>
    <w:rsid w:val="00745751"/>
    <w:rsid w:val="007466DF"/>
    <w:rsid w:val="00747E8F"/>
    <w:rsid w:val="007503DC"/>
    <w:rsid w:val="00753BF6"/>
    <w:rsid w:val="00762278"/>
    <w:rsid w:val="00762E29"/>
    <w:rsid w:val="00764607"/>
    <w:rsid w:val="0076469B"/>
    <w:rsid w:val="00764CDD"/>
    <w:rsid w:val="00767E72"/>
    <w:rsid w:val="00770EDA"/>
    <w:rsid w:val="0077109E"/>
    <w:rsid w:val="0077577E"/>
    <w:rsid w:val="00781048"/>
    <w:rsid w:val="00781933"/>
    <w:rsid w:val="007917AC"/>
    <w:rsid w:val="007969D9"/>
    <w:rsid w:val="00796D0D"/>
    <w:rsid w:val="007A103C"/>
    <w:rsid w:val="007A6288"/>
    <w:rsid w:val="007A6645"/>
    <w:rsid w:val="007A699A"/>
    <w:rsid w:val="007A6D8A"/>
    <w:rsid w:val="007A7556"/>
    <w:rsid w:val="007B2644"/>
    <w:rsid w:val="007B3B1E"/>
    <w:rsid w:val="007B3FE4"/>
    <w:rsid w:val="007B453D"/>
    <w:rsid w:val="007B5747"/>
    <w:rsid w:val="007B7965"/>
    <w:rsid w:val="007C215C"/>
    <w:rsid w:val="007C4CCE"/>
    <w:rsid w:val="007C61B0"/>
    <w:rsid w:val="007D57D7"/>
    <w:rsid w:val="007D7D62"/>
    <w:rsid w:val="007E0471"/>
    <w:rsid w:val="007E4745"/>
    <w:rsid w:val="007E5AD4"/>
    <w:rsid w:val="007E5D80"/>
    <w:rsid w:val="007E6573"/>
    <w:rsid w:val="007F5664"/>
    <w:rsid w:val="007F71F9"/>
    <w:rsid w:val="00800575"/>
    <w:rsid w:val="00802907"/>
    <w:rsid w:val="008059E4"/>
    <w:rsid w:val="008142E4"/>
    <w:rsid w:val="00815E32"/>
    <w:rsid w:val="00816AD6"/>
    <w:rsid w:val="00822799"/>
    <w:rsid w:val="00822FDE"/>
    <w:rsid w:val="00825657"/>
    <w:rsid w:val="008261E3"/>
    <w:rsid w:val="0082621E"/>
    <w:rsid w:val="008276FE"/>
    <w:rsid w:val="00827B40"/>
    <w:rsid w:val="0083120F"/>
    <w:rsid w:val="008336DF"/>
    <w:rsid w:val="00852F12"/>
    <w:rsid w:val="008537CB"/>
    <w:rsid w:val="00856EBE"/>
    <w:rsid w:val="008621A3"/>
    <w:rsid w:val="00863C9B"/>
    <w:rsid w:val="00864279"/>
    <w:rsid w:val="0086475C"/>
    <w:rsid w:val="00866990"/>
    <w:rsid w:val="00871A3F"/>
    <w:rsid w:val="008720B3"/>
    <w:rsid w:val="008848AD"/>
    <w:rsid w:val="008856F9"/>
    <w:rsid w:val="008859A0"/>
    <w:rsid w:val="00886F51"/>
    <w:rsid w:val="00887D74"/>
    <w:rsid w:val="00891EDE"/>
    <w:rsid w:val="00892735"/>
    <w:rsid w:val="00893B1C"/>
    <w:rsid w:val="00894690"/>
    <w:rsid w:val="008A241A"/>
    <w:rsid w:val="008B080B"/>
    <w:rsid w:val="008B21C4"/>
    <w:rsid w:val="008C219B"/>
    <w:rsid w:val="008C255E"/>
    <w:rsid w:val="008C4B24"/>
    <w:rsid w:val="008D02F0"/>
    <w:rsid w:val="008D409F"/>
    <w:rsid w:val="008D6C23"/>
    <w:rsid w:val="008E053C"/>
    <w:rsid w:val="008E1AB5"/>
    <w:rsid w:val="008E4691"/>
    <w:rsid w:val="008F245A"/>
    <w:rsid w:val="00902FF5"/>
    <w:rsid w:val="00906A19"/>
    <w:rsid w:val="00906D50"/>
    <w:rsid w:val="00910FD4"/>
    <w:rsid w:val="009142E5"/>
    <w:rsid w:val="009179FF"/>
    <w:rsid w:val="0092093D"/>
    <w:rsid w:val="00922ABB"/>
    <w:rsid w:val="0093137C"/>
    <w:rsid w:val="0093313C"/>
    <w:rsid w:val="009401EA"/>
    <w:rsid w:val="0094463C"/>
    <w:rsid w:val="00946318"/>
    <w:rsid w:val="00950864"/>
    <w:rsid w:val="00950F40"/>
    <w:rsid w:val="00952102"/>
    <w:rsid w:val="00954182"/>
    <w:rsid w:val="00960A98"/>
    <w:rsid w:val="00961FA8"/>
    <w:rsid w:val="0097077C"/>
    <w:rsid w:val="00970D2F"/>
    <w:rsid w:val="009740B4"/>
    <w:rsid w:val="00974CB1"/>
    <w:rsid w:val="00976B85"/>
    <w:rsid w:val="00982775"/>
    <w:rsid w:val="00985303"/>
    <w:rsid w:val="00986537"/>
    <w:rsid w:val="00990AE0"/>
    <w:rsid w:val="0099197F"/>
    <w:rsid w:val="00994824"/>
    <w:rsid w:val="00994A64"/>
    <w:rsid w:val="009A0987"/>
    <w:rsid w:val="009A1A25"/>
    <w:rsid w:val="009A2109"/>
    <w:rsid w:val="009A2709"/>
    <w:rsid w:val="009A3BA0"/>
    <w:rsid w:val="009B11A7"/>
    <w:rsid w:val="009B5FE5"/>
    <w:rsid w:val="009B73C8"/>
    <w:rsid w:val="009B778E"/>
    <w:rsid w:val="009C0DEF"/>
    <w:rsid w:val="009C2F64"/>
    <w:rsid w:val="009D1DF3"/>
    <w:rsid w:val="009E14D0"/>
    <w:rsid w:val="009E3228"/>
    <w:rsid w:val="009E3801"/>
    <w:rsid w:val="009E43D5"/>
    <w:rsid w:val="009F27E2"/>
    <w:rsid w:val="009F48D8"/>
    <w:rsid w:val="00A01888"/>
    <w:rsid w:val="00A126D4"/>
    <w:rsid w:val="00A17AA2"/>
    <w:rsid w:val="00A2140B"/>
    <w:rsid w:val="00A21E46"/>
    <w:rsid w:val="00A24863"/>
    <w:rsid w:val="00A251E2"/>
    <w:rsid w:val="00A31033"/>
    <w:rsid w:val="00A31AE6"/>
    <w:rsid w:val="00A40622"/>
    <w:rsid w:val="00A41FD7"/>
    <w:rsid w:val="00A442F1"/>
    <w:rsid w:val="00A44770"/>
    <w:rsid w:val="00A45B8E"/>
    <w:rsid w:val="00A46AF8"/>
    <w:rsid w:val="00A46EA3"/>
    <w:rsid w:val="00A5545D"/>
    <w:rsid w:val="00A565B7"/>
    <w:rsid w:val="00A62A77"/>
    <w:rsid w:val="00A73389"/>
    <w:rsid w:val="00A73AC6"/>
    <w:rsid w:val="00A80857"/>
    <w:rsid w:val="00A87746"/>
    <w:rsid w:val="00A9007E"/>
    <w:rsid w:val="00A93D19"/>
    <w:rsid w:val="00AA06CE"/>
    <w:rsid w:val="00AA198C"/>
    <w:rsid w:val="00AA5DB0"/>
    <w:rsid w:val="00AB1414"/>
    <w:rsid w:val="00AB5E4B"/>
    <w:rsid w:val="00AB7D79"/>
    <w:rsid w:val="00AC1952"/>
    <w:rsid w:val="00AC42CB"/>
    <w:rsid w:val="00AC52AE"/>
    <w:rsid w:val="00AC57FB"/>
    <w:rsid w:val="00AC6946"/>
    <w:rsid w:val="00AD3266"/>
    <w:rsid w:val="00AD5069"/>
    <w:rsid w:val="00AD5D6D"/>
    <w:rsid w:val="00AD5EDD"/>
    <w:rsid w:val="00AD5EE0"/>
    <w:rsid w:val="00AD6E64"/>
    <w:rsid w:val="00AE3010"/>
    <w:rsid w:val="00AE3F88"/>
    <w:rsid w:val="00AE4FD0"/>
    <w:rsid w:val="00AF07FB"/>
    <w:rsid w:val="00AF2B57"/>
    <w:rsid w:val="00AF4C0B"/>
    <w:rsid w:val="00B123F5"/>
    <w:rsid w:val="00B140D4"/>
    <w:rsid w:val="00B1494D"/>
    <w:rsid w:val="00B14FEF"/>
    <w:rsid w:val="00B15DF0"/>
    <w:rsid w:val="00B21CAB"/>
    <w:rsid w:val="00B21E1D"/>
    <w:rsid w:val="00B226E7"/>
    <w:rsid w:val="00B312EF"/>
    <w:rsid w:val="00B31AD4"/>
    <w:rsid w:val="00B332D7"/>
    <w:rsid w:val="00B35597"/>
    <w:rsid w:val="00B447A7"/>
    <w:rsid w:val="00B45D18"/>
    <w:rsid w:val="00B51388"/>
    <w:rsid w:val="00B52542"/>
    <w:rsid w:val="00B54749"/>
    <w:rsid w:val="00B64483"/>
    <w:rsid w:val="00B6565D"/>
    <w:rsid w:val="00B709A4"/>
    <w:rsid w:val="00B74014"/>
    <w:rsid w:val="00B74B8A"/>
    <w:rsid w:val="00B76EC6"/>
    <w:rsid w:val="00B802BB"/>
    <w:rsid w:val="00B82454"/>
    <w:rsid w:val="00B83D50"/>
    <w:rsid w:val="00B95C0A"/>
    <w:rsid w:val="00B9752A"/>
    <w:rsid w:val="00BA1EBE"/>
    <w:rsid w:val="00BA3B8B"/>
    <w:rsid w:val="00BA7440"/>
    <w:rsid w:val="00BA76E3"/>
    <w:rsid w:val="00BB1024"/>
    <w:rsid w:val="00BB15C2"/>
    <w:rsid w:val="00BB66F6"/>
    <w:rsid w:val="00BC1461"/>
    <w:rsid w:val="00BC5AC8"/>
    <w:rsid w:val="00BC620E"/>
    <w:rsid w:val="00BC75D2"/>
    <w:rsid w:val="00BD7B99"/>
    <w:rsid w:val="00BD7FCE"/>
    <w:rsid w:val="00BF02E7"/>
    <w:rsid w:val="00BF6DB2"/>
    <w:rsid w:val="00BF6F91"/>
    <w:rsid w:val="00BF7572"/>
    <w:rsid w:val="00BF7937"/>
    <w:rsid w:val="00C04626"/>
    <w:rsid w:val="00C109C3"/>
    <w:rsid w:val="00C10AEC"/>
    <w:rsid w:val="00C15AEE"/>
    <w:rsid w:val="00C16652"/>
    <w:rsid w:val="00C16FEC"/>
    <w:rsid w:val="00C2035B"/>
    <w:rsid w:val="00C23E46"/>
    <w:rsid w:val="00C25610"/>
    <w:rsid w:val="00C34DFF"/>
    <w:rsid w:val="00C354A8"/>
    <w:rsid w:val="00C453A5"/>
    <w:rsid w:val="00C45D17"/>
    <w:rsid w:val="00C4614C"/>
    <w:rsid w:val="00C50704"/>
    <w:rsid w:val="00C53ED1"/>
    <w:rsid w:val="00C575E2"/>
    <w:rsid w:val="00C57F44"/>
    <w:rsid w:val="00C630D6"/>
    <w:rsid w:val="00C637CF"/>
    <w:rsid w:val="00C72B3E"/>
    <w:rsid w:val="00C83E94"/>
    <w:rsid w:val="00C84CFA"/>
    <w:rsid w:val="00C84EB3"/>
    <w:rsid w:val="00C85666"/>
    <w:rsid w:val="00C85BDA"/>
    <w:rsid w:val="00C86F4D"/>
    <w:rsid w:val="00C9156B"/>
    <w:rsid w:val="00CA0B67"/>
    <w:rsid w:val="00CA20F8"/>
    <w:rsid w:val="00CA5FA6"/>
    <w:rsid w:val="00CB19D2"/>
    <w:rsid w:val="00CB6A2E"/>
    <w:rsid w:val="00CC0122"/>
    <w:rsid w:val="00CC0DAF"/>
    <w:rsid w:val="00CC20A0"/>
    <w:rsid w:val="00CC37AD"/>
    <w:rsid w:val="00CC4DD6"/>
    <w:rsid w:val="00CC4E02"/>
    <w:rsid w:val="00CD2C00"/>
    <w:rsid w:val="00CD41CD"/>
    <w:rsid w:val="00CD5D51"/>
    <w:rsid w:val="00CE1868"/>
    <w:rsid w:val="00CE1BFF"/>
    <w:rsid w:val="00CE27DC"/>
    <w:rsid w:val="00CE47CE"/>
    <w:rsid w:val="00CE51BA"/>
    <w:rsid w:val="00CF1B46"/>
    <w:rsid w:val="00CF4D51"/>
    <w:rsid w:val="00CF614D"/>
    <w:rsid w:val="00CF6903"/>
    <w:rsid w:val="00D0020F"/>
    <w:rsid w:val="00D032A7"/>
    <w:rsid w:val="00D04AC3"/>
    <w:rsid w:val="00D07036"/>
    <w:rsid w:val="00D1407C"/>
    <w:rsid w:val="00D14C8E"/>
    <w:rsid w:val="00D245D5"/>
    <w:rsid w:val="00D24AAC"/>
    <w:rsid w:val="00D305DD"/>
    <w:rsid w:val="00D332FD"/>
    <w:rsid w:val="00D4017A"/>
    <w:rsid w:val="00D409EF"/>
    <w:rsid w:val="00D40DA6"/>
    <w:rsid w:val="00D41691"/>
    <w:rsid w:val="00D424C2"/>
    <w:rsid w:val="00D42763"/>
    <w:rsid w:val="00D43377"/>
    <w:rsid w:val="00D4396A"/>
    <w:rsid w:val="00D44320"/>
    <w:rsid w:val="00D52A17"/>
    <w:rsid w:val="00D531A2"/>
    <w:rsid w:val="00D61A9C"/>
    <w:rsid w:val="00D626CC"/>
    <w:rsid w:val="00D7084B"/>
    <w:rsid w:val="00D71284"/>
    <w:rsid w:val="00D7269F"/>
    <w:rsid w:val="00D77283"/>
    <w:rsid w:val="00D7791F"/>
    <w:rsid w:val="00D83D64"/>
    <w:rsid w:val="00DA14AE"/>
    <w:rsid w:val="00DA56BE"/>
    <w:rsid w:val="00DA69B1"/>
    <w:rsid w:val="00DA6DE1"/>
    <w:rsid w:val="00DB2820"/>
    <w:rsid w:val="00DB2D68"/>
    <w:rsid w:val="00DB51B3"/>
    <w:rsid w:val="00DB7748"/>
    <w:rsid w:val="00DC0C10"/>
    <w:rsid w:val="00DC4669"/>
    <w:rsid w:val="00DD023E"/>
    <w:rsid w:val="00DD6581"/>
    <w:rsid w:val="00DD7B19"/>
    <w:rsid w:val="00DE148E"/>
    <w:rsid w:val="00DE1B5F"/>
    <w:rsid w:val="00DE4216"/>
    <w:rsid w:val="00DF0E19"/>
    <w:rsid w:val="00DF1B4E"/>
    <w:rsid w:val="00DF48D3"/>
    <w:rsid w:val="00DF5503"/>
    <w:rsid w:val="00E0064A"/>
    <w:rsid w:val="00E0177C"/>
    <w:rsid w:val="00E021CE"/>
    <w:rsid w:val="00E060F5"/>
    <w:rsid w:val="00E066DB"/>
    <w:rsid w:val="00E069DD"/>
    <w:rsid w:val="00E10795"/>
    <w:rsid w:val="00E145D0"/>
    <w:rsid w:val="00E14BA1"/>
    <w:rsid w:val="00E14DBC"/>
    <w:rsid w:val="00E17500"/>
    <w:rsid w:val="00E26E50"/>
    <w:rsid w:val="00E32361"/>
    <w:rsid w:val="00E32EB0"/>
    <w:rsid w:val="00E36FA7"/>
    <w:rsid w:val="00E43EDF"/>
    <w:rsid w:val="00E45CA5"/>
    <w:rsid w:val="00E50620"/>
    <w:rsid w:val="00E508A5"/>
    <w:rsid w:val="00E5142D"/>
    <w:rsid w:val="00E51A41"/>
    <w:rsid w:val="00E55B39"/>
    <w:rsid w:val="00E56A91"/>
    <w:rsid w:val="00E57CF3"/>
    <w:rsid w:val="00E64585"/>
    <w:rsid w:val="00E6755C"/>
    <w:rsid w:val="00E726B6"/>
    <w:rsid w:val="00E726CC"/>
    <w:rsid w:val="00E72D76"/>
    <w:rsid w:val="00E7394B"/>
    <w:rsid w:val="00E73B1A"/>
    <w:rsid w:val="00E75455"/>
    <w:rsid w:val="00E807A7"/>
    <w:rsid w:val="00E81773"/>
    <w:rsid w:val="00E8405D"/>
    <w:rsid w:val="00E84AD1"/>
    <w:rsid w:val="00E879D4"/>
    <w:rsid w:val="00E91879"/>
    <w:rsid w:val="00EA00C5"/>
    <w:rsid w:val="00EA108B"/>
    <w:rsid w:val="00EA2304"/>
    <w:rsid w:val="00EA5932"/>
    <w:rsid w:val="00EA73B5"/>
    <w:rsid w:val="00EA7C9E"/>
    <w:rsid w:val="00EB0177"/>
    <w:rsid w:val="00EB025D"/>
    <w:rsid w:val="00EB0736"/>
    <w:rsid w:val="00EB145A"/>
    <w:rsid w:val="00EB73A7"/>
    <w:rsid w:val="00EC0E91"/>
    <w:rsid w:val="00EC1544"/>
    <w:rsid w:val="00EC4488"/>
    <w:rsid w:val="00EC4E4B"/>
    <w:rsid w:val="00EC7D90"/>
    <w:rsid w:val="00ED0838"/>
    <w:rsid w:val="00ED2109"/>
    <w:rsid w:val="00ED5755"/>
    <w:rsid w:val="00ED71EE"/>
    <w:rsid w:val="00EE3200"/>
    <w:rsid w:val="00EF2709"/>
    <w:rsid w:val="00EF2FA8"/>
    <w:rsid w:val="00EF33F2"/>
    <w:rsid w:val="00EF67B9"/>
    <w:rsid w:val="00F00F3E"/>
    <w:rsid w:val="00F01372"/>
    <w:rsid w:val="00F06EBE"/>
    <w:rsid w:val="00F07235"/>
    <w:rsid w:val="00F10B6A"/>
    <w:rsid w:val="00F12291"/>
    <w:rsid w:val="00F131FF"/>
    <w:rsid w:val="00F1507F"/>
    <w:rsid w:val="00F16DA5"/>
    <w:rsid w:val="00F17756"/>
    <w:rsid w:val="00F20FFC"/>
    <w:rsid w:val="00F21C84"/>
    <w:rsid w:val="00F246BA"/>
    <w:rsid w:val="00F30D9B"/>
    <w:rsid w:val="00F357DF"/>
    <w:rsid w:val="00F36CE9"/>
    <w:rsid w:val="00F372AE"/>
    <w:rsid w:val="00F375EA"/>
    <w:rsid w:val="00F40C7C"/>
    <w:rsid w:val="00F41ADF"/>
    <w:rsid w:val="00F478A6"/>
    <w:rsid w:val="00F50185"/>
    <w:rsid w:val="00F52E28"/>
    <w:rsid w:val="00F53784"/>
    <w:rsid w:val="00F553AE"/>
    <w:rsid w:val="00F559BC"/>
    <w:rsid w:val="00F564CF"/>
    <w:rsid w:val="00F56FF9"/>
    <w:rsid w:val="00F5759B"/>
    <w:rsid w:val="00F6507B"/>
    <w:rsid w:val="00F67571"/>
    <w:rsid w:val="00F72A91"/>
    <w:rsid w:val="00F72D1E"/>
    <w:rsid w:val="00F80684"/>
    <w:rsid w:val="00F868AE"/>
    <w:rsid w:val="00F90E7B"/>
    <w:rsid w:val="00F92D64"/>
    <w:rsid w:val="00F93C10"/>
    <w:rsid w:val="00F94E8B"/>
    <w:rsid w:val="00FA4035"/>
    <w:rsid w:val="00FB12AD"/>
    <w:rsid w:val="00FB6916"/>
    <w:rsid w:val="00FC477B"/>
    <w:rsid w:val="00FD339F"/>
    <w:rsid w:val="00FD34C3"/>
    <w:rsid w:val="00FD726B"/>
    <w:rsid w:val="00FE2E70"/>
    <w:rsid w:val="00FE6788"/>
    <w:rsid w:val="00FF4012"/>
    <w:rsid w:val="00FF4E27"/>
    <w:rsid w:val="00FF7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34987-A044-4B99-8469-57C07E1C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456F0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Titre3"/>
    <w:next w:val="-LettreTexteGEDA"/>
    <w:link w:val="Titre4Car"/>
    <w:qFormat/>
    <w:rsid w:val="00456F05"/>
    <w:pPr>
      <w:keepLines w:val="0"/>
      <w:numPr>
        <w:numId w:val="6"/>
      </w:numPr>
      <w:spacing w:before="180"/>
      <w:ind w:left="283" w:hanging="283"/>
      <w:outlineLvl w:val="3"/>
    </w:pPr>
    <w:rPr>
      <w:rFonts w:ascii="Times New Roman" w:eastAsia="Times New Roman" w:hAnsi="Times New Roman" w:cs="Arial"/>
      <w:bCs w:val="0"/>
      <w:iCs/>
      <w:caps/>
      <w:color w:val="auto"/>
      <w:szCs w:val="20"/>
      <w:lang w:eastAsia="en-U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aliases w:val="Paragraphe de liste num,Paragraphe de liste 1,Listes"/>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uiPriority w:val="99"/>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aliases w:val="Paragraphe de liste num Car,Paragraphe de liste 1 Car,Listes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rsid w:val="00825657"/>
    <w:rPr>
      <w:rFonts w:ascii="Times New Roman" w:hAnsi="Times New Roman" w:cs="Times New Roman"/>
      <w:sz w:val="20"/>
      <w:szCs w:val="20"/>
    </w:rPr>
  </w:style>
  <w:style w:type="character" w:styleId="Appelnotedebasdep">
    <w:name w:val="footnote reference"/>
    <w:basedOn w:val="Policepardfaut"/>
    <w:uiPriority w:val="99"/>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SignataireNomGEDA">
    <w:name w:val="- Signataire:Nom            GEDA"/>
    <w:rsid w:val="00DC0C10"/>
    <w:pPr>
      <w:keepNext/>
      <w:overflowPunct w:val="0"/>
      <w:autoSpaceDE w:val="0"/>
      <w:autoSpaceDN w:val="0"/>
      <w:adjustRightInd w:val="0"/>
      <w:spacing w:before="1080" w:after="0" w:line="240" w:lineRule="auto"/>
      <w:jc w:val="center"/>
    </w:pPr>
    <w:rPr>
      <w:rFonts w:ascii="Times New Roman" w:eastAsia="Times New Roman" w:hAnsi="Times New Roman" w:cs="Times New Roman"/>
      <w:sz w:val="24"/>
      <w:szCs w:val="20"/>
      <w:lang w:eastAsia="fr-FR"/>
    </w:rPr>
  </w:style>
  <w:style w:type="paragraph" w:customStyle="1" w:styleId="-ActeAttenduConsidrantGEDA">
    <w:name w:val="- Acte:Attendu (Considérant)  GEDA"/>
    <w:basedOn w:val="-ActeAttenduVuGEDA"/>
    <w:rsid w:val="00F16DA5"/>
    <w:pPr>
      <w:numPr>
        <w:numId w:val="5"/>
      </w:numPr>
    </w:pPr>
  </w:style>
  <w:style w:type="paragraph" w:customStyle="1" w:styleId="-LettreRefGEDA">
    <w:name w:val="- Lettre:Ref                  GEDA"/>
    <w:basedOn w:val="-LettreObjetGEDA"/>
    <w:next w:val="-LettreSuiteORefPJGEDA"/>
    <w:rsid w:val="00990AE0"/>
    <w:pPr>
      <w:spacing w:before="80"/>
    </w:pPr>
  </w:style>
  <w:style w:type="character" w:customStyle="1" w:styleId="Titre4Car">
    <w:name w:val="Titre 4 Car"/>
    <w:basedOn w:val="Policepardfaut"/>
    <w:link w:val="Titre4"/>
    <w:rsid w:val="00456F05"/>
    <w:rPr>
      <w:rFonts w:ascii="Times New Roman" w:eastAsia="Times New Roman" w:hAnsi="Times New Roman" w:cs="Arial"/>
      <w:b/>
      <w:iCs/>
      <w:caps/>
      <w:sz w:val="24"/>
      <w:szCs w:val="20"/>
    </w:rPr>
  </w:style>
  <w:style w:type="character" w:customStyle="1" w:styleId="Titre3Car">
    <w:name w:val="Titre 3 Car"/>
    <w:basedOn w:val="Policepardfaut"/>
    <w:link w:val="Titre3"/>
    <w:uiPriority w:val="9"/>
    <w:semiHidden/>
    <w:rsid w:val="00456F05"/>
    <w:rPr>
      <w:rFonts w:asciiTheme="majorHAnsi" w:eastAsiaTheme="majorEastAsia" w:hAnsiTheme="majorHAnsi" w:cstheme="majorBidi"/>
      <w:b/>
      <w:bCs/>
      <w:color w:val="4F81BD" w:themeColor="accent1"/>
      <w:sz w:val="24"/>
      <w:szCs w:val="24"/>
      <w:lang w:eastAsia="es-ES"/>
    </w:rPr>
  </w:style>
  <w:style w:type="table" w:customStyle="1" w:styleId="TableauGrille4-Accentuation41">
    <w:name w:val="Tableau Grille 4 - Accentuation 41"/>
    <w:basedOn w:val="TableauNormal"/>
    <w:uiPriority w:val="49"/>
    <w:rsid w:val="00164559"/>
    <w:pPr>
      <w:spacing w:after="0" w:line="240" w:lineRule="auto"/>
    </w:pPr>
    <w:rPr>
      <w:rFonts w:eastAsia="Times New Roman"/>
      <w:sz w:val="24"/>
      <w:szCs w:val="24"/>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EnteteLieuetdateGEDA">
    <w:name w:val="- Entete:Lieu et date      GEDA"/>
    <w:rsid w:val="00AA06CE"/>
    <w:pPr>
      <w:overflowPunct w:val="0"/>
      <w:autoSpaceDE w:val="0"/>
      <w:autoSpaceDN w:val="0"/>
      <w:adjustRightInd w:val="0"/>
      <w:spacing w:after="240" w:line="240" w:lineRule="auto"/>
      <w:ind w:left="851"/>
      <w:textAlignment w:val="baseline"/>
    </w:pPr>
    <w:rPr>
      <w:rFonts w:ascii="Times New Roman" w:eastAsia="Times New Roman" w:hAnsi="Times New Roman" w:cs="Times New Roman"/>
      <w:noProof/>
      <w:sz w:val="24"/>
      <w:szCs w:val="20"/>
      <w:lang w:eastAsia="fr-FR"/>
    </w:rPr>
  </w:style>
  <w:style w:type="character" w:customStyle="1" w:styleId="Aucun">
    <w:name w:val="Aucun"/>
    <w:rsid w:val="00C84EB3"/>
  </w:style>
  <w:style w:type="numbering" w:customStyle="1" w:styleId="Style9import">
    <w:name w:val="Style 9 importé"/>
    <w:rsid w:val="00C84EB3"/>
    <w:pPr>
      <w:numPr>
        <w:numId w:val="7"/>
      </w:numPr>
    </w:pPr>
  </w:style>
  <w:style w:type="character" w:customStyle="1" w:styleId="textexposedshow">
    <w:name w:val="text_exposed_show"/>
    <w:basedOn w:val="Policepardfaut"/>
    <w:rsid w:val="001E128A"/>
  </w:style>
  <w:style w:type="paragraph" w:customStyle="1" w:styleId="-LettreDestinataireGEDA">
    <w:name w:val="- Lettre:Destinataire    GEDA"/>
    <w:basedOn w:val="Normal"/>
    <w:next w:val="Normal"/>
    <w:rsid w:val="00C15AEE"/>
    <w:pPr>
      <w:overflowPunct w:val="0"/>
      <w:autoSpaceDE w:val="0"/>
      <w:autoSpaceDN w:val="0"/>
      <w:adjustRightInd w:val="0"/>
      <w:spacing w:before="360"/>
      <w:jc w:val="center"/>
    </w:pPr>
    <w:rPr>
      <w:b/>
      <w:noProof/>
      <w:szCs w:val="20"/>
      <w:lang w:eastAsia="fr-FR"/>
    </w:rPr>
  </w:style>
  <w:style w:type="paragraph" w:customStyle="1" w:styleId="-LettreAffairesuivieGEDA">
    <w:name w:val="- Lettre:Affaire suivie                GEDA"/>
    <w:rsid w:val="001E547E"/>
    <w:pPr>
      <w:numPr>
        <w:numId w:val="14"/>
      </w:numPr>
      <w:tabs>
        <w:tab w:val="clear" w:pos="2880"/>
        <w:tab w:val="num" w:pos="2160"/>
      </w:tabs>
      <w:spacing w:before="240" w:after="0" w:line="240" w:lineRule="auto"/>
      <w:ind w:left="180" w:right="5652" w:firstLine="180"/>
      <w:jc w:val="center"/>
    </w:pPr>
    <w:rPr>
      <w:rFonts w:ascii="Times New Roman" w:eastAsia="Times New Roman" w:hAnsi="Times New Roman" w:cs="Times New Roman"/>
      <w:i/>
      <w:iCs/>
      <w:noProof/>
      <w:sz w:val="18"/>
      <w:szCs w:val="20"/>
      <w:lang w:eastAsia="fr-FR"/>
    </w:rPr>
  </w:style>
  <w:style w:type="paragraph" w:customStyle="1" w:styleId="alinea">
    <w:name w:val="alinea"/>
    <w:basedOn w:val="Normal"/>
    <w:rsid w:val="00E726B6"/>
    <w:pPr>
      <w:spacing w:before="100" w:beforeAutospacing="1" w:after="100" w:afterAutospacing="1"/>
    </w:pPr>
    <w:rPr>
      <w:lang w:eastAsia="fr-FR"/>
    </w:rPr>
  </w:style>
  <w:style w:type="table" w:styleId="Grilledutableau">
    <w:name w:val="Table Grid"/>
    <w:basedOn w:val="TableauNormal"/>
    <w:uiPriority w:val="59"/>
    <w:rsid w:val="00C16FEC"/>
    <w:pPr>
      <w:spacing w:after="0" w:line="240" w:lineRule="auto"/>
    </w:pPr>
    <w:rPr>
      <w:rFonts w:ascii="Times New Roman" w:hAnsi="Times New Roman" w:cs="Times New Roman"/>
      <w:sz w:val="24"/>
      <w:szCs w:val="24"/>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240">
      <w:bodyDiv w:val="1"/>
      <w:marLeft w:val="0"/>
      <w:marRight w:val="0"/>
      <w:marTop w:val="0"/>
      <w:marBottom w:val="0"/>
      <w:divBdr>
        <w:top w:val="none" w:sz="0" w:space="0" w:color="auto"/>
        <w:left w:val="none" w:sz="0" w:space="0" w:color="auto"/>
        <w:bottom w:val="none" w:sz="0" w:space="0" w:color="auto"/>
        <w:right w:val="none" w:sz="0" w:space="0" w:color="auto"/>
      </w:divBdr>
    </w:div>
    <w:div w:id="27146237">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107480614">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39613454">
      <w:bodyDiv w:val="1"/>
      <w:marLeft w:val="0"/>
      <w:marRight w:val="0"/>
      <w:marTop w:val="0"/>
      <w:marBottom w:val="0"/>
      <w:divBdr>
        <w:top w:val="none" w:sz="0" w:space="0" w:color="auto"/>
        <w:left w:val="none" w:sz="0" w:space="0" w:color="auto"/>
        <w:bottom w:val="none" w:sz="0" w:space="0" w:color="auto"/>
        <w:right w:val="none" w:sz="0" w:space="0" w:color="auto"/>
      </w:divBdr>
    </w:div>
    <w:div w:id="153298529">
      <w:bodyDiv w:val="1"/>
      <w:marLeft w:val="0"/>
      <w:marRight w:val="0"/>
      <w:marTop w:val="0"/>
      <w:marBottom w:val="0"/>
      <w:divBdr>
        <w:top w:val="none" w:sz="0" w:space="0" w:color="auto"/>
        <w:left w:val="none" w:sz="0" w:space="0" w:color="auto"/>
        <w:bottom w:val="none" w:sz="0" w:space="0" w:color="auto"/>
        <w:right w:val="none" w:sz="0" w:space="0" w:color="auto"/>
      </w:divBdr>
    </w:div>
    <w:div w:id="156699497">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198006304">
      <w:bodyDiv w:val="1"/>
      <w:marLeft w:val="0"/>
      <w:marRight w:val="0"/>
      <w:marTop w:val="0"/>
      <w:marBottom w:val="0"/>
      <w:divBdr>
        <w:top w:val="none" w:sz="0" w:space="0" w:color="auto"/>
        <w:left w:val="none" w:sz="0" w:space="0" w:color="auto"/>
        <w:bottom w:val="none" w:sz="0" w:space="0" w:color="auto"/>
        <w:right w:val="none" w:sz="0" w:space="0" w:color="auto"/>
      </w:divBdr>
    </w:div>
    <w:div w:id="21400393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55872037">
      <w:bodyDiv w:val="1"/>
      <w:marLeft w:val="0"/>
      <w:marRight w:val="0"/>
      <w:marTop w:val="0"/>
      <w:marBottom w:val="0"/>
      <w:divBdr>
        <w:top w:val="none" w:sz="0" w:space="0" w:color="auto"/>
        <w:left w:val="none" w:sz="0" w:space="0" w:color="auto"/>
        <w:bottom w:val="none" w:sz="0" w:space="0" w:color="auto"/>
        <w:right w:val="none" w:sz="0" w:space="0" w:color="auto"/>
      </w:divBdr>
    </w:div>
    <w:div w:id="257493491">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1035735">
      <w:bodyDiv w:val="1"/>
      <w:marLeft w:val="0"/>
      <w:marRight w:val="0"/>
      <w:marTop w:val="0"/>
      <w:marBottom w:val="0"/>
      <w:divBdr>
        <w:top w:val="none" w:sz="0" w:space="0" w:color="auto"/>
        <w:left w:val="none" w:sz="0" w:space="0" w:color="auto"/>
        <w:bottom w:val="none" w:sz="0" w:space="0" w:color="auto"/>
        <w:right w:val="none" w:sz="0" w:space="0" w:color="auto"/>
      </w:divBdr>
    </w:div>
    <w:div w:id="282543905">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44796363">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362796">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34440916">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78690919">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495145490">
      <w:bodyDiv w:val="1"/>
      <w:marLeft w:val="0"/>
      <w:marRight w:val="0"/>
      <w:marTop w:val="0"/>
      <w:marBottom w:val="0"/>
      <w:divBdr>
        <w:top w:val="none" w:sz="0" w:space="0" w:color="auto"/>
        <w:left w:val="none" w:sz="0" w:space="0" w:color="auto"/>
        <w:bottom w:val="none" w:sz="0" w:space="0" w:color="auto"/>
        <w:right w:val="none" w:sz="0" w:space="0" w:color="auto"/>
      </w:divBdr>
    </w:div>
    <w:div w:id="516695557">
      <w:bodyDiv w:val="1"/>
      <w:marLeft w:val="0"/>
      <w:marRight w:val="0"/>
      <w:marTop w:val="0"/>
      <w:marBottom w:val="0"/>
      <w:divBdr>
        <w:top w:val="none" w:sz="0" w:space="0" w:color="auto"/>
        <w:left w:val="none" w:sz="0" w:space="0" w:color="auto"/>
        <w:bottom w:val="none" w:sz="0" w:space="0" w:color="auto"/>
        <w:right w:val="none" w:sz="0" w:space="0" w:color="auto"/>
      </w:divBdr>
    </w:div>
    <w:div w:id="536087316">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49418902">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15255438">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34857338">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54861377">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767652123">
      <w:bodyDiv w:val="1"/>
      <w:marLeft w:val="0"/>
      <w:marRight w:val="0"/>
      <w:marTop w:val="0"/>
      <w:marBottom w:val="0"/>
      <w:divBdr>
        <w:top w:val="none" w:sz="0" w:space="0" w:color="auto"/>
        <w:left w:val="none" w:sz="0" w:space="0" w:color="auto"/>
        <w:bottom w:val="none" w:sz="0" w:space="0" w:color="auto"/>
        <w:right w:val="none" w:sz="0" w:space="0" w:color="auto"/>
      </w:divBdr>
    </w:div>
    <w:div w:id="793329890">
      <w:bodyDiv w:val="1"/>
      <w:marLeft w:val="0"/>
      <w:marRight w:val="0"/>
      <w:marTop w:val="0"/>
      <w:marBottom w:val="0"/>
      <w:divBdr>
        <w:top w:val="none" w:sz="0" w:space="0" w:color="auto"/>
        <w:left w:val="none" w:sz="0" w:space="0" w:color="auto"/>
        <w:bottom w:val="none" w:sz="0" w:space="0" w:color="auto"/>
        <w:right w:val="none" w:sz="0" w:space="0" w:color="auto"/>
      </w:divBdr>
    </w:div>
    <w:div w:id="844170095">
      <w:bodyDiv w:val="1"/>
      <w:marLeft w:val="0"/>
      <w:marRight w:val="0"/>
      <w:marTop w:val="0"/>
      <w:marBottom w:val="0"/>
      <w:divBdr>
        <w:top w:val="none" w:sz="0" w:space="0" w:color="auto"/>
        <w:left w:val="none" w:sz="0" w:space="0" w:color="auto"/>
        <w:bottom w:val="none" w:sz="0" w:space="0" w:color="auto"/>
        <w:right w:val="none" w:sz="0" w:space="0" w:color="auto"/>
      </w:divBdr>
    </w:div>
    <w:div w:id="858086944">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886641880">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995113163">
      <w:bodyDiv w:val="1"/>
      <w:marLeft w:val="0"/>
      <w:marRight w:val="0"/>
      <w:marTop w:val="0"/>
      <w:marBottom w:val="0"/>
      <w:divBdr>
        <w:top w:val="none" w:sz="0" w:space="0" w:color="auto"/>
        <w:left w:val="none" w:sz="0" w:space="0" w:color="auto"/>
        <w:bottom w:val="none" w:sz="0" w:space="0" w:color="auto"/>
        <w:right w:val="none" w:sz="0" w:space="0" w:color="auto"/>
      </w:divBdr>
    </w:div>
    <w:div w:id="1041856012">
      <w:bodyDiv w:val="1"/>
      <w:marLeft w:val="0"/>
      <w:marRight w:val="0"/>
      <w:marTop w:val="0"/>
      <w:marBottom w:val="0"/>
      <w:divBdr>
        <w:top w:val="none" w:sz="0" w:space="0" w:color="auto"/>
        <w:left w:val="none" w:sz="0" w:space="0" w:color="auto"/>
        <w:bottom w:val="none" w:sz="0" w:space="0" w:color="auto"/>
        <w:right w:val="none" w:sz="0" w:space="0" w:color="auto"/>
      </w:divBdr>
    </w:div>
    <w:div w:id="1080101988">
      <w:bodyDiv w:val="1"/>
      <w:marLeft w:val="0"/>
      <w:marRight w:val="0"/>
      <w:marTop w:val="0"/>
      <w:marBottom w:val="0"/>
      <w:divBdr>
        <w:top w:val="none" w:sz="0" w:space="0" w:color="auto"/>
        <w:left w:val="none" w:sz="0" w:space="0" w:color="auto"/>
        <w:bottom w:val="none" w:sz="0" w:space="0" w:color="auto"/>
        <w:right w:val="none" w:sz="0" w:space="0" w:color="auto"/>
      </w:divBdr>
    </w:div>
    <w:div w:id="1084106740">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188175135">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38124984">
      <w:bodyDiv w:val="1"/>
      <w:marLeft w:val="0"/>
      <w:marRight w:val="0"/>
      <w:marTop w:val="0"/>
      <w:marBottom w:val="0"/>
      <w:divBdr>
        <w:top w:val="none" w:sz="0" w:space="0" w:color="auto"/>
        <w:left w:val="none" w:sz="0" w:space="0" w:color="auto"/>
        <w:bottom w:val="none" w:sz="0" w:space="0" w:color="auto"/>
        <w:right w:val="none" w:sz="0" w:space="0" w:color="auto"/>
      </w:divBdr>
    </w:div>
    <w:div w:id="1242250885">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56269440">
      <w:bodyDiv w:val="1"/>
      <w:marLeft w:val="0"/>
      <w:marRight w:val="0"/>
      <w:marTop w:val="0"/>
      <w:marBottom w:val="0"/>
      <w:divBdr>
        <w:top w:val="none" w:sz="0" w:space="0" w:color="auto"/>
        <w:left w:val="none" w:sz="0" w:space="0" w:color="auto"/>
        <w:bottom w:val="none" w:sz="0" w:space="0" w:color="auto"/>
        <w:right w:val="none" w:sz="0" w:space="0" w:color="auto"/>
      </w:divBdr>
    </w:div>
    <w:div w:id="1364985160">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835549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3393747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37081444">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580749783">
      <w:bodyDiv w:val="1"/>
      <w:marLeft w:val="0"/>
      <w:marRight w:val="0"/>
      <w:marTop w:val="0"/>
      <w:marBottom w:val="0"/>
      <w:divBdr>
        <w:top w:val="none" w:sz="0" w:space="0" w:color="auto"/>
        <w:left w:val="none" w:sz="0" w:space="0" w:color="auto"/>
        <w:bottom w:val="none" w:sz="0" w:space="0" w:color="auto"/>
        <w:right w:val="none" w:sz="0" w:space="0" w:color="auto"/>
      </w:divBdr>
    </w:div>
    <w:div w:id="1616205794">
      <w:bodyDiv w:val="1"/>
      <w:marLeft w:val="0"/>
      <w:marRight w:val="0"/>
      <w:marTop w:val="0"/>
      <w:marBottom w:val="0"/>
      <w:divBdr>
        <w:top w:val="none" w:sz="0" w:space="0" w:color="auto"/>
        <w:left w:val="none" w:sz="0" w:space="0" w:color="auto"/>
        <w:bottom w:val="none" w:sz="0" w:space="0" w:color="auto"/>
        <w:right w:val="none" w:sz="0" w:space="0" w:color="auto"/>
      </w:divBdr>
    </w:div>
    <w:div w:id="1619482794">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7233585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37587376">
      <w:bodyDiv w:val="1"/>
      <w:marLeft w:val="0"/>
      <w:marRight w:val="0"/>
      <w:marTop w:val="0"/>
      <w:marBottom w:val="0"/>
      <w:divBdr>
        <w:top w:val="none" w:sz="0" w:space="0" w:color="auto"/>
        <w:left w:val="none" w:sz="0" w:space="0" w:color="auto"/>
        <w:bottom w:val="none" w:sz="0" w:space="0" w:color="auto"/>
        <w:right w:val="none" w:sz="0" w:space="0" w:color="auto"/>
      </w:divBdr>
    </w:div>
    <w:div w:id="1752506117">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59331871">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790203177">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24925955">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57766432">
      <w:bodyDiv w:val="1"/>
      <w:marLeft w:val="0"/>
      <w:marRight w:val="0"/>
      <w:marTop w:val="0"/>
      <w:marBottom w:val="0"/>
      <w:divBdr>
        <w:top w:val="none" w:sz="0" w:space="0" w:color="auto"/>
        <w:left w:val="none" w:sz="0" w:space="0" w:color="auto"/>
        <w:bottom w:val="none" w:sz="0" w:space="0" w:color="auto"/>
        <w:right w:val="none" w:sz="0" w:space="0" w:color="auto"/>
      </w:divBdr>
    </w:div>
    <w:div w:id="1890527503">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13999567">
      <w:bodyDiv w:val="1"/>
      <w:marLeft w:val="0"/>
      <w:marRight w:val="0"/>
      <w:marTop w:val="0"/>
      <w:marBottom w:val="0"/>
      <w:divBdr>
        <w:top w:val="none" w:sz="0" w:space="0" w:color="auto"/>
        <w:left w:val="none" w:sz="0" w:space="0" w:color="auto"/>
        <w:bottom w:val="none" w:sz="0" w:space="0" w:color="auto"/>
        <w:right w:val="none" w:sz="0" w:space="0" w:color="auto"/>
      </w:divBdr>
    </w:div>
    <w:div w:id="1915775507">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1991596248">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042773">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18267998">
      <w:bodyDiv w:val="1"/>
      <w:marLeft w:val="0"/>
      <w:marRight w:val="0"/>
      <w:marTop w:val="0"/>
      <w:marBottom w:val="0"/>
      <w:divBdr>
        <w:top w:val="none" w:sz="0" w:space="0" w:color="auto"/>
        <w:left w:val="none" w:sz="0" w:space="0" w:color="auto"/>
        <w:bottom w:val="none" w:sz="0" w:space="0" w:color="auto"/>
        <w:right w:val="none" w:sz="0" w:space="0" w:color="auto"/>
      </w:divBdr>
    </w:div>
    <w:div w:id="2043555743">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089647736">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FF622-8CAB-4117-9307-AEF37BDC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4389</Words>
  <Characters>24143</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2</cp:revision>
  <cp:lastPrinted>2019-12-03T18:24:00Z</cp:lastPrinted>
  <dcterms:created xsi:type="dcterms:W3CDTF">2020-09-02T22:26:00Z</dcterms:created>
  <dcterms:modified xsi:type="dcterms:W3CDTF">2020-09-02T22:26:00Z</dcterms:modified>
</cp:coreProperties>
</file>