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693F08" w:rsidRDefault="00CE47CE" w:rsidP="00CE47CE">
      <w:pPr>
        <w:pStyle w:val="Sansinterligne"/>
        <w:rPr>
          <w:rFonts w:asciiTheme="majorHAnsi" w:hAnsiTheme="majorHAnsi"/>
          <w:lang w:eastAsia="fr-FR"/>
        </w:rPr>
      </w:pPr>
      <w:r w:rsidRPr="00693F08">
        <w:rPr>
          <w:rFonts w:asciiTheme="majorHAnsi" w:hAnsiTheme="majorHAnsi"/>
          <w:noProof/>
          <w:lang w:eastAsia="fr-FR"/>
        </w:rPr>
        <w:drawing>
          <wp:anchor distT="0" distB="0" distL="114300" distR="114300" simplePos="0" relativeHeight="251659264" behindDoc="1" locked="0" layoutInCell="1" allowOverlap="1" wp14:anchorId="340143FC" wp14:editId="2F99E627">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8">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693F08">
        <w:rPr>
          <w:rFonts w:asciiTheme="majorHAnsi" w:hAnsiTheme="majorHAnsi"/>
          <w:noProof/>
          <w:lang w:eastAsia="fr-FR"/>
        </w:rPr>
        <mc:AlternateContent>
          <mc:Choice Requires="wps">
            <w:drawing>
              <wp:anchor distT="45720" distB="45720" distL="114300" distR="114300" simplePos="0" relativeHeight="251660288" behindDoc="0" locked="0" layoutInCell="1" allowOverlap="1" wp14:anchorId="3E1F2436" wp14:editId="4BBCEE61">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La Présidence</w:t>
                            </w:r>
                          </w:p>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1F2436"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La Présidence</w:t>
                      </w:r>
                    </w:p>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sidRPr="00693F08">
        <w:rPr>
          <w:rFonts w:asciiTheme="majorHAnsi" w:hAnsiTheme="majorHAnsi"/>
          <w:lang w:eastAsia="fr-FR"/>
        </w:rPr>
        <w:tab/>
        <w:t xml:space="preserve">      </w:t>
      </w:r>
    </w:p>
    <w:p w:rsidR="00CE47CE" w:rsidRPr="00693F08" w:rsidRDefault="00CE47CE" w:rsidP="00CE47CE">
      <w:pPr>
        <w:jc w:val="cente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tabs>
          <w:tab w:val="center" w:pos="4533"/>
          <w:tab w:val="left" w:pos="6544"/>
        </w:tabs>
        <w:rPr>
          <w:rFonts w:asciiTheme="majorHAnsi" w:hAnsiTheme="majorHAnsi"/>
          <w:u w:val="single"/>
        </w:rPr>
      </w:pPr>
      <w:r w:rsidRPr="00693F08">
        <w:rPr>
          <w:rFonts w:asciiTheme="majorHAnsi" w:hAnsiTheme="majorHAnsi" w:cs="Arial"/>
          <w:i/>
          <w:noProof/>
          <w:lang w:eastAsia="fr-FR"/>
        </w:rPr>
        <mc:AlternateContent>
          <mc:Choice Requires="wps">
            <w:drawing>
              <wp:anchor distT="4294967295" distB="4294967295" distL="114300" distR="114300" simplePos="0" relativeHeight="251662336" behindDoc="0" locked="0" layoutInCell="1" allowOverlap="1" wp14:anchorId="2A11D303" wp14:editId="08D8D06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80C08F"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693F08" w:rsidRDefault="00CE47CE" w:rsidP="00CE47CE">
      <w:pPr>
        <w:tabs>
          <w:tab w:val="left" w:pos="3240"/>
        </w:tabs>
        <w:jc w:val="center"/>
        <w:rPr>
          <w:rFonts w:asciiTheme="majorHAnsi" w:hAnsiTheme="majorHAnsi" w:cs="Arial"/>
          <w:b/>
        </w:rPr>
      </w:pPr>
      <w:r w:rsidRPr="00693F08">
        <w:rPr>
          <w:rFonts w:asciiTheme="majorHAnsi" w:hAnsiTheme="majorHAnsi" w:cs="Arial"/>
          <w:b/>
        </w:rPr>
        <w:t>BUREAU DE LA COMMUNICATION</w:t>
      </w:r>
    </w:p>
    <w:p w:rsidR="00CE47CE" w:rsidRPr="00693F08" w:rsidRDefault="00F553AE" w:rsidP="00CE47CE">
      <w:pPr>
        <w:tabs>
          <w:tab w:val="left" w:pos="3240"/>
        </w:tabs>
        <w:jc w:val="center"/>
        <w:rPr>
          <w:rFonts w:asciiTheme="majorHAnsi" w:hAnsiTheme="majorHAnsi" w:cs="Arial"/>
          <w:b/>
          <w:i/>
        </w:rPr>
      </w:pPr>
      <w:r>
        <w:rPr>
          <w:rFonts w:asciiTheme="majorHAnsi" w:hAnsiTheme="majorHAnsi" w:cs="Arial"/>
          <w:b/>
          <w:i/>
        </w:rPr>
        <w:t>Lundi 3 août</w:t>
      </w:r>
      <w:r w:rsidR="00015FF2" w:rsidRPr="00693F08">
        <w:rPr>
          <w:rFonts w:asciiTheme="majorHAnsi" w:hAnsiTheme="majorHAnsi" w:cs="Arial"/>
          <w:b/>
          <w:i/>
        </w:rPr>
        <w:t xml:space="preserve"> </w:t>
      </w:r>
      <w:r w:rsidR="00087CFE" w:rsidRPr="00693F08">
        <w:rPr>
          <w:rFonts w:asciiTheme="majorHAnsi" w:hAnsiTheme="majorHAnsi" w:cs="Arial"/>
          <w:b/>
          <w:i/>
        </w:rPr>
        <w:t>2020</w:t>
      </w:r>
    </w:p>
    <w:p w:rsidR="00CE47CE" w:rsidRPr="00693F08" w:rsidRDefault="00CE47CE" w:rsidP="00CE47CE">
      <w:pPr>
        <w:tabs>
          <w:tab w:val="left" w:pos="3240"/>
        </w:tabs>
        <w:jc w:val="center"/>
        <w:rPr>
          <w:rFonts w:asciiTheme="majorHAnsi" w:hAnsiTheme="majorHAnsi"/>
        </w:rPr>
      </w:pPr>
      <w:r w:rsidRPr="00693F08">
        <w:rPr>
          <w:rFonts w:asciiTheme="majorHAnsi" w:hAnsiTheme="majorHAnsi" w:cs="Arial"/>
          <w:i/>
          <w:noProof/>
          <w:lang w:eastAsia="fr-FR"/>
        </w:rPr>
        <mc:AlternateContent>
          <mc:Choice Requires="wps">
            <w:drawing>
              <wp:anchor distT="4294967295" distB="4294967295" distL="114300" distR="114300" simplePos="0" relativeHeight="251661312" behindDoc="0" locked="0" layoutInCell="1" allowOverlap="1" wp14:anchorId="00C04070" wp14:editId="6A74B890">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B70D7B"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693F08" w:rsidRDefault="00CE47CE" w:rsidP="00CE47CE">
      <w:pPr>
        <w:tabs>
          <w:tab w:val="left" w:pos="3240"/>
        </w:tabs>
        <w:rPr>
          <w:rFonts w:asciiTheme="majorHAnsi" w:hAnsiTheme="majorHAnsi" w:cs="Arial"/>
          <w:b/>
          <w:i/>
        </w:rPr>
      </w:pPr>
    </w:p>
    <w:p w:rsidR="00CE47CE" w:rsidRPr="00693F08"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Theme="majorHAnsi" w:hAnsiTheme="majorHAnsi"/>
          <w:b/>
        </w:rPr>
      </w:pPr>
      <w:r w:rsidRPr="00693F08">
        <w:rPr>
          <w:rFonts w:asciiTheme="majorHAnsi" w:hAnsiTheme="majorHAnsi"/>
          <w:b/>
        </w:rPr>
        <w:tab/>
        <w:t xml:space="preserve">Compte rendu du Conseil des ministres </w:t>
      </w:r>
    </w:p>
    <w:p w:rsidR="009179FF" w:rsidRDefault="009179FF" w:rsidP="009179FF">
      <w:pPr>
        <w:rPr>
          <w:rFonts w:ascii="Cambria" w:hAnsi="Cambria"/>
        </w:rPr>
      </w:pPr>
    </w:p>
    <w:p w:rsidR="0007390E" w:rsidRDefault="0007390E" w:rsidP="00EB0736">
      <w:pPr>
        <w:spacing w:after="120"/>
        <w:jc w:val="both"/>
        <w:rPr>
          <w:rFonts w:asciiTheme="majorHAnsi" w:hAnsiTheme="majorHAnsi"/>
          <w:b/>
          <w:bCs/>
        </w:rPr>
      </w:pPr>
    </w:p>
    <w:p w:rsidR="00F553AE" w:rsidRPr="00F553AE" w:rsidRDefault="00F553AE" w:rsidP="00F553AE">
      <w:pPr>
        <w:spacing w:after="120"/>
        <w:jc w:val="both"/>
        <w:rPr>
          <w:rFonts w:asciiTheme="majorHAnsi" w:hAnsiTheme="majorHAnsi"/>
          <w:b/>
        </w:rPr>
      </w:pPr>
      <w:r w:rsidRPr="00F553AE">
        <w:rPr>
          <w:rFonts w:asciiTheme="majorHAnsi" w:hAnsiTheme="majorHAnsi"/>
          <w:b/>
        </w:rPr>
        <w:t>Délégation au développement des communes : soutien aux investissements des municipalités</w:t>
      </w:r>
    </w:p>
    <w:p w:rsidR="00F553AE" w:rsidRDefault="00F553AE" w:rsidP="00F553AE">
      <w:pPr>
        <w:spacing w:after="120"/>
        <w:jc w:val="both"/>
        <w:rPr>
          <w:rFonts w:asciiTheme="majorHAnsi" w:hAnsiTheme="majorHAnsi"/>
        </w:rPr>
      </w:pPr>
      <w:r>
        <w:rPr>
          <w:rFonts w:asciiTheme="majorHAnsi" w:hAnsiTheme="majorHAnsi"/>
        </w:rPr>
        <w:t>Le Conseil des ministres a validé 15 nouvelles subventions d’opérations d’investissements communaux au titre du concours financier de la Polynésie française apporté aux communes, ou groupements de communes, et instruites par le service de la Délégation au Développement des Communes (DDC).</w:t>
      </w:r>
    </w:p>
    <w:p w:rsidR="00F553AE" w:rsidRPr="003668C4" w:rsidRDefault="00F553AE" w:rsidP="00F553AE">
      <w:pPr>
        <w:spacing w:after="120"/>
        <w:jc w:val="both"/>
        <w:rPr>
          <w:rFonts w:asciiTheme="majorHAnsi" w:hAnsiTheme="majorHAnsi"/>
          <w:color w:val="000000" w:themeColor="text1"/>
        </w:rPr>
      </w:pPr>
      <w:r>
        <w:rPr>
          <w:rFonts w:asciiTheme="majorHAnsi" w:hAnsiTheme="majorHAnsi"/>
        </w:rPr>
        <w:t xml:space="preserve">Ces opérations représentent un investissement total cumulé d’environ 352 millions </w:t>
      </w:r>
      <w:proofErr w:type="spellStart"/>
      <w:r>
        <w:rPr>
          <w:rFonts w:asciiTheme="majorHAnsi" w:hAnsiTheme="majorHAnsi"/>
        </w:rPr>
        <w:t>Fcfp</w:t>
      </w:r>
      <w:proofErr w:type="spellEnd"/>
      <w:r>
        <w:rPr>
          <w:rFonts w:asciiTheme="majorHAnsi" w:hAnsiTheme="majorHAnsi"/>
        </w:rPr>
        <w:t xml:space="preserve"> et bénéficient d’un concours de la Polynésie française à concurrence de </w:t>
      </w:r>
      <w:r>
        <w:rPr>
          <w:rFonts w:asciiTheme="majorHAnsi" w:hAnsiTheme="majorHAnsi"/>
          <w:color w:val="000000" w:themeColor="text1"/>
        </w:rPr>
        <w:t>200</w:t>
      </w:r>
      <w:r w:rsidRPr="003668C4">
        <w:rPr>
          <w:rFonts w:asciiTheme="majorHAnsi" w:hAnsiTheme="majorHAnsi"/>
          <w:color w:val="000000" w:themeColor="text1"/>
        </w:rPr>
        <w:t xml:space="preserve"> millions </w:t>
      </w:r>
      <w:proofErr w:type="spellStart"/>
      <w:r>
        <w:rPr>
          <w:rFonts w:asciiTheme="majorHAnsi" w:hAnsiTheme="majorHAnsi"/>
          <w:color w:val="000000" w:themeColor="text1"/>
        </w:rPr>
        <w:t>Fcfp</w:t>
      </w:r>
      <w:proofErr w:type="spellEnd"/>
      <w:r w:rsidRPr="003668C4">
        <w:rPr>
          <w:rFonts w:asciiTheme="majorHAnsi" w:hAnsiTheme="majorHAnsi"/>
          <w:color w:val="000000" w:themeColor="text1"/>
        </w:rPr>
        <w:t>, soit p</w:t>
      </w:r>
      <w:r>
        <w:rPr>
          <w:rFonts w:asciiTheme="majorHAnsi" w:hAnsiTheme="majorHAnsi"/>
          <w:color w:val="000000" w:themeColor="text1"/>
        </w:rPr>
        <w:t>rès</w:t>
      </w:r>
      <w:r w:rsidRPr="003668C4">
        <w:rPr>
          <w:rFonts w:asciiTheme="majorHAnsi" w:hAnsiTheme="majorHAnsi"/>
          <w:color w:val="000000" w:themeColor="text1"/>
        </w:rPr>
        <w:t xml:space="preserve"> de </w:t>
      </w:r>
      <w:r>
        <w:rPr>
          <w:rFonts w:asciiTheme="majorHAnsi" w:hAnsiTheme="majorHAnsi"/>
          <w:color w:val="000000" w:themeColor="text1"/>
        </w:rPr>
        <w:t>57</w:t>
      </w:r>
      <w:r w:rsidRPr="003668C4">
        <w:rPr>
          <w:rFonts w:asciiTheme="majorHAnsi" w:hAnsiTheme="majorHAnsi"/>
          <w:color w:val="000000" w:themeColor="text1"/>
        </w:rPr>
        <w:t>%.</w:t>
      </w:r>
    </w:p>
    <w:p w:rsidR="00F553AE" w:rsidRDefault="00F553AE" w:rsidP="00F553AE">
      <w:pPr>
        <w:spacing w:after="120"/>
        <w:jc w:val="both"/>
        <w:rPr>
          <w:rFonts w:asciiTheme="majorHAnsi" w:hAnsiTheme="majorHAnsi"/>
        </w:rPr>
      </w:pPr>
      <w:r>
        <w:rPr>
          <w:rFonts w:asciiTheme="majorHAnsi" w:hAnsiTheme="majorHAnsi"/>
        </w:rPr>
        <w:t>Les octrois du Pays portent sur des opérations d’investissement dans des secteurs aussi variés que structurants. En effet, le Conseil des ministres a validé cinq arrêtés pour des opérations de travaux, neuf arrêtés pour des acquisitions, et un arrêté portant sur une étude.</w:t>
      </w:r>
    </w:p>
    <w:p w:rsidR="00F553AE" w:rsidRPr="00F553AE" w:rsidRDefault="00F553AE" w:rsidP="00F553AE">
      <w:pPr>
        <w:spacing w:after="120"/>
        <w:jc w:val="both"/>
        <w:rPr>
          <w:rFonts w:asciiTheme="majorHAnsi" w:hAnsiTheme="majorHAnsi"/>
        </w:rPr>
      </w:pPr>
      <w:r w:rsidRPr="00F553AE">
        <w:rPr>
          <w:rFonts w:asciiTheme="majorHAnsi" w:hAnsiTheme="majorHAnsi"/>
        </w:rPr>
        <w:t xml:space="preserve">Les travaux concernés sont les suivants : </w:t>
      </w:r>
    </w:p>
    <w:p w:rsidR="00F553AE" w:rsidRPr="00F553AE" w:rsidRDefault="00F553AE" w:rsidP="00F553AE">
      <w:pPr>
        <w:pStyle w:val="Paragraphedeliste"/>
        <w:numPr>
          <w:ilvl w:val="0"/>
          <w:numId w:val="32"/>
        </w:numPr>
        <w:spacing w:after="120"/>
        <w:jc w:val="both"/>
        <w:rPr>
          <w:rFonts w:asciiTheme="majorHAnsi" w:hAnsiTheme="majorHAnsi"/>
          <w:sz w:val="24"/>
          <w:szCs w:val="24"/>
        </w:rPr>
      </w:pPr>
      <w:r w:rsidRPr="00F553AE">
        <w:rPr>
          <w:rFonts w:asciiTheme="majorHAnsi" w:hAnsiTheme="majorHAnsi"/>
          <w:sz w:val="24"/>
          <w:szCs w:val="24"/>
        </w:rPr>
        <w:t xml:space="preserve">Trois arrêtés concernant l’électrification de l'atoll de </w:t>
      </w:r>
      <w:proofErr w:type="spellStart"/>
      <w:r w:rsidRPr="00F553AE">
        <w:rPr>
          <w:rFonts w:asciiTheme="majorHAnsi" w:hAnsiTheme="majorHAnsi"/>
          <w:sz w:val="24"/>
          <w:szCs w:val="24"/>
        </w:rPr>
        <w:t>Takume</w:t>
      </w:r>
      <w:proofErr w:type="spellEnd"/>
      <w:r w:rsidRPr="00F553AE">
        <w:rPr>
          <w:rFonts w:asciiTheme="majorHAnsi" w:hAnsiTheme="majorHAnsi"/>
          <w:sz w:val="24"/>
          <w:szCs w:val="24"/>
        </w:rPr>
        <w:t xml:space="preserve"> par la commune de </w:t>
      </w:r>
      <w:proofErr w:type="spellStart"/>
      <w:r w:rsidRPr="00F553AE">
        <w:rPr>
          <w:rFonts w:asciiTheme="majorHAnsi" w:hAnsiTheme="majorHAnsi"/>
          <w:sz w:val="24"/>
          <w:szCs w:val="24"/>
        </w:rPr>
        <w:t>Makemo</w:t>
      </w:r>
      <w:proofErr w:type="spellEnd"/>
      <w:r w:rsidRPr="00F553AE">
        <w:rPr>
          <w:rFonts w:asciiTheme="majorHAnsi" w:hAnsiTheme="majorHAnsi"/>
          <w:sz w:val="24"/>
          <w:szCs w:val="24"/>
        </w:rPr>
        <w:t xml:space="preserve">, à laquelle le Pays contribue pour un montant de 69.282.585 </w:t>
      </w:r>
      <w:proofErr w:type="spellStart"/>
      <w:r w:rsidRPr="00F553AE">
        <w:rPr>
          <w:rFonts w:asciiTheme="majorHAnsi" w:hAnsiTheme="majorHAnsi"/>
          <w:sz w:val="24"/>
          <w:szCs w:val="24"/>
        </w:rPr>
        <w:t>F</w:t>
      </w:r>
      <w:r>
        <w:rPr>
          <w:rFonts w:asciiTheme="majorHAnsi" w:hAnsiTheme="majorHAnsi"/>
          <w:sz w:val="24"/>
          <w:szCs w:val="24"/>
        </w:rPr>
        <w:t>cfp</w:t>
      </w:r>
      <w:proofErr w:type="spellEnd"/>
      <w:r w:rsidRPr="00F553AE">
        <w:rPr>
          <w:rFonts w:asciiTheme="majorHAnsi" w:hAnsiTheme="majorHAnsi"/>
          <w:sz w:val="24"/>
          <w:szCs w:val="24"/>
        </w:rPr>
        <w:t xml:space="preserve"> sur un montant total de 86.603.231 </w:t>
      </w:r>
      <w:proofErr w:type="spellStart"/>
      <w:r w:rsidRPr="00F553AE">
        <w:rPr>
          <w:rFonts w:asciiTheme="majorHAnsi" w:hAnsiTheme="majorHAnsi"/>
          <w:sz w:val="24"/>
          <w:szCs w:val="24"/>
        </w:rPr>
        <w:t>F</w:t>
      </w:r>
      <w:r>
        <w:rPr>
          <w:rFonts w:asciiTheme="majorHAnsi" w:hAnsiTheme="majorHAnsi"/>
          <w:sz w:val="24"/>
          <w:szCs w:val="24"/>
        </w:rPr>
        <w:t>cfp</w:t>
      </w:r>
      <w:proofErr w:type="spellEnd"/>
      <w:r w:rsidRPr="00F553AE">
        <w:rPr>
          <w:rFonts w:asciiTheme="majorHAnsi" w:hAnsiTheme="majorHAnsi"/>
          <w:sz w:val="24"/>
          <w:szCs w:val="24"/>
        </w:rPr>
        <w:t xml:space="preserve">, soit un taux de financement de 80%. Ce projet divisé en plusieurs dossiers a déjà fait l’objet d’un octroi pour ses études par le Conseil des </w:t>
      </w:r>
      <w:r>
        <w:rPr>
          <w:rFonts w:asciiTheme="majorHAnsi" w:hAnsiTheme="majorHAnsi"/>
          <w:sz w:val="24"/>
          <w:szCs w:val="24"/>
        </w:rPr>
        <w:t>m</w:t>
      </w:r>
      <w:r w:rsidRPr="00F553AE">
        <w:rPr>
          <w:rFonts w:asciiTheme="majorHAnsi" w:hAnsiTheme="majorHAnsi"/>
          <w:sz w:val="24"/>
          <w:szCs w:val="24"/>
        </w:rPr>
        <w:t xml:space="preserve">inistres du 3 juillet dernier. Les trois arrêtés du jour s’inscrivent dans son prolongement pour la réalisation de l’opération globale estimée à environ 96 millions </w:t>
      </w:r>
      <w:proofErr w:type="spellStart"/>
      <w:r>
        <w:rPr>
          <w:rFonts w:asciiTheme="majorHAnsi" w:hAnsiTheme="majorHAnsi"/>
          <w:sz w:val="24"/>
          <w:szCs w:val="24"/>
        </w:rPr>
        <w:t>Fcfp</w:t>
      </w:r>
      <w:proofErr w:type="spellEnd"/>
      <w:r w:rsidRPr="00F553AE">
        <w:rPr>
          <w:rFonts w:asciiTheme="majorHAnsi" w:hAnsiTheme="majorHAnsi"/>
          <w:sz w:val="24"/>
          <w:szCs w:val="24"/>
        </w:rPr>
        <w:t xml:space="preserve">. Les travaux permettront à l’atoll de </w:t>
      </w:r>
      <w:proofErr w:type="spellStart"/>
      <w:r w:rsidRPr="00F553AE">
        <w:rPr>
          <w:rFonts w:asciiTheme="majorHAnsi" w:hAnsiTheme="majorHAnsi"/>
          <w:sz w:val="24"/>
          <w:szCs w:val="24"/>
        </w:rPr>
        <w:t>Takume</w:t>
      </w:r>
      <w:proofErr w:type="spellEnd"/>
      <w:r w:rsidRPr="00F553AE">
        <w:rPr>
          <w:rFonts w:asciiTheme="majorHAnsi" w:hAnsiTheme="majorHAnsi"/>
          <w:sz w:val="24"/>
          <w:szCs w:val="24"/>
        </w:rPr>
        <w:t xml:space="preserve"> de produire et distribuer l’électricité, permettant enfin aux habitants de s’affranchir de l’utilisation quotidienne de gr</w:t>
      </w:r>
      <w:r>
        <w:rPr>
          <w:rFonts w:asciiTheme="majorHAnsi" w:hAnsiTheme="majorHAnsi"/>
          <w:sz w:val="24"/>
          <w:szCs w:val="24"/>
        </w:rPr>
        <w:t>oupes électrogènes individuels.</w:t>
      </w:r>
    </w:p>
    <w:p w:rsidR="00F553AE" w:rsidRPr="00F553AE" w:rsidRDefault="00F553AE" w:rsidP="00F553AE">
      <w:pPr>
        <w:pStyle w:val="Paragraphedeliste"/>
        <w:spacing w:after="120"/>
        <w:ind w:left="1134"/>
        <w:jc w:val="both"/>
        <w:rPr>
          <w:rFonts w:asciiTheme="majorHAnsi" w:hAnsiTheme="majorHAnsi"/>
          <w:sz w:val="24"/>
          <w:szCs w:val="24"/>
        </w:rPr>
      </w:pPr>
    </w:p>
    <w:p w:rsidR="00F553AE" w:rsidRPr="00F553AE" w:rsidRDefault="00F553AE" w:rsidP="00F553AE">
      <w:pPr>
        <w:pStyle w:val="Paragraphedeliste"/>
        <w:numPr>
          <w:ilvl w:val="0"/>
          <w:numId w:val="32"/>
        </w:numPr>
        <w:spacing w:after="120"/>
        <w:jc w:val="both"/>
        <w:rPr>
          <w:rFonts w:asciiTheme="majorHAnsi" w:hAnsiTheme="majorHAnsi"/>
          <w:sz w:val="24"/>
          <w:szCs w:val="24"/>
        </w:rPr>
      </w:pPr>
      <w:r w:rsidRPr="00F553AE">
        <w:rPr>
          <w:rFonts w:asciiTheme="majorHAnsi" w:hAnsiTheme="majorHAnsi"/>
          <w:sz w:val="24"/>
          <w:szCs w:val="24"/>
        </w:rPr>
        <w:t xml:space="preserve">L’aménagement de caveaux et enfeus Tranche 2 - Phase 1 de la commune de Faa’a, opération à laquelle le Pays contribue pour un montant de 42.405.770 </w:t>
      </w:r>
      <w:proofErr w:type="spellStart"/>
      <w:r w:rsidRPr="00F553AE">
        <w:rPr>
          <w:rFonts w:asciiTheme="majorHAnsi" w:hAnsiTheme="majorHAnsi"/>
          <w:sz w:val="24"/>
          <w:szCs w:val="24"/>
        </w:rPr>
        <w:t>F</w:t>
      </w:r>
      <w:r>
        <w:rPr>
          <w:rFonts w:asciiTheme="majorHAnsi" w:hAnsiTheme="majorHAnsi"/>
          <w:sz w:val="24"/>
          <w:szCs w:val="24"/>
        </w:rPr>
        <w:t>cfp</w:t>
      </w:r>
      <w:proofErr w:type="spellEnd"/>
      <w:r w:rsidRPr="00F553AE">
        <w:rPr>
          <w:rFonts w:asciiTheme="majorHAnsi" w:hAnsiTheme="majorHAnsi"/>
          <w:sz w:val="24"/>
          <w:szCs w:val="24"/>
        </w:rPr>
        <w:t xml:space="preserve"> sur un montant total de 84.811.541 </w:t>
      </w:r>
      <w:proofErr w:type="spellStart"/>
      <w:r w:rsidRPr="00F553AE">
        <w:rPr>
          <w:rFonts w:asciiTheme="majorHAnsi" w:hAnsiTheme="majorHAnsi"/>
          <w:sz w:val="24"/>
          <w:szCs w:val="24"/>
        </w:rPr>
        <w:t>F</w:t>
      </w:r>
      <w:r>
        <w:rPr>
          <w:rFonts w:asciiTheme="majorHAnsi" w:hAnsiTheme="majorHAnsi"/>
          <w:sz w:val="24"/>
          <w:szCs w:val="24"/>
        </w:rPr>
        <w:t>cfp</w:t>
      </w:r>
      <w:proofErr w:type="spellEnd"/>
      <w:r w:rsidRPr="00F553AE">
        <w:rPr>
          <w:rFonts w:asciiTheme="majorHAnsi" w:hAnsiTheme="majorHAnsi"/>
          <w:sz w:val="24"/>
          <w:szCs w:val="24"/>
        </w:rPr>
        <w:t xml:space="preserve">, soit un taux de financement de 50%. Le </w:t>
      </w:r>
      <w:r>
        <w:rPr>
          <w:rFonts w:asciiTheme="majorHAnsi" w:hAnsiTheme="majorHAnsi"/>
          <w:sz w:val="24"/>
          <w:szCs w:val="24"/>
        </w:rPr>
        <w:t>cimetière communal Te Ea Nui,</w:t>
      </w:r>
      <w:r w:rsidRPr="00F553AE">
        <w:rPr>
          <w:rFonts w:asciiTheme="majorHAnsi" w:hAnsiTheme="majorHAnsi"/>
          <w:sz w:val="24"/>
          <w:szCs w:val="24"/>
        </w:rPr>
        <w:t xml:space="preserve"> à </w:t>
      </w:r>
      <w:proofErr w:type="spellStart"/>
      <w:r w:rsidRPr="00F553AE">
        <w:rPr>
          <w:rFonts w:asciiTheme="majorHAnsi" w:hAnsiTheme="majorHAnsi"/>
          <w:sz w:val="24"/>
          <w:szCs w:val="24"/>
        </w:rPr>
        <w:t>St.Hilaire</w:t>
      </w:r>
      <w:proofErr w:type="spellEnd"/>
      <w:r w:rsidRPr="00F553AE">
        <w:rPr>
          <w:rFonts w:asciiTheme="majorHAnsi" w:hAnsiTheme="majorHAnsi"/>
          <w:sz w:val="24"/>
          <w:szCs w:val="24"/>
        </w:rPr>
        <w:t xml:space="preserve">, dans la commune de Faa’a, a fait l’objet en 2005, de travaux de terrassement </w:t>
      </w:r>
      <w:r w:rsidRPr="00F553AE">
        <w:rPr>
          <w:rFonts w:asciiTheme="majorHAnsi" w:hAnsiTheme="majorHAnsi"/>
          <w:sz w:val="24"/>
          <w:szCs w:val="24"/>
        </w:rPr>
        <w:lastRenderedPageBreak/>
        <w:t xml:space="preserve">pour réaliser 6 nouvelles plateformes d’une superficie totale de 8 000 m². Cette opération a pour but d’anticiper la saturation du cimetière qui compte déjà près de 1800 sépultures. L’opération d’aménagement consiste en la construction de 162 enfeus et 9 caveaux sur deux des plateformes. Il s’agit ici de </w:t>
      </w:r>
      <w:r>
        <w:rPr>
          <w:rFonts w:asciiTheme="majorHAnsi" w:hAnsiTheme="majorHAnsi"/>
          <w:sz w:val="24"/>
          <w:szCs w:val="24"/>
        </w:rPr>
        <w:t>la première phase des quatre</w:t>
      </w:r>
      <w:r w:rsidRPr="00F553AE">
        <w:rPr>
          <w:rFonts w:asciiTheme="majorHAnsi" w:hAnsiTheme="majorHAnsi"/>
          <w:sz w:val="24"/>
          <w:szCs w:val="24"/>
        </w:rPr>
        <w:t xml:space="preserve"> phases de travaux à venir</w:t>
      </w:r>
      <w:r>
        <w:rPr>
          <w:rFonts w:asciiTheme="majorHAnsi" w:hAnsiTheme="majorHAnsi"/>
          <w:sz w:val="24"/>
          <w:szCs w:val="24"/>
        </w:rPr>
        <w:t>.</w:t>
      </w:r>
    </w:p>
    <w:p w:rsidR="00F553AE" w:rsidRPr="00F553AE" w:rsidRDefault="00F553AE" w:rsidP="00F553AE">
      <w:pPr>
        <w:pStyle w:val="Paragraphedeliste"/>
        <w:spacing w:after="120"/>
        <w:ind w:left="1134"/>
        <w:jc w:val="both"/>
        <w:rPr>
          <w:rFonts w:asciiTheme="majorHAnsi" w:hAnsiTheme="majorHAnsi"/>
          <w:sz w:val="24"/>
          <w:szCs w:val="24"/>
        </w:rPr>
      </w:pPr>
    </w:p>
    <w:p w:rsidR="00F553AE" w:rsidRPr="00F553AE" w:rsidRDefault="00F553AE" w:rsidP="00F553AE">
      <w:pPr>
        <w:pStyle w:val="Paragraphedeliste"/>
        <w:numPr>
          <w:ilvl w:val="0"/>
          <w:numId w:val="32"/>
        </w:numPr>
        <w:spacing w:after="120"/>
        <w:jc w:val="both"/>
        <w:rPr>
          <w:rFonts w:asciiTheme="majorHAnsi" w:hAnsiTheme="majorHAnsi"/>
          <w:sz w:val="24"/>
          <w:szCs w:val="24"/>
        </w:rPr>
      </w:pPr>
      <w:r w:rsidRPr="00F553AE">
        <w:rPr>
          <w:rFonts w:asciiTheme="majorHAnsi" w:hAnsiTheme="majorHAnsi"/>
          <w:sz w:val="24"/>
          <w:szCs w:val="24"/>
        </w:rPr>
        <w:t xml:space="preserve">Les travaux d’aménagement routier </w:t>
      </w:r>
      <w:proofErr w:type="spellStart"/>
      <w:r w:rsidRPr="00F553AE">
        <w:rPr>
          <w:rFonts w:asciiTheme="majorHAnsi" w:hAnsiTheme="majorHAnsi"/>
          <w:sz w:val="24"/>
          <w:szCs w:val="24"/>
        </w:rPr>
        <w:t>Uturaerae</w:t>
      </w:r>
      <w:proofErr w:type="spellEnd"/>
      <w:r w:rsidRPr="00F553AE">
        <w:rPr>
          <w:rFonts w:asciiTheme="majorHAnsi" w:hAnsiTheme="majorHAnsi"/>
          <w:sz w:val="24"/>
          <w:szCs w:val="24"/>
        </w:rPr>
        <w:t xml:space="preserve"> 3 de la commune d</w:t>
      </w:r>
      <w:r>
        <w:rPr>
          <w:rFonts w:asciiTheme="majorHAnsi" w:hAnsiTheme="majorHAnsi"/>
          <w:sz w:val="24"/>
          <w:szCs w:val="24"/>
        </w:rPr>
        <w:t>’</w:t>
      </w:r>
      <w:proofErr w:type="spellStart"/>
      <w:r w:rsidRPr="00F553AE">
        <w:rPr>
          <w:rFonts w:asciiTheme="majorHAnsi" w:hAnsiTheme="majorHAnsi"/>
          <w:sz w:val="24"/>
          <w:szCs w:val="24"/>
        </w:rPr>
        <w:t>Uturoa</w:t>
      </w:r>
      <w:proofErr w:type="spellEnd"/>
      <w:r w:rsidRPr="00F553AE">
        <w:rPr>
          <w:rFonts w:asciiTheme="majorHAnsi" w:hAnsiTheme="majorHAnsi"/>
          <w:sz w:val="24"/>
          <w:szCs w:val="24"/>
        </w:rPr>
        <w:t xml:space="preserve">, auxquels le Pays contribue pour un montant de 9.656.415 </w:t>
      </w:r>
      <w:proofErr w:type="spellStart"/>
      <w:r w:rsidRPr="00F553AE">
        <w:rPr>
          <w:rFonts w:asciiTheme="majorHAnsi" w:hAnsiTheme="majorHAnsi"/>
          <w:sz w:val="24"/>
          <w:szCs w:val="24"/>
        </w:rPr>
        <w:t>F</w:t>
      </w:r>
      <w:r>
        <w:rPr>
          <w:rFonts w:asciiTheme="majorHAnsi" w:hAnsiTheme="majorHAnsi"/>
          <w:sz w:val="24"/>
          <w:szCs w:val="24"/>
        </w:rPr>
        <w:t>cfp</w:t>
      </w:r>
      <w:proofErr w:type="spellEnd"/>
      <w:r w:rsidRPr="00F553AE">
        <w:rPr>
          <w:rFonts w:asciiTheme="majorHAnsi" w:hAnsiTheme="majorHAnsi"/>
          <w:sz w:val="24"/>
          <w:szCs w:val="24"/>
        </w:rPr>
        <w:t xml:space="preserve"> sur un montant total de 16.094.025 </w:t>
      </w:r>
      <w:proofErr w:type="spellStart"/>
      <w:r w:rsidRPr="00F553AE">
        <w:rPr>
          <w:rFonts w:asciiTheme="majorHAnsi" w:hAnsiTheme="majorHAnsi"/>
          <w:sz w:val="24"/>
          <w:szCs w:val="24"/>
        </w:rPr>
        <w:t>F</w:t>
      </w:r>
      <w:r>
        <w:rPr>
          <w:rFonts w:asciiTheme="majorHAnsi" w:hAnsiTheme="majorHAnsi"/>
          <w:sz w:val="24"/>
          <w:szCs w:val="24"/>
        </w:rPr>
        <w:t>cfp</w:t>
      </w:r>
      <w:proofErr w:type="spellEnd"/>
      <w:r w:rsidRPr="00F553AE">
        <w:rPr>
          <w:rFonts w:asciiTheme="majorHAnsi" w:hAnsiTheme="majorHAnsi"/>
          <w:sz w:val="24"/>
          <w:szCs w:val="24"/>
        </w:rPr>
        <w:t xml:space="preserve">, soit un taux de financement de 60%. Lors des périodes d’intempéries, les habitants et les services communaux rencontrent des difficultés pour l’accès à certaines zones de la commune et notamment la voie communale </w:t>
      </w:r>
      <w:proofErr w:type="spellStart"/>
      <w:r w:rsidRPr="00F553AE">
        <w:rPr>
          <w:rFonts w:asciiTheme="majorHAnsi" w:hAnsiTheme="majorHAnsi"/>
          <w:sz w:val="24"/>
          <w:szCs w:val="24"/>
        </w:rPr>
        <w:t>Uturaerae</w:t>
      </w:r>
      <w:proofErr w:type="spellEnd"/>
      <w:r w:rsidRPr="00F553AE">
        <w:rPr>
          <w:rFonts w:asciiTheme="majorHAnsi" w:hAnsiTheme="majorHAnsi"/>
          <w:sz w:val="24"/>
          <w:szCs w:val="24"/>
        </w:rPr>
        <w:t xml:space="preserve"> 3. Pour garantir la sécurité, l’accessibilité et la salubrité, la commune souhaite donc effectuer le bétonnage de cette servitude.</w:t>
      </w:r>
    </w:p>
    <w:p w:rsidR="00F553AE" w:rsidRPr="00F553AE" w:rsidRDefault="00F553AE" w:rsidP="00F553AE">
      <w:pPr>
        <w:spacing w:after="80"/>
        <w:jc w:val="both"/>
        <w:rPr>
          <w:rFonts w:asciiTheme="majorHAnsi" w:hAnsiTheme="majorHAnsi"/>
          <w:color w:val="000000" w:themeColor="text1"/>
        </w:rPr>
      </w:pPr>
      <w:r w:rsidRPr="00F553AE">
        <w:rPr>
          <w:rFonts w:asciiTheme="majorHAnsi" w:hAnsiTheme="majorHAnsi"/>
        </w:rPr>
        <w:t>S’agissant de</w:t>
      </w:r>
      <w:r>
        <w:rPr>
          <w:rFonts w:asciiTheme="majorHAnsi" w:hAnsiTheme="majorHAnsi"/>
        </w:rPr>
        <w:t xml:space="preserve">s acquisitions, neuf </w:t>
      </w:r>
      <w:r w:rsidRPr="00F553AE">
        <w:rPr>
          <w:rFonts w:asciiTheme="majorHAnsi" w:hAnsiTheme="majorHAnsi"/>
        </w:rPr>
        <w:t xml:space="preserve">octrois s’élevant au total à 73.393.228 </w:t>
      </w:r>
      <w:proofErr w:type="spellStart"/>
      <w:r w:rsidRPr="00F553AE">
        <w:rPr>
          <w:rFonts w:asciiTheme="majorHAnsi" w:hAnsiTheme="majorHAnsi"/>
        </w:rPr>
        <w:t>F</w:t>
      </w:r>
      <w:r>
        <w:rPr>
          <w:rFonts w:asciiTheme="majorHAnsi" w:hAnsiTheme="majorHAnsi"/>
        </w:rPr>
        <w:t>cfp</w:t>
      </w:r>
      <w:proofErr w:type="spellEnd"/>
      <w:r w:rsidRPr="00F553AE">
        <w:rPr>
          <w:rFonts w:asciiTheme="majorHAnsi" w:hAnsiTheme="majorHAnsi"/>
        </w:rPr>
        <w:t xml:space="preserve"> ont été alloués aux communes d</w:t>
      </w:r>
      <w:r>
        <w:rPr>
          <w:rFonts w:asciiTheme="majorHAnsi" w:hAnsiTheme="majorHAnsi"/>
        </w:rPr>
        <w:t>’</w:t>
      </w:r>
      <w:proofErr w:type="spellStart"/>
      <w:r w:rsidRPr="00F553AE">
        <w:rPr>
          <w:rFonts w:asciiTheme="majorHAnsi" w:hAnsiTheme="majorHAnsi"/>
        </w:rPr>
        <w:t>Arutua</w:t>
      </w:r>
      <w:proofErr w:type="spellEnd"/>
      <w:r w:rsidRPr="00F553AE">
        <w:rPr>
          <w:rFonts w:asciiTheme="majorHAnsi" w:hAnsiTheme="majorHAnsi"/>
        </w:rPr>
        <w:t xml:space="preserve">, </w:t>
      </w:r>
      <w:proofErr w:type="spellStart"/>
      <w:r w:rsidRPr="00F553AE">
        <w:rPr>
          <w:rFonts w:asciiTheme="majorHAnsi" w:hAnsiTheme="majorHAnsi"/>
        </w:rPr>
        <w:t>Fakarava</w:t>
      </w:r>
      <w:proofErr w:type="spellEnd"/>
      <w:r w:rsidRPr="00F553AE">
        <w:rPr>
          <w:rFonts w:asciiTheme="majorHAnsi" w:hAnsiTheme="majorHAnsi"/>
        </w:rPr>
        <w:t xml:space="preserve">, </w:t>
      </w:r>
      <w:proofErr w:type="spellStart"/>
      <w:r w:rsidRPr="00F553AE">
        <w:rPr>
          <w:rFonts w:asciiTheme="majorHAnsi" w:hAnsiTheme="majorHAnsi"/>
        </w:rPr>
        <w:t>Nuku</w:t>
      </w:r>
      <w:proofErr w:type="spellEnd"/>
      <w:r w:rsidRPr="00F553AE">
        <w:rPr>
          <w:rFonts w:asciiTheme="majorHAnsi" w:hAnsiTheme="majorHAnsi"/>
        </w:rPr>
        <w:t xml:space="preserve"> </w:t>
      </w:r>
      <w:proofErr w:type="spellStart"/>
      <w:r w:rsidRPr="00F553AE">
        <w:rPr>
          <w:rFonts w:asciiTheme="majorHAnsi" w:hAnsiTheme="majorHAnsi"/>
        </w:rPr>
        <w:t>Hiva</w:t>
      </w:r>
      <w:proofErr w:type="spellEnd"/>
      <w:r w:rsidRPr="00F553AE">
        <w:rPr>
          <w:rFonts w:asciiTheme="majorHAnsi" w:hAnsiTheme="majorHAnsi"/>
        </w:rPr>
        <w:t xml:space="preserve">, Nukutavake, </w:t>
      </w:r>
      <w:proofErr w:type="spellStart"/>
      <w:r w:rsidRPr="00F553AE">
        <w:rPr>
          <w:rFonts w:asciiTheme="majorHAnsi" w:hAnsiTheme="majorHAnsi"/>
        </w:rPr>
        <w:t>Taputapuatea</w:t>
      </w:r>
      <w:proofErr w:type="spellEnd"/>
      <w:r w:rsidRPr="00F553AE">
        <w:rPr>
          <w:rFonts w:asciiTheme="majorHAnsi" w:hAnsiTheme="majorHAnsi"/>
        </w:rPr>
        <w:t xml:space="preserve"> et </w:t>
      </w:r>
      <w:proofErr w:type="spellStart"/>
      <w:r w:rsidRPr="00F553AE">
        <w:rPr>
          <w:rFonts w:asciiTheme="majorHAnsi" w:hAnsiTheme="majorHAnsi"/>
        </w:rPr>
        <w:t>Tureia</w:t>
      </w:r>
      <w:proofErr w:type="spellEnd"/>
      <w:r w:rsidRPr="00F553AE">
        <w:rPr>
          <w:rFonts w:asciiTheme="majorHAnsi" w:hAnsiTheme="majorHAnsi"/>
        </w:rPr>
        <w:t xml:space="preserve">. Le montant des investissements est évalué à plus de 158 </w:t>
      </w:r>
      <w:r w:rsidRPr="00F553AE">
        <w:rPr>
          <w:rFonts w:asciiTheme="majorHAnsi" w:hAnsiTheme="majorHAnsi"/>
          <w:color w:val="000000" w:themeColor="text1"/>
        </w:rPr>
        <w:t xml:space="preserve">millions </w:t>
      </w:r>
      <w:proofErr w:type="spellStart"/>
      <w:r>
        <w:rPr>
          <w:rFonts w:asciiTheme="majorHAnsi" w:hAnsiTheme="majorHAnsi"/>
          <w:color w:val="000000" w:themeColor="text1"/>
        </w:rPr>
        <w:t>Fcfp</w:t>
      </w:r>
      <w:proofErr w:type="spellEnd"/>
      <w:r w:rsidRPr="00F553AE">
        <w:rPr>
          <w:rFonts w:asciiTheme="majorHAnsi" w:hAnsiTheme="majorHAnsi"/>
          <w:color w:val="000000" w:themeColor="text1"/>
        </w:rPr>
        <w:t>, soit une participation du Pays de près de 47 %.</w:t>
      </w:r>
    </w:p>
    <w:p w:rsidR="00F553AE" w:rsidRPr="00F553AE" w:rsidRDefault="00F553AE" w:rsidP="00F553AE">
      <w:pPr>
        <w:spacing w:after="80"/>
        <w:jc w:val="both"/>
        <w:rPr>
          <w:rFonts w:asciiTheme="majorHAnsi" w:hAnsiTheme="majorHAnsi"/>
          <w:color w:val="000000" w:themeColor="text1"/>
        </w:rPr>
      </w:pPr>
      <w:r>
        <w:rPr>
          <w:rFonts w:asciiTheme="majorHAnsi" w:hAnsiTheme="majorHAnsi"/>
          <w:color w:val="000000" w:themeColor="text1"/>
        </w:rPr>
        <w:t>Trois</w:t>
      </w:r>
      <w:r w:rsidRPr="00F553AE">
        <w:rPr>
          <w:rFonts w:asciiTheme="majorHAnsi" w:hAnsiTheme="majorHAnsi"/>
          <w:color w:val="000000" w:themeColor="text1"/>
        </w:rPr>
        <w:t xml:space="preserve"> groupes électrogènes sont destinés à </w:t>
      </w:r>
      <w:proofErr w:type="spellStart"/>
      <w:r w:rsidRPr="00F553AE">
        <w:rPr>
          <w:rFonts w:asciiTheme="majorHAnsi" w:hAnsiTheme="majorHAnsi"/>
          <w:color w:val="000000" w:themeColor="text1"/>
        </w:rPr>
        <w:t>Fakarava</w:t>
      </w:r>
      <w:proofErr w:type="spellEnd"/>
      <w:r w:rsidRPr="00F553AE">
        <w:rPr>
          <w:rFonts w:asciiTheme="majorHAnsi" w:hAnsiTheme="majorHAnsi"/>
          <w:color w:val="000000" w:themeColor="text1"/>
        </w:rPr>
        <w:t xml:space="preserve"> et </w:t>
      </w:r>
      <w:proofErr w:type="spellStart"/>
      <w:r w:rsidRPr="00F553AE">
        <w:rPr>
          <w:rFonts w:asciiTheme="majorHAnsi" w:hAnsiTheme="majorHAnsi"/>
          <w:color w:val="000000" w:themeColor="text1"/>
        </w:rPr>
        <w:t>Tureia</w:t>
      </w:r>
      <w:proofErr w:type="spellEnd"/>
      <w:r w:rsidRPr="00F553AE">
        <w:rPr>
          <w:rFonts w:asciiTheme="majorHAnsi" w:hAnsiTheme="majorHAnsi"/>
          <w:color w:val="000000" w:themeColor="text1"/>
        </w:rPr>
        <w:t xml:space="preserve"> dans le but d’assurer la continuité de service de fourniture en électricité des communes.</w:t>
      </w:r>
      <w:r>
        <w:rPr>
          <w:rFonts w:asciiTheme="majorHAnsi" w:hAnsiTheme="majorHAnsi"/>
          <w:color w:val="000000" w:themeColor="text1"/>
        </w:rPr>
        <w:t xml:space="preserve"> </w:t>
      </w:r>
      <w:r>
        <w:rPr>
          <w:rFonts w:asciiTheme="majorHAnsi" w:hAnsiTheme="majorHAnsi"/>
        </w:rPr>
        <w:t>Six</w:t>
      </w:r>
      <w:r w:rsidRPr="00F553AE">
        <w:rPr>
          <w:rFonts w:asciiTheme="majorHAnsi" w:hAnsiTheme="majorHAnsi"/>
        </w:rPr>
        <w:t xml:space="preserve"> engins sont destinés aux autres communes concern</w:t>
      </w:r>
      <w:r>
        <w:rPr>
          <w:rFonts w:asciiTheme="majorHAnsi" w:hAnsiTheme="majorHAnsi"/>
        </w:rPr>
        <w:t>a</w:t>
      </w:r>
      <w:r w:rsidRPr="00F553AE">
        <w:rPr>
          <w:rFonts w:asciiTheme="majorHAnsi" w:hAnsiTheme="majorHAnsi"/>
        </w:rPr>
        <w:t>nt les domaines de la sécurité, du broyage des déchets verts et des travaux en tous genres.</w:t>
      </w:r>
    </w:p>
    <w:p w:rsidR="00F553AE" w:rsidRPr="00F553AE" w:rsidRDefault="00F553AE" w:rsidP="00C72B3E">
      <w:pPr>
        <w:spacing w:after="80"/>
        <w:jc w:val="both"/>
        <w:rPr>
          <w:rFonts w:asciiTheme="majorHAnsi" w:hAnsiTheme="majorHAnsi"/>
        </w:rPr>
      </w:pPr>
      <w:r w:rsidRPr="00F553AE">
        <w:rPr>
          <w:rFonts w:asciiTheme="majorHAnsi" w:hAnsiTheme="majorHAnsi"/>
        </w:rPr>
        <w:t xml:space="preserve">Enfin, dans le cadre d’une opération structurante, le Conseil des </w:t>
      </w:r>
      <w:r>
        <w:rPr>
          <w:rFonts w:asciiTheme="majorHAnsi" w:hAnsiTheme="majorHAnsi"/>
        </w:rPr>
        <w:t>m</w:t>
      </w:r>
      <w:r w:rsidRPr="00F553AE">
        <w:rPr>
          <w:rFonts w:asciiTheme="majorHAnsi" w:hAnsiTheme="majorHAnsi"/>
        </w:rPr>
        <w:t xml:space="preserve">inistres a validé un octroi pour une étude portant sur l’électrification de l’atoll de </w:t>
      </w:r>
      <w:proofErr w:type="spellStart"/>
      <w:r w:rsidRPr="00F553AE">
        <w:rPr>
          <w:rFonts w:asciiTheme="majorHAnsi" w:hAnsiTheme="majorHAnsi"/>
        </w:rPr>
        <w:t>Rakara</w:t>
      </w:r>
      <w:proofErr w:type="spellEnd"/>
      <w:r w:rsidRPr="00F553AE">
        <w:rPr>
          <w:rFonts w:asciiTheme="majorHAnsi" w:hAnsiTheme="majorHAnsi"/>
        </w:rPr>
        <w:t xml:space="preserve"> de la commune de </w:t>
      </w:r>
      <w:proofErr w:type="spellStart"/>
      <w:r w:rsidRPr="00F553AE">
        <w:rPr>
          <w:rFonts w:asciiTheme="majorHAnsi" w:hAnsiTheme="majorHAnsi"/>
        </w:rPr>
        <w:t>Fakarava</w:t>
      </w:r>
      <w:proofErr w:type="spellEnd"/>
      <w:r w:rsidRPr="00F553AE">
        <w:rPr>
          <w:rFonts w:asciiTheme="majorHAnsi" w:hAnsiTheme="majorHAnsi"/>
        </w:rPr>
        <w:t xml:space="preserve">. A l’instar des travaux prévus par la commune de </w:t>
      </w:r>
      <w:proofErr w:type="spellStart"/>
      <w:r w:rsidRPr="00F553AE">
        <w:rPr>
          <w:rFonts w:asciiTheme="majorHAnsi" w:hAnsiTheme="majorHAnsi"/>
        </w:rPr>
        <w:t>Makemo</w:t>
      </w:r>
      <w:proofErr w:type="spellEnd"/>
      <w:r w:rsidRPr="00F553AE">
        <w:rPr>
          <w:rFonts w:asciiTheme="majorHAnsi" w:hAnsiTheme="majorHAnsi"/>
        </w:rPr>
        <w:t xml:space="preserve"> sur l’atoll de </w:t>
      </w:r>
      <w:proofErr w:type="spellStart"/>
      <w:r w:rsidRPr="00F553AE">
        <w:rPr>
          <w:rFonts w:asciiTheme="majorHAnsi" w:hAnsiTheme="majorHAnsi"/>
        </w:rPr>
        <w:t>Takume</w:t>
      </w:r>
      <w:proofErr w:type="spellEnd"/>
      <w:r w:rsidRPr="00F553AE">
        <w:rPr>
          <w:rFonts w:asciiTheme="majorHAnsi" w:hAnsiTheme="majorHAnsi"/>
        </w:rPr>
        <w:t xml:space="preserve">, l’opération à venir permettra à l’atoll de </w:t>
      </w:r>
      <w:proofErr w:type="spellStart"/>
      <w:r w:rsidRPr="00F553AE">
        <w:rPr>
          <w:rFonts w:asciiTheme="majorHAnsi" w:hAnsiTheme="majorHAnsi"/>
        </w:rPr>
        <w:t>Raraka</w:t>
      </w:r>
      <w:proofErr w:type="spellEnd"/>
      <w:r w:rsidRPr="00F553AE">
        <w:rPr>
          <w:rFonts w:asciiTheme="majorHAnsi" w:hAnsiTheme="majorHAnsi"/>
        </w:rPr>
        <w:t xml:space="preserve"> de bénéficier de sa propre production et distribution d’électricité. L’étude de tranche conditionnelle est évaluée à près de 7 millions </w:t>
      </w:r>
      <w:proofErr w:type="spellStart"/>
      <w:r>
        <w:rPr>
          <w:rFonts w:asciiTheme="majorHAnsi" w:hAnsiTheme="majorHAnsi"/>
        </w:rPr>
        <w:t>Fcfp</w:t>
      </w:r>
      <w:proofErr w:type="spellEnd"/>
      <w:r>
        <w:rPr>
          <w:rFonts w:asciiTheme="majorHAnsi" w:hAnsiTheme="majorHAnsi"/>
        </w:rPr>
        <w:t xml:space="preserve"> </w:t>
      </w:r>
      <w:r w:rsidRPr="00F553AE">
        <w:rPr>
          <w:rFonts w:asciiTheme="majorHAnsi" w:hAnsiTheme="majorHAnsi"/>
        </w:rPr>
        <w:t xml:space="preserve">avec une participation du Pays d’environ 5,5 millions </w:t>
      </w:r>
      <w:proofErr w:type="spellStart"/>
      <w:r>
        <w:rPr>
          <w:rFonts w:asciiTheme="majorHAnsi" w:hAnsiTheme="majorHAnsi"/>
        </w:rPr>
        <w:t>Fcfp</w:t>
      </w:r>
      <w:proofErr w:type="spellEnd"/>
      <w:r w:rsidRPr="00F553AE">
        <w:rPr>
          <w:rFonts w:asciiTheme="majorHAnsi" w:hAnsiTheme="majorHAnsi"/>
        </w:rPr>
        <w:t>, soit une participation de 60%.</w:t>
      </w:r>
      <w:r w:rsidR="00C72B3E">
        <w:rPr>
          <w:rFonts w:asciiTheme="majorHAnsi" w:hAnsiTheme="majorHAnsi"/>
        </w:rPr>
        <w:t xml:space="preserve"> </w:t>
      </w:r>
      <w:r w:rsidRPr="00F553AE">
        <w:rPr>
          <w:rFonts w:asciiTheme="majorHAnsi" w:hAnsiTheme="majorHAnsi"/>
        </w:rPr>
        <w:t xml:space="preserve">Les soutiens du Pays au profit des investissements communaux de l’ensemble des archipels sont </w:t>
      </w:r>
      <w:r w:rsidR="00C72B3E">
        <w:rPr>
          <w:rFonts w:asciiTheme="majorHAnsi" w:hAnsiTheme="majorHAnsi"/>
        </w:rPr>
        <w:t>donc aussi bien</w:t>
      </w:r>
      <w:r w:rsidRPr="00F553AE">
        <w:rPr>
          <w:rFonts w:asciiTheme="majorHAnsi" w:hAnsiTheme="majorHAnsi"/>
        </w:rPr>
        <w:t xml:space="preserve"> constants</w:t>
      </w:r>
      <w:r w:rsidR="00C72B3E">
        <w:rPr>
          <w:rFonts w:asciiTheme="majorHAnsi" w:hAnsiTheme="majorHAnsi"/>
        </w:rPr>
        <w:t xml:space="preserve"> qu’importants</w:t>
      </w:r>
      <w:r w:rsidRPr="00F553AE">
        <w:rPr>
          <w:rFonts w:asciiTheme="majorHAnsi" w:hAnsiTheme="majorHAnsi"/>
        </w:rPr>
        <w:t>.</w:t>
      </w:r>
    </w:p>
    <w:p w:rsidR="00F553AE" w:rsidRPr="00F553AE" w:rsidRDefault="00F553AE" w:rsidP="00F553AE">
      <w:pPr>
        <w:spacing w:after="80"/>
        <w:ind w:firstLine="993"/>
        <w:jc w:val="both"/>
        <w:rPr>
          <w:rFonts w:ascii="Cambria" w:hAnsi="Cambria"/>
        </w:rPr>
      </w:pPr>
    </w:p>
    <w:p w:rsidR="00F553AE" w:rsidRPr="00F553AE" w:rsidRDefault="00F553AE" w:rsidP="00F553AE">
      <w:pPr>
        <w:spacing w:after="80"/>
        <w:ind w:firstLine="993"/>
        <w:jc w:val="both"/>
        <w:rPr>
          <w:rFonts w:ascii="Cambria" w:hAnsi="Cambria"/>
        </w:rPr>
      </w:pPr>
    </w:p>
    <w:p w:rsidR="00F553AE" w:rsidRPr="00F553AE" w:rsidRDefault="00F553AE" w:rsidP="00F553AE">
      <w:pPr>
        <w:rPr>
          <w:rFonts w:ascii="Cambria" w:hAnsi="Cambria"/>
          <w:b/>
        </w:rPr>
      </w:pPr>
      <w:r w:rsidRPr="00F553AE">
        <w:rPr>
          <w:rFonts w:ascii="Cambria" w:hAnsi="Cambria"/>
          <w:b/>
        </w:rPr>
        <w:t>Démission d’office du président de l’Autorité polynésienne de la concurrence</w:t>
      </w:r>
    </w:p>
    <w:p w:rsidR="00F553AE" w:rsidRPr="00F553AE" w:rsidRDefault="00F553AE" w:rsidP="00F553AE">
      <w:pPr>
        <w:rPr>
          <w:rFonts w:ascii="Cambria" w:hAnsi="Cambria"/>
        </w:rPr>
      </w:pPr>
    </w:p>
    <w:p w:rsidR="00F553AE" w:rsidRDefault="00F553AE" w:rsidP="00F553AE">
      <w:pPr>
        <w:jc w:val="both"/>
        <w:rPr>
          <w:rFonts w:ascii="Cambria" w:hAnsi="Cambria"/>
        </w:rPr>
      </w:pPr>
      <w:r w:rsidRPr="00F553AE">
        <w:rPr>
          <w:rFonts w:ascii="Cambria" w:hAnsi="Cambria"/>
        </w:rPr>
        <w:t>Le président de la Polynésie française a été saisi le 12 juin dernier par les membres non permanents du collège de l’Autorité polynésienne de la concurrence (APC) d’une demande de démission d’office du président de cette autorité administrative indépendante.</w:t>
      </w:r>
    </w:p>
    <w:p w:rsidR="00F553AE" w:rsidRPr="00F553AE" w:rsidRDefault="00F553AE" w:rsidP="00F553AE">
      <w:pPr>
        <w:jc w:val="both"/>
        <w:rPr>
          <w:rFonts w:ascii="Cambria" w:hAnsi="Cambria"/>
        </w:rPr>
      </w:pPr>
    </w:p>
    <w:p w:rsidR="00F553AE" w:rsidRDefault="00F553AE" w:rsidP="00F553AE">
      <w:pPr>
        <w:jc w:val="both"/>
        <w:rPr>
          <w:rFonts w:ascii="Cambria" w:hAnsi="Cambria"/>
        </w:rPr>
      </w:pPr>
      <w:r w:rsidRPr="00F553AE">
        <w:rPr>
          <w:rFonts w:ascii="Cambria" w:hAnsi="Cambria"/>
        </w:rPr>
        <w:t>Dans son rapport à l’appui de sa demande, le collège de l’APC a fait état d’un certain nombre de manquements du président au regard des obligations des règles déontologiques et de son devoir de réserve.</w:t>
      </w:r>
    </w:p>
    <w:p w:rsidR="00F553AE" w:rsidRPr="00F553AE" w:rsidRDefault="00F553AE" w:rsidP="00F553AE">
      <w:pPr>
        <w:jc w:val="both"/>
        <w:rPr>
          <w:rFonts w:ascii="Cambria" w:hAnsi="Cambria"/>
        </w:rPr>
      </w:pPr>
    </w:p>
    <w:p w:rsidR="00F553AE" w:rsidRDefault="00F553AE" w:rsidP="00F553AE">
      <w:pPr>
        <w:jc w:val="both"/>
        <w:rPr>
          <w:rFonts w:ascii="Cambria" w:hAnsi="Cambria"/>
        </w:rPr>
      </w:pPr>
      <w:r w:rsidRPr="00F553AE">
        <w:rPr>
          <w:rFonts w:ascii="Cambria" w:hAnsi="Cambria"/>
        </w:rPr>
        <w:lastRenderedPageBreak/>
        <w:t>Par ailleurs, la Cour d’appel de Paris a fait droit le 29 juillet dernier à la requête en suspicion légitime déposée par un groupe commercial polynésien en raison du comportement du président de l’APC.</w:t>
      </w:r>
    </w:p>
    <w:p w:rsidR="00467EC1" w:rsidRPr="00F553AE" w:rsidRDefault="00467EC1" w:rsidP="00F553AE">
      <w:pPr>
        <w:jc w:val="both"/>
        <w:rPr>
          <w:rFonts w:ascii="Cambria" w:hAnsi="Cambria"/>
        </w:rPr>
      </w:pPr>
    </w:p>
    <w:p w:rsidR="00F553AE" w:rsidRDefault="00F553AE" w:rsidP="00F553AE">
      <w:pPr>
        <w:jc w:val="both"/>
        <w:rPr>
          <w:rFonts w:ascii="Cambria" w:hAnsi="Cambria"/>
        </w:rPr>
      </w:pPr>
      <w:r w:rsidRPr="00F553AE">
        <w:rPr>
          <w:rFonts w:ascii="Cambria" w:hAnsi="Cambria"/>
        </w:rPr>
        <w:t>Au regard des éléments du dossier, et après que l’intéressé ait été entendu, le président de la Polynésie française a décidé de donner suite à la demande du collège et a prononcé en conséquence la démission d’office du président de l’APC à compter du 4 août 2020.</w:t>
      </w:r>
    </w:p>
    <w:p w:rsidR="00F553AE" w:rsidRPr="00F553AE" w:rsidRDefault="00F553AE" w:rsidP="00F553AE">
      <w:pPr>
        <w:jc w:val="both"/>
        <w:rPr>
          <w:rFonts w:ascii="Cambria" w:hAnsi="Cambria"/>
        </w:rPr>
      </w:pPr>
    </w:p>
    <w:p w:rsidR="00F553AE" w:rsidRDefault="00F553AE" w:rsidP="00F553AE">
      <w:pPr>
        <w:jc w:val="both"/>
        <w:rPr>
          <w:rFonts w:ascii="Cambria" w:hAnsi="Cambria"/>
        </w:rPr>
      </w:pPr>
      <w:r w:rsidRPr="00F553AE">
        <w:rPr>
          <w:rFonts w:ascii="Cambria" w:hAnsi="Cambria"/>
        </w:rPr>
        <w:t xml:space="preserve">A titre transitoire, et en application du code de la concurrence, l’intérim de la présidence sera assuré par Christian </w:t>
      </w:r>
      <w:proofErr w:type="spellStart"/>
      <w:r w:rsidRPr="00F553AE">
        <w:rPr>
          <w:rFonts w:ascii="Cambria" w:hAnsi="Cambria"/>
        </w:rPr>
        <w:t>Montet</w:t>
      </w:r>
      <w:proofErr w:type="spellEnd"/>
      <w:r w:rsidRPr="00F553AE">
        <w:rPr>
          <w:rFonts w:ascii="Cambria" w:hAnsi="Cambria"/>
        </w:rPr>
        <w:t>, plus ancien membre du collège dans la fonction.</w:t>
      </w:r>
    </w:p>
    <w:p w:rsidR="00C72B3E" w:rsidRDefault="00C72B3E" w:rsidP="00F553AE">
      <w:pPr>
        <w:jc w:val="both"/>
        <w:rPr>
          <w:rFonts w:ascii="Cambria" w:hAnsi="Cambria"/>
        </w:rPr>
      </w:pPr>
    </w:p>
    <w:p w:rsidR="00467EC1" w:rsidRDefault="00467EC1" w:rsidP="00467EC1">
      <w:pPr>
        <w:pStyle w:val="-LettreObjetGEDA"/>
        <w:ind w:left="0" w:firstLine="0"/>
        <w:rPr>
          <w:rFonts w:ascii="Cambria" w:hAnsi="Cambria"/>
          <w:b/>
          <w:bCs/>
          <w:sz w:val="20"/>
        </w:rPr>
      </w:pPr>
      <w:r>
        <w:rPr>
          <w:rFonts w:ascii="Cambria" w:hAnsi="Cambria"/>
          <w:b/>
          <w:bCs/>
        </w:rPr>
        <w:t>Moody’s conclue la revue des notations de la Polynésie française pour le premier semestre 2020 </w:t>
      </w:r>
    </w:p>
    <w:p w:rsidR="00467EC1" w:rsidRDefault="00467EC1" w:rsidP="00467EC1">
      <w:pPr>
        <w:pStyle w:val="-LettreObjetGEDA"/>
        <w:ind w:left="0" w:firstLine="0"/>
        <w:rPr>
          <w:rFonts w:ascii="Cambria" w:hAnsi="Cambria"/>
          <w:b/>
          <w:bCs/>
        </w:rPr>
      </w:pPr>
      <w:r>
        <w:rPr>
          <w:rFonts w:ascii="Cambria" w:hAnsi="Cambria"/>
          <w:b/>
          <w:bCs/>
        </w:rPr>
        <w:br/>
      </w:r>
      <w:r>
        <w:rPr>
          <w:rFonts w:ascii="Cambria" w:hAnsi="Cambria"/>
        </w:rPr>
        <w:t>Le Vice-président de la Polynésie française a présenté au Conseil des ministres le communiqué de l’agence de notation « Moody’s Investors Service » du 21 juillet dernier qui conclue la revue périodique des notations de la Polynésie française pour le premier semestre 2020.</w:t>
      </w:r>
    </w:p>
    <w:p w:rsidR="00467EC1" w:rsidRDefault="00467EC1" w:rsidP="00467EC1">
      <w:pPr>
        <w:pStyle w:val="-LettreSuiteORefPJGEDA"/>
        <w:spacing w:before="120"/>
        <w:ind w:left="0"/>
        <w:rPr>
          <w:rFonts w:ascii="Cambria" w:hAnsi="Cambria"/>
        </w:rPr>
      </w:pPr>
      <w:r>
        <w:rPr>
          <w:rFonts w:ascii="Cambria" w:hAnsi="Cambria"/>
        </w:rPr>
        <w:t>Cette publication fait la synthèse des différentes revues qui ont eu lieu durant la première période. Les éléments clés de la note de profil de crédit A3, avec perspective stable ont été ainsi résumés :</w:t>
      </w:r>
    </w:p>
    <w:p w:rsidR="00467EC1" w:rsidRDefault="00467EC1" w:rsidP="00467EC1">
      <w:pPr>
        <w:pStyle w:val="-LettreSuiteORefPJGEDA"/>
        <w:numPr>
          <w:ilvl w:val="0"/>
          <w:numId w:val="40"/>
        </w:numPr>
        <w:adjustRightInd/>
        <w:spacing w:before="120"/>
        <w:textAlignment w:val="auto"/>
        <w:rPr>
          <w:rFonts w:ascii="Cambria" w:hAnsi="Cambria"/>
        </w:rPr>
      </w:pPr>
      <w:r>
        <w:rPr>
          <w:rFonts w:ascii="Cambria" w:hAnsi="Cambria"/>
        </w:rPr>
        <w:t>une solide performance opérationnelle malgré les effets de la crise Covid-19 ;</w:t>
      </w:r>
    </w:p>
    <w:p w:rsidR="00467EC1" w:rsidRDefault="00467EC1" w:rsidP="00467EC1">
      <w:pPr>
        <w:pStyle w:val="-LettreSuiteORefPJGEDA"/>
        <w:numPr>
          <w:ilvl w:val="0"/>
          <w:numId w:val="40"/>
        </w:numPr>
        <w:adjustRightInd/>
        <w:spacing w:before="120"/>
        <w:textAlignment w:val="auto"/>
        <w:rPr>
          <w:rFonts w:ascii="Cambria" w:hAnsi="Cambria"/>
        </w:rPr>
      </w:pPr>
      <w:r>
        <w:rPr>
          <w:rFonts w:ascii="Cambria" w:hAnsi="Cambria"/>
        </w:rPr>
        <w:t>le maintien par le gouvernement de ses engagements en faveur de la consolidation budgétaire et de gestion de la dette, malgré la crise sanitaire et économique ;</w:t>
      </w:r>
    </w:p>
    <w:p w:rsidR="00467EC1" w:rsidRDefault="00467EC1" w:rsidP="00467EC1">
      <w:pPr>
        <w:pStyle w:val="-LettreSuiteORefPJGEDA"/>
        <w:numPr>
          <w:ilvl w:val="0"/>
          <w:numId w:val="40"/>
        </w:numPr>
        <w:adjustRightInd/>
        <w:spacing w:before="120"/>
        <w:textAlignment w:val="auto"/>
        <w:rPr>
          <w:rFonts w:ascii="Cambria" w:hAnsi="Cambria"/>
        </w:rPr>
      </w:pPr>
      <w:r>
        <w:rPr>
          <w:rFonts w:ascii="Cambria" w:hAnsi="Cambria"/>
        </w:rPr>
        <w:t>la possibilité d’un soutien exceptionnel de l’Etat en cas de crise de liquidité ;</w:t>
      </w:r>
    </w:p>
    <w:p w:rsidR="00467EC1" w:rsidRDefault="00467EC1" w:rsidP="00467EC1">
      <w:pPr>
        <w:pStyle w:val="-LettreSuiteORefPJGEDA"/>
        <w:numPr>
          <w:ilvl w:val="0"/>
          <w:numId w:val="40"/>
        </w:numPr>
        <w:adjustRightInd/>
        <w:spacing w:before="120"/>
        <w:textAlignment w:val="auto"/>
        <w:rPr>
          <w:rFonts w:ascii="Cambria" w:hAnsi="Cambria"/>
        </w:rPr>
      </w:pPr>
      <w:r>
        <w:rPr>
          <w:rFonts w:ascii="Cambria" w:hAnsi="Cambria"/>
        </w:rPr>
        <w:t>une économie et des indicateurs socio-démographiques encore fragiles.</w:t>
      </w:r>
    </w:p>
    <w:p w:rsidR="00467EC1" w:rsidRDefault="00467EC1" w:rsidP="00467EC1">
      <w:pPr>
        <w:pStyle w:val="-LettreSuiteORefPJGEDA"/>
        <w:spacing w:before="120"/>
        <w:ind w:left="0"/>
        <w:rPr>
          <w:rFonts w:ascii="Cambria" w:hAnsi="Cambria"/>
        </w:rPr>
      </w:pPr>
      <w:r>
        <w:rPr>
          <w:rFonts w:ascii="Cambria" w:hAnsi="Cambria"/>
        </w:rPr>
        <w:t xml:space="preserve">La prochaine notation devrait intervenir durant le dernier trimestre 2020. </w:t>
      </w:r>
    </w:p>
    <w:p w:rsidR="00C72B3E" w:rsidRDefault="00C72B3E" w:rsidP="00C72B3E">
      <w:pPr>
        <w:pStyle w:val="-LettreSuiteORefPJGEDA"/>
        <w:spacing w:before="120"/>
        <w:ind w:left="0"/>
        <w:rPr>
          <w:noProof w:val="0"/>
        </w:rPr>
      </w:pPr>
    </w:p>
    <w:p w:rsidR="00C72B3E" w:rsidRPr="00DA6DE1" w:rsidRDefault="00DA6DE1" w:rsidP="00C72B3E">
      <w:pPr>
        <w:pStyle w:val="-LettreObjetGEDA"/>
        <w:tabs>
          <w:tab w:val="left" w:pos="709"/>
        </w:tabs>
        <w:spacing w:before="120"/>
        <w:ind w:left="0" w:firstLine="0"/>
        <w:rPr>
          <w:rFonts w:ascii="Cambria" w:hAnsi="Cambria"/>
          <w:b/>
        </w:rPr>
      </w:pPr>
      <w:r w:rsidRPr="00DA6DE1">
        <w:rPr>
          <w:rFonts w:ascii="Cambria" w:hAnsi="Cambria"/>
          <w:b/>
          <w:szCs w:val="24"/>
        </w:rPr>
        <w:t>A</w:t>
      </w:r>
      <w:r w:rsidR="00C72B3E" w:rsidRPr="00DA6DE1">
        <w:rPr>
          <w:rFonts w:ascii="Cambria" w:hAnsi="Cambria"/>
          <w:b/>
          <w:szCs w:val="24"/>
        </w:rPr>
        <w:t>rrêtés d’application de la nouvelle taxe sur les extractions minières</w:t>
      </w:r>
    </w:p>
    <w:p w:rsidR="00C72B3E" w:rsidRPr="00DA6DE1" w:rsidRDefault="00C72B3E" w:rsidP="00C72B3E">
      <w:pPr>
        <w:pStyle w:val="-LettreObjetGEDA"/>
        <w:tabs>
          <w:tab w:val="left" w:pos="709"/>
        </w:tabs>
        <w:spacing w:before="120"/>
        <w:ind w:left="0" w:firstLine="851"/>
        <w:rPr>
          <w:rFonts w:ascii="Cambria" w:hAnsi="Cambria"/>
        </w:rPr>
      </w:pPr>
    </w:p>
    <w:p w:rsidR="00C72B3E" w:rsidRPr="00DA6DE1" w:rsidRDefault="00C72B3E" w:rsidP="00DA6DE1">
      <w:pPr>
        <w:pStyle w:val="-LettreObjetGEDA"/>
        <w:tabs>
          <w:tab w:val="left" w:pos="709"/>
        </w:tabs>
        <w:spacing w:before="120"/>
        <w:ind w:left="0" w:firstLine="0"/>
        <w:rPr>
          <w:rFonts w:ascii="Cambria" w:hAnsi="Cambria"/>
        </w:rPr>
      </w:pPr>
      <w:r w:rsidRPr="00DA6DE1">
        <w:rPr>
          <w:rFonts w:ascii="Cambria" w:hAnsi="Cambria"/>
        </w:rPr>
        <w:t>Le Vice-président de la Polynésie française</w:t>
      </w:r>
      <w:r w:rsidR="00DA6DE1" w:rsidRPr="00DA6DE1">
        <w:rPr>
          <w:rFonts w:ascii="Cambria" w:hAnsi="Cambria"/>
        </w:rPr>
        <w:t xml:space="preserve"> </w:t>
      </w:r>
      <w:r w:rsidRPr="00DA6DE1">
        <w:rPr>
          <w:rFonts w:ascii="Cambria" w:hAnsi="Cambria"/>
        </w:rPr>
        <w:t xml:space="preserve">a présenté au Conseil des </w:t>
      </w:r>
      <w:r w:rsidR="00DA6DE1" w:rsidRPr="00DA6DE1">
        <w:rPr>
          <w:rFonts w:ascii="Cambria" w:hAnsi="Cambria"/>
        </w:rPr>
        <w:t>m</w:t>
      </w:r>
      <w:r w:rsidRPr="00DA6DE1">
        <w:rPr>
          <w:rFonts w:ascii="Cambria" w:hAnsi="Cambria"/>
        </w:rPr>
        <w:t>inistres les arrêtés d’application de la nouvelle Taxe sur les Extractions Minières (TEM), votée par l’Assemblée de la Polynésie française fin 2019.</w:t>
      </w:r>
    </w:p>
    <w:p w:rsidR="00C72B3E" w:rsidRPr="00DA6DE1" w:rsidRDefault="00C72B3E" w:rsidP="00DA6DE1">
      <w:pPr>
        <w:pStyle w:val="-LettreObjetGEDA"/>
        <w:tabs>
          <w:tab w:val="left" w:pos="709"/>
        </w:tabs>
        <w:spacing w:before="120"/>
        <w:ind w:left="0" w:firstLine="0"/>
        <w:rPr>
          <w:rFonts w:ascii="Cambria" w:hAnsi="Cambria"/>
        </w:rPr>
      </w:pPr>
      <w:r w:rsidRPr="00DA6DE1">
        <w:rPr>
          <w:rFonts w:ascii="Cambria" w:hAnsi="Cambria"/>
        </w:rPr>
        <w:t xml:space="preserve">Ces arrêtés fixent les taux définitifs de la taxe, </w:t>
      </w:r>
      <w:r w:rsidR="00DA6DE1">
        <w:rPr>
          <w:rFonts w:ascii="Cambria" w:hAnsi="Cambria"/>
        </w:rPr>
        <w:t>en fonction</w:t>
      </w:r>
      <w:r w:rsidRPr="00DA6DE1">
        <w:rPr>
          <w:rFonts w:ascii="Cambria" w:hAnsi="Cambria"/>
        </w:rPr>
        <w:t xml:space="preserve"> de la quantité et du type de de matériaux extraits, ainsi que les formulaires de déclarations que les contribuables devront utiliser.</w:t>
      </w:r>
    </w:p>
    <w:p w:rsidR="00C72B3E" w:rsidRPr="00DA6DE1" w:rsidRDefault="00C72B3E" w:rsidP="00DA6DE1">
      <w:pPr>
        <w:pStyle w:val="-LettreObjetGEDA"/>
        <w:tabs>
          <w:tab w:val="left" w:pos="709"/>
        </w:tabs>
        <w:spacing w:before="120"/>
        <w:ind w:left="0" w:firstLine="0"/>
        <w:rPr>
          <w:rFonts w:ascii="Cambria" w:hAnsi="Cambria"/>
        </w:rPr>
      </w:pPr>
      <w:r w:rsidRPr="00DA6DE1">
        <w:rPr>
          <w:rFonts w:ascii="Cambria" w:hAnsi="Cambria"/>
        </w:rPr>
        <w:t>Pour rappel, cette nouvelle taxe, spécifique à l’extraction minière, poursuit l’objectif d’assurer une meilleure redistribution des richesses, notamment via la possibilité pour les communes sur lesquelles ces activités sont exercées d’instaurer des « centimes additionnels » sur cette taxe, qui viendront abonder leur budget communal.</w:t>
      </w:r>
    </w:p>
    <w:p w:rsidR="00C72B3E" w:rsidRPr="00DA6DE1" w:rsidRDefault="00C72B3E" w:rsidP="00C72B3E">
      <w:pPr>
        <w:pStyle w:val="-LettreObjetGEDA"/>
        <w:tabs>
          <w:tab w:val="left" w:pos="709"/>
        </w:tabs>
        <w:spacing w:before="120"/>
        <w:ind w:left="0" w:firstLine="851"/>
        <w:rPr>
          <w:rFonts w:ascii="Cambria" w:hAnsi="Cambria"/>
        </w:rPr>
      </w:pPr>
    </w:p>
    <w:p w:rsidR="00467EC1" w:rsidRPr="00467EC1" w:rsidRDefault="00467EC1" w:rsidP="00467EC1">
      <w:pPr>
        <w:pStyle w:val="-LettreTexteGEDA"/>
        <w:spacing w:before="0"/>
        <w:ind w:firstLine="0"/>
        <w:rPr>
          <w:rFonts w:ascii="Cambria" w:hAnsi="Cambria"/>
          <w:b/>
          <w:bCs/>
          <w:szCs w:val="24"/>
        </w:rPr>
      </w:pPr>
      <w:r w:rsidRPr="00467EC1">
        <w:rPr>
          <w:rFonts w:ascii="Cambria" w:hAnsi="Cambria"/>
          <w:b/>
          <w:bCs/>
          <w:szCs w:val="24"/>
        </w:rPr>
        <w:t>Kit de communication sur la perliculture</w:t>
      </w:r>
    </w:p>
    <w:p w:rsidR="00467EC1" w:rsidRPr="00467EC1" w:rsidRDefault="00467EC1" w:rsidP="00467EC1">
      <w:pPr>
        <w:pStyle w:val="-LettreTexteGEDA"/>
        <w:spacing w:before="0"/>
        <w:ind w:firstLine="0"/>
        <w:rPr>
          <w:rFonts w:ascii="Cambria" w:hAnsi="Cambria"/>
          <w:szCs w:val="24"/>
        </w:rPr>
      </w:pPr>
    </w:p>
    <w:p w:rsidR="00467EC1" w:rsidRPr="00467EC1" w:rsidRDefault="00467EC1" w:rsidP="00467EC1">
      <w:pPr>
        <w:pStyle w:val="-LettreTexteGEDA"/>
        <w:ind w:firstLine="0"/>
        <w:rPr>
          <w:rFonts w:ascii="Cambria" w:hAnsi="Cambria"/>
          <w:szCs w:val="24"/>
        </w:rPr>
      </w:pPr>
      <w:r w:rsidRPr="00467EC1">
        <w:rPr>
          <w:rFonts w:ascii="Cambria" w:hAnsi="Cambria"/>
          <w:szCs w:val="24"/>
        </w:rPr>
        <w:t xml:space="preserve">En 2018, la Direction des Ressources Marines (DRM) a édité huit « Fiches des métiers de la perliculture » à destination des professionnels du secteur. </w:t>
      </w:r>
    </w:p>
    <w:p w:rsidR="00467EC1" w:rsidRPr="00467EC1" w:rsidRDefault="00467EC1" w:rsidP="00467EC1">
      <w:pPr>
        <w:pStyle w:val="-LettreTexteGEDA"/>
        <w:ind w:firstLine="0"/>
        <w:rPr>
          <w:rFonts w:ascii="Cambria" w:hAnsi="Cambria"/>
          <w:szCs w:val="24"/>
        </w:rPr>
      </w:pPr>
      <w:r w:rsidRPr="00467EC1">
        <w:rPr>
          <w:rFonts w:ascii="Cambria" w:hAnsi="Cambria"/>
          <w:szCs w:val="24"/>
        </w:rPr>
        <w:t xml:space="preserve">Ces fiches présentaient de manière synthétique les caractéristiques et démarches à suivre pour chaque activité liée aux métiers de la perliculture. </w:t>
      </w:r>
    </w:p>
    <w:p w:rsidR="00467EC1" w:rsidRPr="00467EC1" w:rsidRDefault="00467EC1" w:rsidP="00467EC1">
      <w:pPr>
        <w:pStyle w:val="-LettreTexteGEDA"/>
        <w:ind w:firstLine="0"/>
        <w:rPr>
          <w:rFonts w:ascii="Cambria" w:hAnsi="Cambria"/>
          <w:szCs w:val="24"/>
        </w:rPr>
      </w:pPr>
      <w:r w:rsidRPr="00467EC1">
        <w:rPr>
          <w:rFonts w:ascii="Cambria" w:hAnsi="Cambria"/>
          <w:szCs w:val="24"/>
        </w:rPr>
        <w:t xml:space="preserve">Afin d’améliorer l’information à destination des perliculteurs, sept nouvelles fiches techniques ont été réalisées et présentent les thématiques suivantes : </w:t>
      </w:r>
    </w:p>
    <w:p w:rsidR="00467EC1" w:rsidRPr="00467EC1" w:rsidRDefault="00467EC1" w:rsidP="00467EC1">
      <w:pPr>
        <w:pStyle w:val="-LettreTexteGEDA"/>
        <w:rPr>
          <w:rFonts w:ascii="Cambria" w:hAnsi="Cambria"/>
          <w:szCs w:val="24"/>
        </w:rPr>
      </w:pPr>
    </w:p>
    <w:p w:rsidR="00467EC1" w:rsidRPr="00467EC1" w:rsidRDefault="00467EC1" w:rsidP="00467EC1">
      <w:pPr>
        <w:pStyle w:val="Paragraphedeliste"/>
        <w:numPr>
          <w:ilvl w:val="0"/>
          <w:numId w:val="41"/>
        </w:numPr>
        <w:spacing w:after="0" w:line="240" w:lineRule="auto"/>
        <w:rPr>
          <w:rFonts w:ascii="Cambria" w:hAnsi="Cambria"/>
          <w:sz w:val="24"/>
          <w:szCs w:val="24"/>
        </w:rPr>
      </w:pPr>
      <w:r w:rsidRPr="00467EC1">
        <w:rPr>
          <w:rFonts w:ascii="Cambria" w:hAnsi="Cambria"/>
          <w:sz w:val="24"/>
          <w:szCs w:val="24"/>
        </w:rPr>
        <w:t>Le Conseil de la perliculture</w:t>
      </w:r>
    </w:p>
    <w:p w:rsidR="00467EC1" w:rsidRPr="00467EC1" w:rsidRDefault="00467EC1" w:rsidP="00467EC1">
      <w:pPr>
        <w:pStyle w:val="Paragraphedeliste"/>
        <w:numPr>
          <w:ilvl w:val="0"/>
          <w:numId w:val="41"/>
        </w:numPr>
        <w:spacing w:after="0" w:line="240" w:lineRule="auto"/>
        <w:rPr>
          <w:rFonts w:ascii="Cambria" w:hAnsi="Cambria"/>
          <w:sz w:val="24"/>
          <w:szCs w:val="24"/>
        </w:rPr>
      </w:pPr>
      <w:r w:rsidRPr="00467EC1">
        <w:rPr>
          <w:rFonts w:ascii="Cambria" w:hAnsi="Cambria"/>
          <w:sz w:val="24"/>
          <w:szCs w:val="24"/>
        </w:rPr>
        <w:t>Les Comités de gestion décentralisés</w:t>
      </w:r>
    </w:p>
    <w:p w:rsidR="00467EC1" w:rsidRPr="00467EC1" w:rsidRDefault="00467EC1" w:rsidP="00467EC1">
      <w:pPr>
        <w:pStyle w:val="Paragraphedeliste"/>
        <w:numPr>
          <w:ilvl w:val="0"/>
          <w:numId w:val="41"/>
        </w:numPr>
        <w:spacing w:after="0" w:line="240" w:lineRule="auto"/>
        <w:rPr>
          <w:rFonts w:ascii="Cambria" w:hAnsi="Cambria"/>
          <w:sz w:val="24"/>
          <w:szCs w:val="24"/>
        </w:rPr>
      </w:pPr>
      <w:r w:rsidRPr="00467EC1">
        <w:rPr>
          <w:rFonts w:ascii="Cambria" w:hAnsi="Cambria"/>
          <w:sz w:val="24"/>
          <w:szCs w:val="24"/>
        </w:rPr>
        <w:t>Obligations déclaratives des professionnels</w:t>
      </w:r>
    </w:p>
    <w:p w:rsidR="00467EC1" w:rsidRPr="00467EC1" w:rsidRDefault="00467EC1" w:rsidP="00467EC1">
      <w:pPr>
        <w:pStyle w:val="Paragraphedeliste"/>
        <w:numPr>
          <w:ilvl w:val="0"/>
          <w:numId w:val="41"/>
        </w:numPr>
        <w:spacing w:after="0" w:line="240" w:lineRule="auto"/>
        <w:rPr>
          <w:rFonts w:ascii="Cambria" w:hAnsi="Cambria"/>
          <w:sz w:val="24"/>
          <w:szCs w:val="24"/>
        </w:rPr>
      </w:pPr>
      <w:r w:rsidRPr="00467EC1">
        <w:rPr>
          <w:rFonts w:ascii="Cambria" w:hAnsi="Cambria"/>
          <w:sz w:val="24"/>
          <w:szCs w:val="24"/>
        </w:rPr>
        <w:t>Procédure de déclaration des productions et des exportations</w:t>
      </w:r>
    </w:p>
    <w:p w:rsidR="00467EC1" w:rsidRPr="00467EC1" w:rsidRDefault="00467EC1" w:rsidP="00467EC1">
      <w:pPr>
        <w:pStyle w:val="Paragraphedeliste"/>
        <w:numPr>
          <w:ilvl w:val="0"/>
          <w:numId w:val="41"/>
        </w:numPr>
        <w:spacing w:after="0" w:line="240" w:lineRule="auto"/>
        <w:rPr>
          <w:rFonts w:ascii="Cambria" w:hAnsi="Cambria"/>
          <w:sz w:val="24"/>
          <w:szCs w:val="24"/>
        </w:rPr>
      </w:pPr>
      <w:r w:rsidRPr="00467EC1">
        <w:rPr>
          <w:rFonts w:ascii="Cambria" w:hAnsi="Cambria"/>
          <w:sz w:val="24"/>
          <w:szCs w:val="24"/>
        </w:rPr>
        <w:t>Demande d’évaluation de l’épaisseur de la couche de nacre</w:t>
      </w:r>
    </w:p>
    <w:p w:rsidR="00467EC1" w:rsidRPr="00467EC1" w:rsidRDefault="00467EC1" w:rsidP="00467EC1">
      <w:pPr>
        <w:pStyle w:val="Paragraphedeliste"/>
        <w:numPr>
          <w:ilvl w:val="0"/>
          <w:numId w:val="41"/>
        </w:numPr>
        <w:spacing w:after="0" w:line="240" w:lineRule="auto"/>
        <w:rPr>
          <w:rFonts w:ascii="Cambria" w:hAnsi="Cambria"/>
          <w:sz w:val="24"/>
          <w:szCs w:val="24"/>
        </w:rPr>
      </w:pPr>
      <w:r w:rsidRPr="00467EC1">
        <w:rPr>
          <w:rFonts w:ascii="Cambria" w:hAnsi="Cambria"/>
          <w:sz w:val="24"/>
          <w:szCs w:val="24"/>
        </w:rPr>
        <w:t>Demande de licence d’importation de nucléus</w:t>
      </w:r>
    </w:p>
    <w:p w:rsidR="00467EC1" w:rsidRPr="00467EC1" w:rsidRDefault="00467EC1" w:rsidP="00467EC1">
      <w:pPr>
        <w:pStyle w:val="Paragraphedeliste"/>
        <w:numPr>
          <w:ilvl w:val="0"/>
          <w:numId w:val="41"/>
        </w:numPr>
        <w:spacing w:after="0" w:line="240" w:lineRule="auto"/>
        <w:rPr>
          <w:rFonts w:ascii="Cambria" w:hAnsi="Cambria"/>
          <w:sz w:val="24"/>
          <w:szCs w:val="24"/>
        </w:rPr>
      </w:pPr>
      <w:r w:rsidRPr="00467EC1">
        <w:rPr>
          <w:rFonts w:ascii="Cambria" w:hAnsi="Cambria"/>
          <w:sz w:val="24"/>
          <w:szCs w:val="24"/>
        </w:rPr>
        <w:t>Transfert d’huîtres perlières</w:t>
      </w:r>
    </w:p>
    <w:p w:rsidR="00467EC1" w:rsidRPr="00467EC1" w:rsidRDefault="00467EC1" w:rsidP="00467EC1">
      <w:pPr>
        <w:pStyle w:val="Paragraphedeliste"/>
        <w:rPr>
          <w:rFonts w:ascii="Cambria" w:hAnsi="Cambria"/>
          <w:sz w:val="24"/>
          <w:szCs w:val="24"/>
        </w:rPr>
      </w:pPr>
    </w:p>
    <w:p w:rsidR="00467EC1" w:rsidRPr="00467EC1" w:rsidRDefault="00467EC1" w:rsidP="00467EC1">
      <w:pPr>
        <w:pStyle w:val="-LettreTexteGEDA"/>
        <w:ind w:firstLine="0"/>
        <w:rPr>
          <w:rFonts w:ascii="Cambria" w:hAnsi="Cambria"/>
          <w:szCs w:val="24"/>
        </w:rPr>
      </w:pPr>
      <w:r w:rsidRPr="00467EC1">
        <w:rPr>
          <w:rFonts w:ascii="Cambria" w:hAnsi="Cambria"/>
          <w:szCs w:val="24"/>
        </w:rPr>
        <w:t xml:space="preserve">Le kit édité en 500 exemplaires a été traduit en </w:t>
      </w:r>
      <w:r w:rsidRPr="00467EC1">
        <w:rPr>
          <w:rFonts w:ascii="Cambria" w:hAnsi="Cambria"/>
          <w:i/>
          <w:iCs/>
          <w:szCs w:val="24"/>
        </w:rPr>
        <w:t>reo tahiti</w:t>
      </w:r>
      <w:r w:rsidRPr="00467EC1">
        <w:rPr>
          <w:rFonts w:ascii="Cambria" w:hAnsi="Cambria"/>
          <w:szCs w:val="24"/>
        </w:rPr>
        <w:t xml:space="preserve"> et sera notamment distribué au Conseil de la perliculture au mois d’août. </w:t>
      </w:r>
    </w:p>
    <w:p w:rsidR="00467EC1" w:rsidRPr="00467EC1" w:rsidRDefault="00467EC1" w:rsidP="00467EC1">
      <w:pPr>
        <w:pStyle w:val="-LettreTexteGEDA"/>
        <w:ind w:firstLine="0"/>
        <w:rPr>
          <w:rFonts w:ascii="Cambria" w:hAnsi="Cambria"/>
          <w:szCs w:val="24"/>
        </w:rPr>
      </w:pPr>
      <w:r w:rsidRPr="00467EC1">
        <w:rPr>
          <w:rFonts w:ascii="Cambria" w:hAnsi="Cambria"/>
          <w:szCs w:val="24"/>
        </w:rPr>
        <w:t>Il sera ensuite mis à disposition des professionnels par la Direction des ressources marines.</w:t>
      </w:r>
    </w:p>
    <w:p w:rsidR="00C72B3E" w:rsidRDefault="00C72B3E" w:rsidP="00EB0736">
      <w:pPr>
        <w:spacing w:after="120"/>
        <w:jc w:val="both"/>
        <w:rPr>
          <w:rFonts w:asciiTheme="majorHAnsi" w:hAnsiTheme="majorHAnsi"/>
          <w:b/>
          <w:bCs/>
        </w:rPr>
      </w:pPr>
    </w:p>
    <w:p w:rsidR="00C72B3E" w:rsidRPr="00DA6DE1" w:rsidRDefault="00C72B3E" w:rsidP="00DA6DE1">
      <w:pPr>
        <w:pStyle w:val="-LettreTexteGEDA"/>
        <w:spacing w:before="0"/>
        <w:ind w:firstLine="0"/>
        <w:rPr>
          <w:rFonts w:ascii="Cambria" w:hAnsi="Cambria"/>
          <w:b/>
          <w:noProof w:val="0"/>
        </w:rPr>
      </w:pPr>
      <w:r w:rsidRPr="00DA6DE1">
        <w:rPr>
          <w:rFonts w:ascii="Cambria" w:hAnsi="Cambria"/>
          <w:b/>
          <w:noProof w:val="0"/>
        </w:rPr>
        <w:t>Ouverture de débits de boissons temporaires lors des concerts et des spectacles</w:t>
      </w:r>
    </w:p>
    <w:p w:rsidR="00DA6DE1" w:rsidRDefault="00DA6DE1" w:rsidP="00DA6DE1">
      <w:pPr>
        <w:pStyle w:val="-LettreTexteGEDA"/>
        <w:ind w:firstLine="0"/>
        <w:rPr>
          <w:rFonts w:ascii="Cambria" w:hAnsi="Cambria"/>
          <w:noProof w:val="0"/>
        </w:rPr>
      </w:pPr>
    </w:p>
    <w:p w:rsidR="00C72B3E" w:rsidRPr="00DA6DE1" w:rsidRDefault="00C72B3E" w:rsidP="00DA6DE1">
      <w:pPr>
        <w:pStyle w:val="-LettreTexteGEDA"/>
        <w:ind w:firstLine="0"/>
        <w:rPr>
          <w:rFonts w:ascii="Cambria" w:hAnsi="Cambria"/>
          <w:noProof w:val="0"/>
        </w:rPr>
      </w:pPr>
      <w:r w:rsidRPr="00DA6DE1">
        <w:rPr>
          <w:rFonts w:ascii="Cambria" w:hAnsi="Cambria"/>
          <w:noProof w:val="0"/>
        </w:rPr>
        <w:t xml:space="preserve">Les professionnels de l’évènementiel se sont réunis en syndicat pour mieux structurer et organiser leur activité. Ils ont notamment adopté une charte de bonne conduite et se sont engagés sur l’application de mesures de sécurité lors de chaque manifestation. </w:t>
      </w:r>
    </w:p>
    <w:p w:rsidR="00C72B3E" w:rsidRPr="00DA6DE1" w:rsidRDefault="00C72B3E" w:rsidP="00DA6DE1">
      <w:pPr>
        <w:pStyle w:val="-LettreTexteGEDA"/>
        <w:ind w:firstLine="0"/>
        <w:rPr>
          <w:rFonts w:ascii="Cambria" w:hAnsi="Cambria"/>
          <w:noProof w:val="0"/>
        </w:rPr>
      </w:pPr>
      <w:r w:rsidRPr="00DA6DE1">
        <w:rPr>
          <w:rFonts w:ascii="Cambria" w:hAnsi="Cambria"/>
          <w:noProof w:val="0"/>
        </w:rPr>
        <w:t xml:space="preserve">Dans ce cadre, le Conseil des </w:t>
      </w:r>
      <w:r w:rsidR="00DA6DE1">
        <w:rPr>
          <w:rFonts w:ascii="Cambria" w:hAnsi="Cambria"/>
          <w:noProof w:val="0"/>
        </w:rPr>
        <w:t>m</w:t>
      </w:r>
      <w:r w:rsidRPr="00DA6DE1">
        <w:rPr>
          <w:rFonts w:ascii="Cambria" w:hAnsi="Cambria"/>
          <w:noProof w:val="0"/>
        </w:rPr>
        <w:t>inistres a autorisé les professionnels de l’événementiel à ouvrir des débits temporaires de boissons à l’occasion de concerts et spectacles.</w:t>
      </w:r>
    </w:p>
    <w:p w:rsidR="00C72B3E" w:rsidRPr="00DA6DE1" w:rsidRDefault="00C72B3E" w:rsidP="00DA6DE1">
      <w:pPr>
        <w:pStyle w:val="-LettreTexteGEDA"/>
        <w:ind w:firstLine="0"/>
        <w:rPr>
          <w:rFonts w:ascii="Cambria" w:hAnsi="Cambria"/>
          <w:noProof w:val="0"/>
        </w:rPr>
      </w:pPr>
      <w:r w:rsidRPr="00DA6DE1">
        <w:rPr>
          <w:rFonts w:ascii="Cambria" w:hAnsi="Cambria"/>
          <w:noProof w:val="0"/>
        </w:rPr>
        <w:t>L’autorisation n’est délivrée que sous certains critères :</w:t>
      </w:r>
    </w:p>
    <w:p w:rsidR="00C72B3E" w:rsidRPr="00DA6DE1" w:rsidRDefault="00C72B3E" w:rsidP="00C72B3E">
      <w:pPr>
        <w:pStyle w:val="-LettreTexteGEDA"/>
        <w:numPr>
          <w:ilvl w:val="0"/>
          <w:numId w:val="34"/>
        </w:numPr>
        <w:rPr>
          <w:rFonts w:ascii="Cambria" w:hAnsi="Cambria"/>
          <w:noProof w:val="0"/>
          <w:szCs w:val="24"/>
        </w:rPr>
      </w:pPr>
      <w:r w:rsidRPr="00DA6DE1">
        <w:rPr>
          <w:rFonts w:ascii="Cambria" w:hAnsi="Cambria"/>
          <w:noProof w:val="0"/>
        </w:rPr>
        <w:t>Seule la vente de boissons alcoolisées de</w:t>
      </w:r>
      <w:r w:rsidRPr="00DA6DE1">
        <w:rPr>
          <w:rFonts w:ascii="Cambria" w:hAnsi="Cambria"/>
          <w:noProof w:val="0"/>
          <w:szCs w:val="24"/>
        </w:rPr>
        <w:t xml:space="preserve"> 14° maximum est autorisée (ex : bières et vins) ;</w:t>
      </w:r>
    </w:p>
    <w:p w:rsidR="00C72B3E" w:rsidRPr="00DA6DE1" w:rsidRDefault="00C72B3E" w:rsidP="00C72B3E">
      <w:pPr>
        <w:pStyle w:val="-LettreTexteGEDA"/>
        <w:numPr>
          <w:ilvl w:val="0"/>
          <w:numId w:val="34"/>
        </w:numPr>
        <w:rPr>
          <w:rFonts w:ascii="Cambria" w:hAnsi="Cambria"/>
          <w:noProof w:val="0"/>
          <w:szCs w:val="24"/>
        </w:rPr>
      </w:pPr>
      <w:r w:rsidRPr="00DA6DE1">
        <w:rPr>
          <w:rFonts w:ascii="Cambria" w:hAnsi="Cambria"/>
          <w:noProof w:val="0"/>
          <w:szCs w:val="24"/>
        </w:rPr>
        <w:t xml:space="preserve">la licence ne peut être délivrée que </w:t>
      </w:r>
      <w:r w:rsidR="00467EC1">
        <w:rPr>
          <w:rFonts w:ascii="Cambria" w:hAnsi="Cambria"/>
          <w:noProof w:val="0"/>
          <w:szCs w:val="24"/>
        </w:rPr>
        <w:t>cinq</w:t>
      </w:r>
      <w:r w:rsidRPr="00DA6DE1">
        <w:rPr>
          <w:rFonts w:ascii="Cambria" w:hAnsi="Cambria"/>
          <w:noProof w:val="0"/>
          <w:szCs w:val="24"/>
        </w:rPr>
        <w:t xml:space="preserve"> fois par an ;</w:t>
      </w:r>
    </w:p>
    <w:p w:rsidR="00C72B3E" w:rsidRPr="00DA6DE1" w:rsidRDefault="00C72B3E" w:rsidP="00C72B3E">
      <w:pPr>
        <w:pStyle w:val="-LettreTexteGEDA"/>
        <w:numPr>
          <w:ilvl w:val="0"/>
          <w:numId w:val="34"/>
        </w:numPr>
        <w:rPr>
          <w:rFonts w:ascii="Cambria" w:hAnsi="Cambria"/>
          <w:noProof w:val="0"/>
          <w:szCs w:val="24"/>
        </w:rPr>
      </w:pPr>
      <w:r w:rsidRPr="00DA6DE1">
        <w:rPr>
          <w:rFonts w:ascii="Cambria" w:hAnsi="Cambria"/>
          <w:noProof w:val="0"/>
          <w:szCs w:val="24"/>
        </w:rPr>
        <w:t>la vente des boissons doit être limitée aux personnes avec un ticket d’entrée pour assister à la manifestation.</w:t>
      </w:r>
    </w:p>
    <w:p w:rsidR="00C72B3E" w:rsidRPr="00DA6DE1" w:rsidRDefault="00C72B3E" w:rsidP="00DA6DE1">
      <w:pPr>
        <w:pStyle w:val="-LettreTexteGEDA"/>
        <w:ind w:firstLine="0"/>
        <w:rPr>
          <w:rFonts w:ascii="Cambria" w:hAnsi="Cambria"/>
          <w:noProof w:val="0"/>
        </w:rPr>
      </w:pPr>
      <w:r w:rsidRPr="00DA6DE1">
        <w:rPr>
          <w:rFonts w:ascii="Cambria" w:hAnsi="Cambria"/>
          <w:noProof w:val="0"/>
          <w:szCs w:val="24"/>
        </w:rPr>
        <w:t>L’</w:t>
      </w:r>
      <w:r w:rsidRPr="00DA6DE1">
        <w:rPr>
          <w:rFonts w:ascii="Cambria" w:hAnsi="Cambria"/>
          <w:noProof w:val="0"/>
        </w:rPr>
        <w:t xml:space="preserve">autorisation sera délivrée sous réserve de la mise en œuvre des mesures de sécurité par les organisateurs et de la délivrance d’une attestation d’assurance en responsabilité civile par une société d’assurance agréée en Polynésie française. </w:t>
      </w:r>
    </w:p>
    <w:p w:rsidR="00C72B3E" w:rsidRPr="00DA6DE1" w:rsidRDefault="00C72B3E" w:rsidP="00C72B3E">
      <w:pPr>
        <w:pStyle w:val="-LettreTexteGEDA"/>
        <w:rPr>
          <w:rFonts w:ascii="Cambria" w:hAnsi="Cambria"/>
          <w:noProof w:val="0"/>
        </w:rPr>
      </w:pPr>
    </w:p>
    <w:p w:rsidR="00467EC1" w:rsidRDefault="00467EC1" w:rsidP="00467EC1">
      <w:pPr>
        <w:pStyle w:val="-LettreTexteGEDA"/>
        <w:spacing w:before="0"/>
        <w:ind w:firstLine="0"/>
        <w:rPr>
          <w:rFonts w:ascii="Cambria" w:hAnsi="Cambria"/>
          <w:sz w:val="20"/>
        </w:rPr>
      </w:pPr>
      <w:r>
        <w:rPr>
          <w:rFonts w:ascii="Cambria" w:hAnsi="Cambria"/>
          <w:b/>
          <w:bCs/>
        </w:rPr>
        <w:t>Deux projets d’investissement d’entreprises soutenus par le Pays</w:t>
      </w:r>
    </w:p>
    <w:p w:rsidR="00467EC1" w:rsidRDefault="00467EC1" w:rsidP="00467EC1">
      <w:pPr>
        <w:pStyle w:val="-LettreTexteGEDA"/>
        <w:spacing w:before="0"/>
        <w:ind w:firstLine="0"/>
        <w:rPr>
          <w:rFonts w:ascii="Cambria" w:hAnsi="Cambria"/>
        </w:rPr>
      </w:pPr>
    </w:p>
    <w:p w:rsidR="00467EC1" w:rsidRDefault="00467EC1" w:rsidP="00467EC1">
      <w:pPr>
        <w:pStyle w:val="-LettreTexteGEDA"/>
        <w:spacing w:before="0"/>
        <w:ind w:firstLine="0"/>
        <w:rPr>
          <w:rFonts w:ascii="Cambria" w:hAnsi="Cambria"/>
        </w:rPr>
      </w:pPr>
      <w:r>
        <w:rPr>
          <w:rFonts w:ascii="Cambria" w:hAnsi="Cambria"/>
        </w:rPr>
        <w:t>Dans le cadre de sa politique de soutien à l’activité des entreprises, le Pays a instauré deux dispositifs d’aide à l’équipement des petites entreprises et à la création et la revitalisation des petits commerces et des restaurants.</w:t>
      </w:r>
    </w:p>
    <w:p w:rsidR="00467EC1" w:rsidRDefault="00467EC1" w:rsidP="00467EC1">
      <w:pPr>
        <w:pStyle w:val="-LettreTexteGEDA"/>
        <w:ind w:firstLine="0"/>
        <w:rPr>
          <w:rFonts w:ascii="Cambria" w:hAnsi="Cambria"/>
        </w:rPr>
      </w:pPr>
      <w:r>
        <w:rPr>
          <w:rFonts w:ascii="Cambria" w:hAnsi="Cambria"/>
        </w:rPr>
        <w:t xml:space="preserve">Le Conseil des ministres a autorisé l’attribution de 7 millions Fcfp d’aides financières afin de soutenir deux entreprises pour un investissement total de 19 222 138 Fcfp. </w:t>
      </w:r>
    </w:p>
    <w:p w:rsidR="00467EC1" w:rsidRDefault="00467EC1" w:rsidP="00467EC1">
      <w:pPr>
        <w:pStyle w:val="-LettreTexteGEDA"/>
        <w:ind w:firstLine="0"/>
        <w:rPr>
          <w:rFonts w:ascii="Cambria" w:hAnsi="Cambria"/>
        </w:rPr>
      </w:pPr>
      <w:r>
        <w:rPr>
          <w:rFonts w:ascii="Cambria" w:hAnsi="Cambria"/>
        </w:rPr>
        <w:t>Ce soutien du Pays permettra le maintien d’un emploi et la création d’un emploi dans les secteurs d’activités du prêt-à-porter et de l’excursion nautique.</w:t>
      </w:r>
    </w:p>
    <w:p w:rsidR="00467EC1" w:rsidRDefault="00467EC1" w:rsidP="00EB0736">
      <w:pPr>
        <w:spacing w:after="120"/>
        <w:jc w:val="both"/>
        <w:rPr>
          <w:rFonts w:asciiTheme="majorHAnsi" w:hAnsiTheme="majorHAnsi"/>
          <w:b/>
          <w:bCs/>
        </w:rPr>
      </w:pPr>
    </w:p>
    <w:p w:rsidR="003C5FFF" w:rsidRPr="00C53ED1" w:rsidRDefault="00C53ED1" w:rsidP="00EB0736">
      <w:pPr>
        <w:spacing w:after="120"/>
        <w:jc w:val="both"/>
        <w:rPr>
          <w:rFonts w:asciiTheme="majorHAnsi" w:hAnsiTheme="majorHAnsi"/>
          <w:b/>
          <w:bCs/>
        </w:rPr>
      </w:pPr>
      <w:r w:rsidRPr="00C53ED1">
        <w:rPr>
          <w:rFonts w:asciiTheme="majorHAnsi" w:hAnsiTheme="majorHAnsi"/>
          <w:b/>
          <w:bCs/>
        </w:rPr>
        <w:t>Organisation de</w:t>
      </w:r>
      <w:r w:rsidR="00EB0736" w:rsidRPr="00C53ED1">
        <w:rPr>
          <w:rFonts w:asciiTheme="majorHAnsi" w:hAnsiTheme="majorHAnsi"/>
          <w:b/>
          <w:bCs/>
        </w:rPr>
        <w:t xml:space="preserve"> l’</w:t>
      </w:r>
      <w:r w:rsidR="003C5FFF" w:rsidRPr="00C53ED1">
        <w:rPr>
          <w:rFonts w:asciiTheme="majorHAnsi" w:hAnsiTheme="majorHAnsi"/>
          <w:b/>
          <w:bCs/>
        </w:rPr>
        <w:t xml:space="preserve">appel d’offres de la délégation du service public </w:t>
      </w:r>
      <w:r w:rsidR="0007390E">
        <w:rPr>
          <w:rFonts w:asciiTheme="majorHAnsi" w:hAnsiTheme="majorHAnsi"/>
          <w:b/>
          <w:bCs/>
        </w:rPr>
        <w:t>pour le</w:t>
      </w:r>
      <w:r w:rsidR="003C5FFF" w:rsidRPr="00C53ED1">
        <w:rPr>
          <w:rFonts w:asciiTheme="majorHAnsi" w:hAnsiTheme="majorHAnsi"/>
          <w:b/>
          <w:bCs/>
        </w:rPr>
        <w:t xml:space="preserve"> </w:t>
      </w:r>
      <w:r w:rsidR="00EB0736" w:rsidRPr="00C53ED1">
        <w:rPr>
          <w:rFonts w:asciiTheme="majorHAnsi" w:hAnsiTheme="majorHAnsi"/>
          <w:b/>
          <w:bCs/>
        </w:rPr>
        <w:t>transport aérien interinsulaire</w:t>
      </w:r>
    </w:p>
    <w:p w:rsidR="003C5FFF" w:rsidRPr="00C53ED1" w:rsidRDefault="003C5FFF" w:rsidP="00EB0736">
      <w:pPr>
        <w:pStyle w:val="Titre8"/>
        <w:keepLines w:val="0"/>
        <w:numPr>
          <w:ilvl w:val="0"/>
          <w:numId w:val="0"/>
        </w:numPr>
        <w:tabs>
          <w:tab w:val="left" w:pos="1418"/>
        </w:tabs>
        <w:jc w:val="both"/>
        <w:rPr>
          <w:rFonts w:asciiTheme="majorHAnsi" w:hAnsiTheme="majorHAnsi"/>
          <w:szCs w:val="24"/>
        </w:rPr>
      </w:pPr>
      <w:r w:rsidRPr="00C53ED1">
        <w:rPr>
          <w:rFonts w:asciiTheme="majorHAnsi" w:hAnsiTheme="majorHAnsi"/>
          <w:szCs w:val="24"/>
        </w:rPr>
        <w:t xml:space="preserve">Le Conseil des ministres, sur présentation du rapport par le ministre en charge des transports interinsulaires, a approuvé le projet d’arrêté organisant l’appel d’offres de la délégation du service public du transport aérien interinsulaire. </w:t>
      </w:r>
    </w:p>
    <w:p w:rsidR="003C5FFF" w:rsidRPr="00C53ED1" w:rsidRDefault="003C5FFF" w:rsidP="00EB0736">
      <w:pPr>
        <w:pStyle w:val="-LettreTexteGEDA"/>
        <w:ind w:firstLine="0"/>
        <w:rPr>
          <w:rFonts w:asciiTheme="majorHAnsi" w:hAnsiTheme="majorHAnsi"/>
          <w:noProof w:val="0"/>
          <w:szCs w:val="24"/>
        </w:rPr>
      </w:pPr>
      <w:r w:rsidRPr="00C53ED1">
        <w:rPr>
          <w:rFonts w:asciiTheme="majorHAnsi" w:hAnsiTheme="majorHAnsi"/>
          <w:noProof w:val="0"/>
          <w:szCs w:val="24"/>
        </w:rPr>
        <w:t>Cette décision fait suite aux engagements pris par le Gouvernement lors de la signature de l’accord de reprise de la desserte aérienne interinsulaire le 1</w:t>
      </w:r>
      <w:r w:rsidRPr="00C53ED1">
        <w:rPr>
          <w:rFonts w:asciiTheme="majorHAnsi" w:hAnsiTheme="majorHAnsi"/>
          <w:noProof w:val="0"/>
          <w:szCs w:val="24"/>
          <w:vertAlign w:val="superscript"/>
        </w:rPr>
        <w:t>er</w:t>
      </w:r>
      <w:r w:rsidRPr="00C53ED1">
        <w:rPr>
          <w:rFonts w:asciiTheme="majorHAnsi" w:hAnsiTheme="majorHAnsi"/>
          <w:noProof w:val="0"/>
          <w:szCs w:val="24"/>
        </w:rPr>
        <w:t xml:space="preserve"> juillet 2020 entre le Pays et Air Tahiti. </w:t>
      </w:r>
    </w:p>
    <w:p w:rsidR="003C5FFF" w:rsidRPr="00C53ED1" w:rsidRDefault="003C5FFF" w:rsidP="00EB0736">
      <w:pPr>
        <w:pStyle w:val="-LettreTexteGEDA"/>
        <w:ind w:firstLine="0"/>
        <w:rPr>
          <w:rFonts w:asciiTheme="majorHAnsi" w:hAnsiTheme="majorHAnsi"/>
          <w:noProof w:val="0"/>
          <w:szCs w:val="24"/>
        </w:rPr>
      </w:pPr>
      <w:r w:rsidRPr="00C53ED1">
        <w:rPr>
          <w:rFonts w:asciiTheme="majorHAnsi" w:hAnsiTheme="majorHAnsi"/>
          <w:noProof w:val="0"/>
          <w:szCs w:val="24"/>
        </w:rPr>
        <w:t xml:space="preserve">Cette délégation de service public du transport aérien interinsulaire est la concrétisation de la </w:t>
      </w:r>
      <w:r w:rsidR="0007390E">
        <w:rPr>
          <w:rFonts w:asciiTheme="majorHAnsi" w:hAnsiTheme="majorHAnsi"/>
          <w:noProof w:val="0"/>
          <w:szCs w:val="24"/>
        </w:rPr>
        <w:t>l</w:t>
      </w:r>
      <w:r w:rsidRPr="00C53ED1">
        <w:rPr>
          <w:rFonts w:asciiTheme="majorHAnsi" w:hAnsiTheme="majorHAnsi"/>
          <w:noProof w:val="0"/>
          <w:szCs w:val="24"/>
        </w:rPr>
        <w:t>oi de Pays du 25 février 2016 et de la délibération portant application de cette loi de Pays.</w:t>
      </w:r>
    </w:p>
    <w:p w:rsidR="003C5FFF" w:rsidRPr="00C53ED1" w:rsidRDefault="003C5FFF" w:rsidP="00EB0736">
      <w:pPr>
        <w:pStyle w:val="-LettreTexteGEDA"/>
        <w:ind w:firstLine="0"/>
        <w:rPr>
          <w:rFonts w:asciiTheme="majorHAnsi" w:hAnsiTheme="majorHAnsi"/>
          <w:noProof w:val="0"/>
          <w:szCs w:val="24"/>
        </w:rPr>
      </w:pPr>
      <w:r w:rsidRPr="00C53ED1">
        <w:rPr>
          <w:rFonts w:asciiTheme="majorHAnsi" w:hAnsiTheme="majorHAnsi"/>
          <w:noProof w:val="0"/>
          <w:szCs w:val="24"/>
        </w:rPr>
        <w:t>La délégation de service public s’applique sur 34 destinations de désenclavement, et fera l’objet d’une procédure restreinte dont l’avis d’appel public à conc</w:t>
      </w:r>
      <w:r w:rsidR="001D25B7">
        <w:rPr>
          <w:rFonts w:asciiTheme="majorHAnsi" w:hAnsiTheme="majorHAnsi"/>
          <w:noProof w:val="0"/>
          <w:szCs w:val="24"/>
        </w:rPr>
        <w:t>urrence sera publié au JOPF</w:t>
      </w:r>
      <w:r w:rsidR="0007390E">
        <w:rPr>
          <w:rFonts w:asciiTheme="majorHAnsi" w:hAnsiTheme="majorHAnsi"/>
          <w:noProof w:val="0"/>
          <w:szCs w:val="24"/>
        </w:rPr>
        <w:t xml:space="preserve"> (Journal officiel de la Polynésie française)</w:t>
      </w:r>
      <w:r w:rsidR="001D25B7">
        <w:rPr>
          <w:rFonts w:asciiTheme="majorHAnsi" w:hAnsiTheme="majorHAnsi"/>
          <w:noProof w:val="0"/>
          <w:szCs w:val="24"/>
        </w:rPr>
        <w:t xml:space="preserve"> le </w:t>
      </w:r>
      <w:r w:rsidR="00467EC1">
        <w:rPr>
          <w:rFonts w:asciiTheme="majorHAnsi" w:hAnsiTheme="majorHAnsi"/>
          <w:noProof w:val="0"/>
          <w:szCs w:val="24"/>
        </w:rPr>
        <w:t>4</w:t>
      </w:r>
      <w:r w:rsidRPr="00C53ED1">
        <w:rPr>
          <w:rFonts w:asciiTheme="majorHAnsi" w:hAnsiTheme="majorHAnsi"/>
          <w:noProof w:val="0"/>
          <w:szCs w:val="24"/>
        </w:rPr>
        <w:t xml:space="preserve"> août </w:t>
      </w:r>
      <w:r w:rsidR="00EB0736" w:rsidRPr="00C53ED1">
        <w:rPr>
          <w:rFonts w:asciiTheme="majorHAnsi" w:hAnsiTheme="majorHAnsi"/>
          <w:noProof w:val="0"/>
          <w:szCs w:val="24"/>
        </w:rPr>
        <w:t>prochain</w:t>
      </w:r>
      <w:r w:rsidRPr="00C53ED1">
        <w:rPr>
          <w:rFonts w:asciiTheme="majorHAnsi" w:hAnsiTheme="majorHAnsi"/>
          <w:noProof w:val="0"/>
          <w:szCs w:val="24"/>
        </w:rPr>
        <w:t>.</w:t>
      </w:r>
    </w:p>
    <w:p w:rsidR="003C5FFF" w:rsidRPr="00C53ED1" w:rsidRDefault="003C5FFF" w:rsidP="00EB0736">
      <w:pPr>
        <w:pStyle w:val="-LettreTexteGEDA"/>
        <w:ind w:firstLine="0"/>
        <w:rPr>
          <w:rFonts w:asciiTheme="majorHAnsi" w:hAnsiTheme="majorHAnsi"/>
          <w:noProof w:val="0"/>
          <w:szCs w:val="24"/>
        </w:rPr>
      </w:pPr>
      <w:r w:rsidRPr="00C53ED1">
        <w:rPr>
          <w:rFonts w:asciiTheme="majorHAnsi" w:hAnsiTheme="majorHAnsi"/>
          <w:noProof w:val="0"/>
          <w:szCs w:val="24"/>
        </w:rPr>
        <w:t>Le do</w:t>
      </w:r>
      <w:r w:rsidR="0007390E">
        <w:rPr>
          <w:rFonts w:asciiTheme="majorHAnsi" w:hAnsiTheme="majorHAnsi"/>
          <w:noProof w:val="0"/>
          <w:szCs w:val="24"/>
        </w:rPr>
        <w:t xml:space="preserve">ssier de consultation comprend un </w:t>
      </w:r>
      <w:r w:rsidRPr="00C53ED1">
        <w:rPr>
          <w:rFonts w:asciiTheme="majorHAnsi" w:hAnsiTheme="majorHAnsi"/>
          <w:noProof w:val="0"/>
          <w:szCs w:val="24"/>
        </w:rPr>
        <w:t>règlement de consultation, un cahier des charges</w:t>
      </w:r>
      <w:r w:rsidR="0007390E">
        <w:rPr>
          <w:rFonts w:asciiTheme="majorHAnsi" w:hAnsiTheme="majorHAnsi"/>
          <w:noProof w:val="0"/>
          <w:szCs w:val="24"/>
        </w:rPr>
        <w:t xml:space="preserve"> </w:t>
      </w:r>
      <w:r w:rsidRPr="00C53ED1">
        <w:rPr>
          <w:rFonts w:asciiTheme="majorHAnsi" w:hAnsiTheme="majorHAnsi"/>
          <w:noProof w:val="0"/>
          <w:szCs w:val="24"/>
        </w:rPr>
        <w:t>et un projet de contrat.</w:t>
      </w:r>
      <w:r w:rsidR="0007390E">
        <w:rPr>
          <w:rFonts w:asciiTheme="majorHAnsi" w:hAnsiTheme="majorHAnsi"/>
          <w:noProof w:val="0"/>
          <w:szCs w:val="24"/>
        </w:rPr>
        <w:t xml:space="preserve"> </w:t>
      </w:r>
      <w:r w:rsidR="00902FF5" w:rsidRPr="00C53ED1">
        <w:rPr>
          <w:rFonts w:asciiTheme="majorHAnsi" w:hAnsiTheme="majorHAnsi"/>
          <w:noProof w:val="0"/>
          <w:szCs w:val="24"/>
        </w:rPr>
        <w:t>La délégation de service public</w:t>
      </w:r>
      <w:r w:rsidRPr="00C53ED1">
        <w:rPr>
          <w:rFonts w:asciiTheme="majorHAnsi" w:hAnsiTheme="majorHAnsi"/>
          <w:noProof w:val="0"/>
          <w:szCs w:val="24"/>
        </w:rPr>
        <w:t xml:space="preserve"> prendra effet dès le 1</w:t>
      </w:r>
      <w:r w:rsidRPr="00C53ED1">
        <w:rPr>
          <w:rFonts w:asciiTheme="majorHAnsi" w:hAnsiTheme="majorHAnsi"/>
          <w:noProof w:val="0"/>
          <w:szCs w:val="24"/>
          <w:vertAlign w:val="superscript"/>
        </w:rPr>
        <w:t>er</w:t>
      </w:r>
      <w:r w:rsidRPr="00C53ED1">
        <w:rPr>
          <w:rFonts w:asciiTheme="majorHAnsi" w:hAnsiTheme="majorHAnsi"/>
          <w:noProof w:val="0"/>
          <w:szCs w:val="24"/>
        </w:rPr>
        <w:t xml:space="preserve"> janvier 2021.</w:t>
      </w:r>
    </w:p>
    <w:p w:rsidR="00066013" w:rsidRDefault="00066013" w:rsidP="003C5FFF">
      <w:pPr>
        <w:pStyle w:val="-LettreTexteGEDA"/>
        <w:rPr>
          <w:rFonts w:asciiTheme="majorHAnsi" w:hAnsiTheme="majorHAnsi"/>
          <w:noProof w:val="0"/>
          <w:szCs w:val="24"/>
        </w:rPr>
      </w:pPr>
    </w:p>
    <w:p w:rsidR="00DA6DE1" w:rsidRPr="00DA6DE1" w:rsidRDefault="00DA6DE1" w:rsidP="00DA6DE1">
      <w:pPr>
        <w:jc w:val="both"/>
        <w:rPr>
          <w:rFonts w:ascii="Cambria" w:hAnsi="Cambria"/>
          <w:szCs w:val="28"/>
        </w:rPr>
      </w:pPr>
      <w:r w:rsidRPr="00DA6DE1">
        <w:rPr>
          <w:rFonts w:ascii="Cambria" w:hAnsi="Cambria"/>
          <w:b/>
          <w:bCs/>
          <w:szCs w:val="28"/>
        </w:rPr>
        <w:t>Comité de pilotage du Programme de rénovation urbaine de l’agglomération de Papeete</w:t>
      </w:r>
    </w:p>
    <w:p w:rsidR="00DA6DE1" w:rsidRPr="00DA6DE1" w:rsidRDefault="00DA6DE1" w:rsidP="00DA6DE1">
      <w:pPr>
        <w:rPr>
          <w:rFonts w:ascii="Cambria" w:hAnsi="Cambria"/>
        </w:rPr>
      </w:pPr>
    </w:p>
    <w:p w:rsidR="00DA6DE1" w:rsidRPr="00DA6DE1" w:rsidRDefault="00DA6DE1" w:rsidP="00DA6DE1">
      <w:pPr>
        <w:pStyle w:val="-LettreTexteGEDA"/>
        <w:ind w:firstLine="0"/>
        <w:rPr>
          <w:rFonts w:ascii="Cambria" w:hAnsi="Cambria"/>
          <w:noProof w:val="0"/>
        </w:rPr>
      </w:pPr>
      <w:r w:rsidRPr="00DA6DE1">
        <w:rPr>
          <w:rFonts w:ascii="Cambria" w:hAnsi="Cambria"/>
          <w:noProof w:val="0"/>
        </w:rPr>
        <w:t xml:space="preserve">En cohérence avec les objectifs stratégiques et les enjeux généraux du SAGE, la politique de rénovation urbaine engagée par le gouvernement s’appuie sur un développement progressif des projets et s’inscrit dans un partenariat étroit avec les différentes parties prenantes. Les secteurs de rénovation urbaine retenus présentent tous des enjeux urbains majeurs, tant pour le développement de l’agglomération que celui de chacune des communes concernées, </w:t>
      </w:r>
      <w:proofErr w:type="spellStart"/>
      <w:r w:rsidRPr="00DA6DE1">
        <w:rPr>
          <w:rFonts w:ascii="Cambria" w:hAnsi="Cambria"/>
          <w:noProof w:val="0"/>
        </w:rPr>
        <w:t>Mahina</w:t>
      </w:r>
      <w:proofErr w:type="spellEnd"/>
      <w:r w:rsidRPr="00DA6DE1">
        <w:rPr>
          <w:rFonts w:ascii="Cambria" w:hAnsi="Cambria"/>
          <w:noProof w:val="0"/>
        </w:rPr>
        <w:t>, Pirae, Papeete et Punaauia. En effet, si les projets de rénovation urbaine concernent en premier lieu l’amélioration des conditions d’habitat, le désenclavement et l’équipement des quartiers, ils contribuent également au développement économique et au développement durable des territoires.</w:t>
      </w:r>
    </w:p>
    <w:p w:rsidR="00DA6DE1" w:rsidRPr="00DA6DE1" w:rsidRDefault="00DA6DE1" w:rsidP="00DA6DE1">
      <w:pPr>
        <w:pStyle w:val="-LettreTexteGEDA"/>
        <w:ind w:firstLine="0"/>
        <w:rPr>
          <w:rFonts w:ascii="Cambria" w:hAnsi="Cambria"/>
          <w:noProof w:val="0"/>
        </w:rPr>
      </w:pPr>
      <w:r w:rsidRPr="00DA6DE1">
        <w:rPr>
          <w:rFonts w:ascii="Cambria" w:hAnsi="Cambria"/>
          <w:noProof w:val="0"/>
        </w:rPr>
        <w:t xml:space="preserve">Fondée sur une planification des opérations des projets à 10-15 ans, une </w:t>
      </w:r>
      <w:proofErr w:type="spellStart"/>
      <w:r w:rsidRPr="00DA6DE1">
        <w:rPr>
          <w:rFonts w:ascii="Cambria" w:hAnsi="Cambria"/>
          <w:noProof w:val="0"/>
        </w:rPr>
        <w:t>pré-maquette</w:t>
      </w:r>
      <w:proofErr w:type="spellEnd"/>
      <w:r w:rsidRPr="00DA6DE1">
        <w:rPr>
          <w:rFonts w:ascii="Cambria" w:hAnsi="Cambria"/>
          <w:noProof w:val="0"/>
        </w:rPr>
        <w:t xml:space="preserve"> financière à l’échelle du programme de rénovation urbaine a ainsi été établie. Elle détaille les maîtrises d’ouvrage et les investissements nécessaires dans le temps. La première estimation financière annonce des coûts bruts de réalisation, toutes maîtrises d’ouvrage </w:t>
      </w:r>
      <w:r w:rsidRPr="00DA6DE1">
        <w:rPr>
          <w:rFonts w:ascii="Cambria" w:hAnsi="Cambria"/>
          <w:noProof w:val="0"/>
        </w:rPr>
        <w:lastRenderedPageBreak/>
        <w:t xml:space="preserve">confondues, de 27 milliards </w:t>
      </w:r>
      <w:proofErr w:type="spellStart"/>
      <w:r>
        <w:rPr>
          <w:rFonts w:ascii="Cambria" w:hAnsi="Cambria"/>
          <w:noProof w:val="0"/>
        </w:rPr>
        <w:t>Fcfp</w:t>
      </w:r>
      <w:proofErr w:type="spellEnd"/>
      <w:r w:rsidRPr="00DA6DE1">
        <w:rPr>
          <w:rFonts w:ascii="Cambria" w:hAnsi="Cambria"/>
          <w:noProof w:val="0"/>
        </w:rPr>
        <w:t xml:space="preserve">. Le volet habitat (production de logements, traitement de l’habitat existant) représente 60% des investissements totaux, celui relatif aux voiries, réseaux et espaces publics 25%, viennent ensuite les dépenses liées à l’action foncière et aux équipements publics. Les besoins d’engagements budgétaires identifiés pour 2021 s’élèvent à environ 650 millions </w:t>
      </w:r>
      <w:proofErr w:type="spellStart"/>
      <w:r>
        <w:rPr>
          <w:rFonts w:ascii="Cambria" w:hAnsi="Cambria"/>
          <w:noProof w:val="0"/>
        </w:rPr>
        <w:t>Fcfp</w:t>
      </w:r>
      <w:proofErr w:type="spellEnd"/>
      <w:r>
        <w:rPr>
          <w:rFonts w:ascii="Cambria" w:hAnsi="Cambria"/>
          <w:noProof w:val="0"/>
        </w:rPr>
        <w:t>.</w:t>
      </w:r>
    </w:p>
    <w:p w:rsidR="00DA6DE1" w:rsidRPr="00DA6DE1" w:rsidRDefault="00DA6DE1" w:rsidP="00DA6DE1">
      <w:pPr>
        <w:pStyle w:val="-LettreTexteGEDA"/>
        <w:ind w:firstLine="0"/>
        <w:rPr>
          <w:rFonts w:ascii="Cambria" w:hAnsi="Cambria"/>
          <w:noProof w:val="0"/>
        </w:rPr>
      </w:pPr>
      <w:r w:rsidRPr="00DA6DE1">
        <w:rPr>
          <w:rFonts w:ascii="Cambria" w:hAnsi="Cambria"/>
          <w:noProof w:val="0"/>
        </w:rPr>
        <w:t xml:space="preserve">Les budgets des collectivités étant en cours de préparation pour l’année prochaine, il est nécessaire d’organiser la programmation d’engagements budgétaires pour 2021 avec les ministères, services et établissements du Pays, comme avec les services de l’Etat, le syndicat mixte du contrat de ville et les communes. Ainsi, le prochain comité de pilotage du programme de rénovation urbaine qui aura lieu le 21 août prochain, aura pour objectif de coordonner les actions à court terme. </w:t>
      </w:r>
    </w:p>
    <w:p w:rsidR="00DA6DE1" w:rsidRPr="00DA6DE1" w:rsidRDefault="00DA6DE1" w:rsidP="00DA6DE1">
      <w:pPr>
        <w:pStyle w:val="-LettreTexteGEDA"/>
        <w:ind w:firstLine="0"/>
        <w:rPr>
          <w:rFonts w:ascii="Cambria" w:hAnsi="Cambria"/>
        </w:rPr>
      </w:pPr>
      <w:r w:rsidRPr="00DA6DE1">
        <w:rPr>
          <w:rFonts w:ascii="Cambria" w:hAnsi="Cambria"/>
          <w:noProof w:val="0"/>
        </w:rPr>
        <w:t xml:space="preserve">La mobilisation des ressources du Pays viendra confirmer </w:t>
      </w:r>
      <w:r w:rsidRPr="00DA6DE1">
        <w:rPr>
          <w:rFonts w:ascii="Cambria" w:hAnsi="Cambria"/>
        </w:rPr>
        <w:t>l’engagement pragmatique du Programme de rénovation urbaine et</w:t>
      </w:r>
      <w:r>
        <w:rPr>
          <w:rFonts w:ascii="Cambria" w:hAnsi="Cambria"/>
        </w:rPr>
        <w:t>,</w:t>
      </w:r>
      <w:r w:rsidRPr="00DA6DE1">
        <w:rPr>
          <w:rFonts w:ascii="Cambria" w:hAnsi="Cambria"/>
        </w:rPr>
        <w:t xml:space="preserve"> ainsi, </w:t>
      </w:r>
      <w:r>
        <w:rPr>
          <w:rFonts w:ascii="Cambria" w:hAnsi="Cambria"/>
        </w:rPr>
        <w:t>la</w:t>
      </w:r>
      <w:r w:rsidRPr="00DA6DE1">
        <w:rPr>
          <w:rFonts w:ascii="Cambria" w:hAnsi="Cambria"/>
        </w:rPr>
        <w:t xml:space="preserve"> politique d’amélioration durable du cadre de vie des familles polynésiennes.</w:t>
      </w:r>
    </w:p>
    <w:p w:rsidR="00F553AE" w:rsidRPr="00DA6DE1" w:rsidRDefault="00F553AE" w:rsidP="00DA6DE1">
      <w:pPr>
        <w:pStyle w:val="-LettreTexteGEDA"/>
        <w:ind w:firstLine="0"/>
        <w:rPr>
          <w:rFonts w:ascii="Cambria" w:hAnsi="Cambria"/>
          <w:noProof w:val="0"/>
          <w:szCs w:val="24"/>
        </w:rPr>
      </w:pPr>
    </w:p>
    <w:p w:rsidR="00DA6DE1" w:rsidRPr="00DA6DE1" w:rsidRDefault="00DA6DE1" w:rsidP="00DA6DE1">
      <w:pPr>
        <w:rPr>
          <w:rFonts w:ascii="Cambria" w:hAnsi="Cambria"/>
          <w:b/>
        </w:rPr>
      </w:pPr>
      <w:r w:rsidRPr="00DA6DE1">
        <w:rPr>
          <w:rFonts w:ascii="Cambria" w:hAnsi="Cambria"/>
          <w:b/>
        </w:rPr>
        <w:t>Maintien des tarifs de fret et de passages maritimes</w:t>
      </w:r>
    </w:p>
    <w:p w:rsidR="00DA6DE1" w:rsidRPr="00DA6DE1" w:rsidRDefault="00DA6DE1" w:rsidP="00DA6DE1">
      <w:pPr>
        <w:ind w:firstLine="851"/>
        <w:jc w:val="both"/>
        <w:rPr>
          <w:rFonts w:ascii="Cambria" w:hAnsi="Cambria"/>
        </w:rPr>
      </w:pPr>
    </w:p>
    <w:p w:rsidR="00DA6DE1" w:rsidRPr="00DA6DE1" w:rsidRDefault="00DA6DE1" w:rsidP="00DA6DE1">
      <w:pPr>
        <w:spacing w:before="120"/>
        <w:jc w:val="both"/>
        <w:rPr>
          <w:rFonts w:ascii="Cambria" w:hAnsi="Cambria"/>
        </w:rPr>
      </w:pPr>
      <w:r w:rsidRPr="00DA6DE1">
        <w:rPr>
          <w:rFonts w:ascii="Cambria" w:hAnsi="Cambria"/>
        </w:rPr>
        <w:t>La Commission d’examen des tarifs maritimes interinsulaires (CETMI) s’est réuni</w:t>
      </w:r>
      <w:r w:rsidR="00FF7C67">
        <w:rPr>
          <w:rFonts w:ascii="Cambria" w:hAnsi="Cambria"/>
        </w:rPr>
        <w:t>e</w:t>
      </w:r>
      <w:bookmarkStart w:id="0" w:name="_GoBack"/>
      <w:bookmarkEnd w:id="0"/>
      <w:r w:rsidRPr="00DA6DE1">
        <w:rPr>
          <w:rFonts w:ascii="Cambria" w:hAnsi="Cambria"/>
        </w:rPr>
        <w:t xml:space="preserve"> </w:t>
      </w:r>
      <w:r>
        <w:rPr>
          <w:rFonts w:ascii="Cambria" w:hAnsi="Cambria"/>
        </w:rPr>
        <w:t xml:space="preserve">fin juin </w:t>
      </w:r>
      <w:r w:rsidRPr="00DA6DE1">
        <w:rPr>
          <w:rFonts w:ascii="Cambria" w:hAnsi="Cambria"/>
        </w:rPr>
        <w:t>afin d’</w:t>
      </w:r>
      <w:r w:rsidRPr="00DA6DE1">
        <w:rPr>
          <w:rFonts w:ascii="Cambria" w:hAnsi="Cambria"/>
          <w:color w:val="000000"/>
        </w:rPr>
        <w:t xml:space="preserve">examiner les tarifs </w:t>
      </w:r>
      <w:r w:rsidRPr="00DA6DE1">
        <w:rPr>
          <w:rFonts w:ascii="Cambria" w:hAnsi="Cambria"/>
        </w:rPr>
        <w:t>de fret et de passages maritimes en Polynésie française.</w:t>
      </w:r>
    </w:p>
    <w:p w:rsidR="00DA6DE1" w:rsidRPr="00DA6DE1" w:rsidRDefault="00DA6DE1" w:rsidP="00DA6DE1">
      <w:pPr>
        <w:pStyle w:val="-LettreTexteGEDA"/>
        <w:ind w:firstLine="0"/>
        <w:rPr>
          <w:rFonts w:ascii="Cambria" w:hAnsi="Cambria"/>
          <w:color w:val="000000"/>
        </w:rPr>
      </w:pPr>
      <w:r w:rsidRPr="00DA6DE1">
        <w:rPr>
          <w:rFonts w:ascii="Cambria" w:hAnsi="Cambria"/>
        </w:rPr>
        <w:t xml:space="preserve">Elle a examiné l’évolution des différents paramètres </w:t>
      </w:r>
      <w:r w:rsidRPr="00DA6DE1">
        <w:rPr>
          <w:rFonts w:ascii="Cambria" w:hAnsi="Cambria"/>
          <w:color w:val="000000"/>
        </w:rPr>
        <w:t>et indices économiques. La formule utilisée pour calculer le taux de revalorisation a donné un résultat de 0,90 %. Pour rappel, un taux supérieur à 2% enclenche automatiquement des discussions concernant une éventuelle revalorisation des tarifs de fret.</w:t>
      </w:r>
    </w:p>
    <w:p w:rsidR="00DA6DE1" w:rsidRPr="00DA6DE1" w:rsidRDefault="00DA6DE1" w:rsidP="00DA6DE1">
      <w:pPr>
        <w:pStyle w:val="-LettreTexteGEDA"/>
        <w:ind w:firstLine="0"/>
        <w:rPr>
          <w:rFonts w:ascii="Cambria" w:hAnsi="Cambria"/>
          <w:color w:val="000000"/>
        </w:rPr>
      </w:pPr>
      <w:r w:rsidRPr="00DA6DE1">
        <w:rPr>
          <w:rFonts w:ascii="Cambria" w:hAnsi="Cambria"/>
        </w:rPr>
        <w:t>Le taux de revalorisation obtenu en 2020 étant inférieur à ce seuil de 2%, il a été proposé aux membres de la commission de ne pas modifier les tarifs de fret et de passages maritimes.</w:t>
      </w:r>
      <w:r>
        <w:rPr>
          <w:rFonts w:ascii="Cambria" w:hAnsi="Cambria"/>
          <w:color w:val="000000"/>
        </w:rPr>
        <w:t xml:space="preserve"> </w:t>
      </w:r>
      <w:r w:rsidRPr="00DA6DE1">
        <w:rPr>
          <w:rFonts w:ascii="Cambria" w:hAnsi="Cambria"/>
        </w:rPr>
        <w:t xml:space="preserve">La CETMI ayant donné un avis favorable unanime pour le maintien des tarifs actuels, le </w:t>
      </w:r>
      <w:r>
        <w:rPr>
          <w:rFonts w:ascii="Cambria" w:hAnsi="Cambria"/>
        </w:rPr>
        <w:t>C</w:t>
      </w:r>
      <w:r w:rsidRPr="00DA6DE1">
        <w:rPr>
          <w:rFonts w:ascii="Cambria" w:hAnsi="Cambria"/>
        </w:rPr>
        <w:t>onseil des ministres a donc décidé de suivre cet avis et de maintenir en l’état les tarifs actuels</w:t>
      </w:r>
      <w:r>
        <w:rPr>
          <w:rFonts w:ascii="Cambria" w:hAnsi="Cambria"/>
        </w:rPr>
        <w:t>,</w:t>
      </w:r>
      <w:r w:rsidRPr="00DA6DE1">
        <w:rPr>
          <w:rFonts w:ascii="Cambria" w:hAnsi="Cambria"/>
        </w:rPr>
        <w:t xml:space="preserve"> qui restent</w:t>
      </w:r>
      <w:r>
        <w:rPr>
          <w:rFonts w:ascii="Cambria" w:hAnsi="Cambria"/>
        </w:rPr>
        <w:t xml:space="preserve"> donc</w:t>
      </w:r>
      <w:r w:rsidRPr="00DA6DE1">
        <w:rPr>
          <w:rFonts w:ascii="Cambria" w:hAnsi="Cambria"/>
        </w:rPr>
        <w:t xml:space="preserve"> inchangés.</w:t>
      </w:r>
    </w:p>
    <w:p w:rsidR="00DA6DE1" w:rsidRPr="00DA6DE1" w:rsidRDefault="00DA6DE1" w:rsidP="00DA6DE1">
      <w:pPr>
        <w:ind w:firstLine="851"/>
        <w:jc w:val="both"/>
        <w:rPr>
          <w:rFonts w:ascii="Cambria" w:hAnsi="Cambria"/>
        </w:rPr>
      </w:pPr>
    </w:p>
    <w:p w:rsidR="00F553AE" w:rsidRPr="00DA6DE1" w:rsidRDefault="00F553AE" w:rsidP="003C5FFF">
      <w:pPr>
        <w:pStyle w:val="-LettreTexteGEDA"/>
        <w:rPr>
          <w:rFonts w:ascii="Cambria" w:hAnsi="Cambria"/>
          <w:noProof w:val="0"/>
          <w:szCs w:val="24"/>
        </w:rPr>
      </w:pPr>
    </w:p>
    <w:p w:rsidR="00DA6DE1" w:rsidRDefault="00DA6DE1" w:rsidP="00DA6DE1">
      <w:pPr>
        <w:widowControl w:val="0"/>
        <w:autoSpaceDE w:val="0"/>
        <w:autoSpaceDN w:val="0"/>
        <w:adjustRightInd w:val="0"/>
        <w:rPr>
          <w:rFonts w:ascii="Cambria" w:hAnsi="Cambria" w:cs="Century Schoolbook"/>
          <w:b/>
        </w:rPr>
      </w:pPr>
      <w:r>
        <w:rPr>
          <w:rFonts w:ascii="Cambria" w:hAnsi="Cambria" w:cs="Century Schoolbook"/>
          <w:b/>
        </w:rPr>
        <w:t>Modalités d’application du partage par souche devant le tribunal foncier</w:t>
      </w:r>
    </w:p>
    <w:p w:rsidR="00DA6DE1" w:rsidRDefault="00DA6DE1" w:rsidP="00DA6DE1">
      <w:pPr>
        <w:widowControl w:val="0"/>
        <w:autoSpaceDE w:val="0"/>
        <w:autoSpaceDN w:val="0"/>
        <w:adjustRightInd w:val="0"/>
        <w:jc w:val="both"/>
        <w:rPr>
          <w:rFonts w:ascii="Cambria" w:hAnsi="Cambria" w:cs="Century Schoolbook"/>
        </w:rPr>
      </w:pPr>
    </w:p>
    <w:p w:rsidR="00DA6DE1" w:rsidRDefault="00DA6DE1" w:rsidP="00DA6DE1">
      <w:pPr>
        <w:widowControl w:val="0"/>
        <w:autoSpaceDE w:val="0"/>
        <w:autoSpaceDN w:val="0"/>
        <w:adjustRightInd w:val="0"/>
        <w:jc w:val="both"/>
        <w:rPr>
          <w:rFonts w:ascii="Cambria" w:hAnsi="Cambria" w:cs="Century Schoolbook"/>
        </w:rPr>
      </w:pPr>
      <w:r>
        <w:rPr>
          <w:rFonts w:ascii="Cambria" w:hAnsi="Cambria" w:cs="Century Schoolbook"/>
        </w:rPr>
        <w:t>En Polynésie française, les demandes en partage de terre sont souvent le fait de personnes issues de la 5</w:t>
      </w:r>
      <w:r w:rsidRPr="00F24AF6">
        <w:rPr>
          <w:rFonts w:ascii="Cambria" w:hAnsi="Cambria" w:cs="Century Schoolbook"/>
          <w:vertAlign w:val="superscript"/>
        </w:rPr>
        <w:t>ème</w:t>
      </w:r>
      <w:r>
        <w:rPr>
          <w:rFonts w:ascii="Cambria" w:hAnsi="Cambria" w:cs="Century Schoolbook"/>
          <w:vertAlign w:val="superscript"/>
        </w:rPr>
        <w:t>,</w:t>
      </w:r>
      <w:r>
        <w:rPr>
          <w:rFonts w:ascii="Cambria" w:hAnsi="Cambria" w:cs="Century Schoolbook"/>
        </w:rPr>
        <w:t xml:space="preserve"> voire de la 8</w:t>
      </w:r>
      <w:r w:rsidRPr="00F24AF6">
        <w:rPr>
          <w:rFonts w:ascii="Cambria" w:hAnsi="Cambria" w:cs="Century Schoolbook"/>
          <w:vertAlign w:val="superscript"/>
        </w:rPr>
        <w:t>ème</w:t>
      </w:r>
      <w:r>
        <w:rPr>
          <w:rFonts w:ascii="Cambria" w:hAnsi="Cambria" w:cs="Century Schoolbook"/>
        </w:rPr>
        <w:t xml:space="preserve"> génération d’héritiers. Ces personnes sont alors confrontées à de nombreuses difficultés qui tiennent notamment à l’identification des indivisaires ou encore sur leur localisation.</w:t>
      </w:r>
    </w:p>
    <w:p w:rsidR="00DA6DE1" w:rsidRDefault="00DA6DE1" w:rsidP="00DA6DE1">
      <w:pPr>
        <w:widowControl w:val="0"/>
        <w:autoSpaceDE w:val="0"/>
        <w:autoSpaceDN w:val="0"/>
        <w:adjustRightInd w:val="0"/>
        <w:jc w:val="both"/>
        <w:rPr>
          <w:rFonts w:ascii="Cambria" w:hAnsi="Cambria" w:cs="Century Schoolbook"/>
        </w:rPr>
      </w:pPr>
    </w:p>
    <w:p w:rsidR="00DA6DE1" w:rsidRDefault="00DA6DE1" w:rsidP="00DA6DE1">
      <w:pPr>
        <w:widowControl w:val="0"/>
        <w:autoSpaceDE w:val="0"/>
        <w:autoSpaceDN w:val="0"/>
        <w:adjustRightInd w:val="0"/>
        <w:jc w:val="both"/>
        <w:rPr>
          <w:rFonts w:ascii="Cambria" w:hAnsi="Cambria" w:cs="Century Schoolbook"/>
        </w:rPr>
      </w:pPr>
      <w:r>
        <w:rPr>
          <w:rFonts w:ascii="Cambria" w:hAnsi="Cambria" w:cs="Century Schoolbook"/>
        </w:rPr>
        <w:t>Aussi, face à ces difficultés, une règle de partage spécifique et dérogatoire a été adoptée au travers de la loi du 26 juillet 2019 relative à la Polynésie française. En effet, celle-ci ouvre</w:t>
      </w:r>
      <w:r w:rsidR="00E726B6">
        <w:rPr>
          <w:rFonts w:ascii="Cambria" w:hAnsi="Cambria" w:cs="Century Schoolbook"/>
        </w:rPr>
        <w:t>,</w:t>
      </w:r>
      <w:r>
        <w:rPr>
          <w:rFonts w:ascii="Cambria" w:hAnsi="Cambria" w:cs="Century Schoolbook"/>
        </w:rPr>
        <w:t xml:space="preserve"> en son article 5 la possibilité, en matière de partage judiciaire, de recourir au partage par souche. </w:t>
      </w:r>
    </w:p>
    <w:p w:rsidR="00DA6DE1" w:rsidRDefault="00DA6DE1" w:rsidP="00DA6DE1">
      <w:pPr>
        <w:widowControl w:val="0"/>
        <w:autoSpaceDE w:val="0"/>
        <w:autoSpaceDN w:val="0"/>
        <w:adjustRightInd w:val="0"/>
        <w:jc w:val="both"/>
        <w:rPr>
          <w:rFonts w:ascii="Cambria" w:hAnsi="Cambria" w:cs="Century Schoolbook"/>
        </w:rPr>
      </w:pPr>
    </w:p>
    <w:p w:rsidR="00DA6DE1" w:rsidRDefault="00DA6DE1" w:rsidP="00DA6DE1">
      <w:pPr>
        <w:widowControl w:val="0"/>
        <w:autoSpaceDE w:val="0"/>
        <w:autoSpaceDN w:val="0"/>
        <w:adjustRightInd w:val="0"/>
        <w:jc w:val="both"/>
        <w:rPr>
          <w:rFonts w:ascii="Cambria" w:hAnsi="Cambria" w:cs="Century Schoolbook"/>
        </w:rPr>
      </w:pPr>
      <w:r>
        <w:rPr>
          <w:rFonts w:ascii="Cambria" w:hAnsi="Cambria" w:cs="Century Schoolbook"/>
        </w:rPr>
        <w:t>Pour l’application de ce texte, des modifications du code de procédure civile sont nécessaires et font l’objet d</w:t>
      </w:r>
      <w:r w:rsidR="00E726B6">
        <w:rPr>
          <w:rFonts w:ascii="Cambria" w:hAnsi="Cambria" w:cs="Century Schoolbook"/>
        </w:rPr>
        <w:t>’un</w:t>
      </w:r>
      <w:r>
        <w:rPr>
          <w:rFonts w:ascii="Cambria" w:hAnsi="Cambria" w:cs="Century Schoolbook"/>
        </w:rPr>
        <w:t xml:space="preserve"> projet de délibération qui va être transmis à l’Assemblée de la Polynésie française.</w:t>
      </w:r>
    </w:p>
    <w:p w:rsidR="00DA6DE1" w:rsidRDefault="00DA6DE1" w:rsidP="00DA6DE1">
      <w:pPr>
        <w:widowControl w:val="0"/>
        <w:autoSpaceDE w:val="0"/>
        <w:autoSpaceDN w:val="0"/>
        <w:adjustRightInd w:val="0"/>
        <w:jc w:val="both"/>
        <w:rPr>
          <w:rFonts w:ascii="Cambria" w:hAnsi="Cambria" w:cs="Century Schoolbook"/>
        </w:rPr>
      </w:pPr>
    </w:p>
    <w:p w:rsidR="00DA6DE1" w:rsidRDefault="00DA6DE1" w:rsidP="00DA6DE1">
      <w:pPr>
        <w:widowControl w:val="0"/>
        <w:autoSpaceDE w:val="0"/>
        <w:autoSpaceDN w:val="0"/>
        <w:adjustRightInd w:val="0"/>
        <w:jc w:val="both"/>
        <w:rPr>
          <w:rFonts w:ascii="Cambria" w:hAnsi="Cambria" w:cs="Century Schoolbook"/>
        </w:rPr>
      </w:pPr>
      <w:r>
        <w:rPr>
          <w:rFonts w:ascii="Cambria" w:hAnsi="Cambria" w:cs="Century Schoolbook"/>
        </w:rPr>
        <w:t xml:space="preserve">Il </w:t>
      </w:r>
      <w:r w:rsidR="00E726B6">
        <w:rPr>
          <w:rFonts w:ascii="Cambria" w:hAnsi="Cambria" w:cs="Century Schoolbook"/>
        </w:rPr>
        <w:t>convient de</w:t>
      </w:r>
      <w:r>
        <w:rPr>
          <w:rFonts w:ascii="Cambria" w:hAnsi="Cambria" w:cs="Century Schoolbook"/>
        </w:rPr>
        <w:t xml:space="preserve"> rappeler</w:t>
      </w:r>
      <w:r w:rsidR="00E726B6">
        <w:rPr>
          <w:rFonts w:ascii="Cambria" w:hAnsi="Cambria" w:cs="Century Schoolbook"/>
        </w:rPr>
        <w:t xml:space="preserve"> également</w:t>
      </w:r>
      <w:r>
        <w:rPr>
          <w:rFonts w:ascii="Cambria" w:hAnsi="Cambria" w:cs="Century Schoolbook"/>
        </w:rPr>
        <w:t xml:space="preserve"> que la loi du 26 juillet 2019 a ouvert la possibilité de recourir, devant les notaires, à un partage des successions à la majorité qualifiée d’au moins deux tiers des indivisaires. Cette procédure est déjà applicable.</w:t>
      </w:r>
    </w:p>
    <w:p w:rsidR="00DA6DE1" w:rsidRDefault="00DA6DE1" w:rsidP="00DA6DE1">
      <w:pPr>
        <w:widowControl w:val="0"/>
        <w:autoSpaceDE w:val="0"/>
        <w:autoSpaceDN w:val="0"/>
        <w:adjustRightInd w:val="0"/>
        <w:jc w:val="both"/>
        <w:rPr>
          <w:rFonts w:ascii="Cambria" w:hAnsi="Cambria" w:cs="Century Schoolbook"/>
        </w:rPr>
      </w:pPr>
    </w:p>
    <w:p w:rsidR="00E726B6" w:rsidRDefault="00E726B6" w:rsidP="00E726B6">
      <w:pPr>
        <w:widowControl w:val="0"/>
        <w:autoSpaceDE w:val="0"/>
        <w:autoSpaceDN w:val="0"/>
        <w:adjustRightInd w:val="0"/>
        <w:jc w:val="both"/>
        <w:rPr>
          <w:rFonts w:ascii="Cambria" w:hAnsi="Cambria" w:cs="Century Schoolbook"/>
          <w:b/>
        </w:rPr>
      </w:pPr>
    </w:p>
    <w:p w:rsidR="00E726B6" w:rsidRPr="00752F82" w:rsidRDefault="00E726B6" w:rsidP="00E726B6">
      <w:pPr>
        <w:widowControl w:val="0"/>
        <w:autoSpaceDE w:val="0"/>
        <w:autoSpaceDN w:val="0"/>
        <w:adjustRightInd w:val="0"/>
        <w:jc w:val="both"/>
        <w:rPr>
          <w:rFonts w:ascii="Cambria" w:hAnsi="Cambria" w:cs="Century Schoolbook"/>
          <w:b/>
        </w:rPr>
      </w:pPr>
      <w:r>
        <w:rPr>
          <w:rFonts w:ascii="Cambria" w:hAnsi="Cambria" w:cs="Century Schoolbook"/>
          <w:b/>
        </w:rPr>
        <w:t>« </w:t>
      </w:r>
      <w:proofErr w:type="spellStart"/>
      <w:r>
        <w:rPr>
          <w:rFonts w:ascii="Cambria" w:hAnsi="Cambria" w:cs="Century Schoolbook"/>
          <w:b/>
        </w:rPr>
        <w:t>Natira’a</w:t>
      </w:r>
      <w:proofErr w:type="spellEnd"/>
      <w:r>
        <w:rPr>
          <w:rFonts w:ascii="Cambria" w:hAnsi="Cambria" w:cs="Century Schoolbook"/>
          <w:b/>
        </w:rPr>
        <w:t xml:space="preserve"> Fenua » : projet d’</w:t>
      </w:r>
      <w:r w:rsidRPr="00752F82">
        <w:rPr>
          <w:rFonts w:ascii="Cambria" w:hAnsi="Cambria" w:cs="Century Schoolbook"/>
          <w:b/>
        </w:rPr>
        <w:t>harmonisation de l’ensemble des tarifs d’occupation du domaine public</w:t>
      </w:r>
    </w:p>
    <w:p w:rsidR="00DA6DE1" w:rsidRDefault="00DA6DE1" w:rsidP="00DA6DE1">
      <w:pPr>
        <w:widowControl w:val="0"/>
        <w:autoSpaceDE w:val="0"/>
        <w:autoSpaceDN w:val="0"/>
        <w:adjustRightInd w:val="0"/>
        <w:jc w:val="both"/>
        <w:rPr>
          <w:rFonts w:ascii="Cambria" w:hAnsi="Cambria" w:cs="Century Schoolbook"/>
        </w:rPr>
      </w:pPr>
    </w:p>
    <w:p w:rsidR="00DA6DE1" w:rsidRPr="00E726B6" w:rsidRDefault="00DA6DE1" w:rsidP="00E726B6">
      <w:pPr>
        <w:widowControl w:val="0"/>
        <w:autoSpaceDE w:val="0"/>
        <w:autoSpaceDN w:val="0"/>
        <w:adjustRightInd w:val="0"/>
        <w:jc w:val="both"/>
        <w:rPr>
          <w:rFonts w:ascii="Cambria" w:hAnsi="Cambria" w:cs="Century Schoolbook"/>
        </w:rPr>
      </w:pPr>
      <w:r w:rsidRPr="00752F82">
        <w:rPr>
          <w:rFonts w:ascii="Cambria" w:hAnsi="Cambria" w:cs="Century Schoolbook"/>
        </w:rPr>
        <w:t xml:space="preserve">La gestion du domaine public en Polynésie française est aujourd’hui répartie entre </w:t>
      </w:r>
      <w:r>
        <w:rPr>
          <w:rFonts w:ascii="Cambria" w:hAnsi="Cambria" w:cs="Century Schoolbook"/>
        </w:rPr>
        <w:t xml:space="preserve">les </w:t>
      </w:r>
      <w:r w:rsidRPr="00752F82">
        <w:rPr>
          <w:rFonts w:ascii="Cambria" w:hAnsi="Cambria" w:cs="Century Schoolbook"/>
        </w:rPr>
        <w:t>dif</w:t>
      </w:r>
      <w:r>
        <w:rPr>
          <w:rFonts w:ascii="Cambria" w:hAnsi="Cambria" w:cs="Century Schoolbook"/>
        </w:rPr>
        <w:t>férents services gestionnaires suivants :</w:t>
      </w:r>
      <w:r w:rsidR="00E726B6">
        <w:rPr>
          <w:rFonts w:ascii="Cambria" w:hAnsi="Cambria" w:cs="Century Schoolbook"/>
        </w:rPr>
        <w:t xml:space="preserve"> l</w:t>
      </w:r>
      <w:r w:rsidRPr="00E726B6">
        <w:rPr>
          <w:rFonts w:ascii="Cambria" w:hAnsi="Cambria" w:cs="Century Schoolbook"/>
        </w:rPr>
        <w:t>e Service des parcs et ja</w:t>
      </w:r>
      <w:r w:rsidR="00E726B6">
        <w:rPr>
          <w:rFonts w:ascii="Cambria" w:hAnsi="Cambria" w:cs="Century Schoolbook"/>
        </w:rPr>
        <w:t>rdins et de la propreté (SPJP), l</w:t>
      </w:r>
      <w:r w:rsidRPr="00E726B6">
        <w:rPr>
          <w:rFonts w:ascii="Cambria" w:hAnsi="Cambria" w:cs="Century Schoolbook"/>
        </w:rPr>
        <w:t>a D</w:t>
      </w:r>
      <w:r w:rsidR="00E726B6">
        <w:rPr>
          <w:rFonts w:ascii="Cambria" w:hAnsi="Cambria" w:cs="Century Schoolbook"/>
        </w:rPr>
        <w:t>irection de l’équipement (DEQ), l</w:t>
      </w:r>
      <w:r w:rsidRPr="00E726B6">
        <w:rPr>
          <w:rFonts w:ascii="Cambria" w:hAnsi="Cambria" w:cs="Century Schoolbook"/>
        </w:rPr>
        <w:t>a Directio</w:t>
      </w:r>
      <w:r w:rsidR="00E726B6">
        <w:rPr>
          <w:rFonts w:ascii="Cambria" w:hAnsi="Cambria" w:cs="Century Schoolbook"/>
        </w:rPr>
        <w:t>n des ressources marines (DRM), le Service du tourisme (SDT), l</w:t>
      </w:r>
      <w:r w:rsidRPr="00E726B6">
        <w:rPr>
          <w:rFonts w:ascii="Cambria" w:hAnsi="Cambria" w:cs="Century Schoolbook"/>
        </w:rPr>
        <w:t>a Direct</w:t>
      </w:r>
      <w:r w:rsidR="00E726B6">
        <w:rPr>
          <w:rFonts w:ascii="Cambria" w:hAnsi="Cambria" w:cs="Century Schoolbook"/>
        </w:rPr>
        <w:t>ion de l’aviation civile (DAC) et</w:t>
      </w:r>
      <w:r w:rsidRPr="00E726B6">
        <w:rPr>
          <w:rFonts w:ascii="Cambria" w:hAnsi="Cambria" w:cs="Century Schoolbook"/>
        </w:rPr>
        <w:t xml:space="preserve"> la Direction des affaires foncières (DAF).</w:t>
      </w:r>
    </w:p>
    <w:p w:rsidR="00DA6DE1" w:rsidRPr="00752F82" w:rsidRDefault="00DA6DE1" w:rsidP="00DA6DE1">
      <w:pPr>
        <w:widowControl w:val="0"/>
        <w:autoSpaceDE w:val="0"/>
        <w:autoSpaceDN w:val="0"/>
        <w:adjustRightInd w:val="0"/>
        <w:jc w:val="both"/>
        <w:rPr>
          <w:rFonts w:ascii="Cambria" w:hAnsi="Cambria" w:cs="Century Schoolbook"/>
        </w:rPr>
      </w:pPr>
    </w:p>
    <w:p w:rsidR="00DA6DE1" w:rsidRPr="00752F82" w:rsidRDefault="00DA6DE1" w:rsidP="00DA6DE1">
      <w:pPr>
        <w:widowControl w:val="0"/>
        <w:autoSpaceDE w:val="0"/>
        <w:autoSpaceDN w:val="0"/>
        <w:adjustRightInd w:val="0"/>
        <w:jc w:val="both"/>
        <w:rPr>
          <w:rFonts w:ascii="Cambria" w:hAnsi="Cambria" w:cs="Century Schoolbook"/>
        </w:rPr>
      </w:pPr>
      <w:r>
        <w:rPr>
          <w:rFonts w:ascii="Cambria" w:hAnsi="Cambria" w:cs="Century Schoolbook"/>
        </w:rPr>
        <w:t>Ces services</w:t>
      </w:r>
      <w:r w:rsidRPr="00752F82">
        <w:rPr>
          <w:rFonts w:ascii="Cambria" w:hAnsi="Cambria" w:cs="Century Schoolbook"/>
        </w:rPr>
        <w:t xml:space="preserve"> ont la charge d’instruire les autorisations d’occupation temporaire (AOT).</w:t>
      </w:r>
      <w:r w:rsidR="00E726B6">
        <w:rPr>
          <w:rFonts w:ascii="Cambria" w:hAnsi="Cambria" w:cs="Century Schoolbook"/>
        </w:rPr>
        <w:t xml:space="preserve"> </w:t>
      </w:r>
      <w:r>
        <w:rPr>
          <w:rFonts w:ascii="Cambria" w:hAnsi="Cambria" w:cs="Century Schoolbook"/>
        </w:rPr>
        <w:t>Or, c</w:t>
      </w:r>
      <w:r w:rsidRPr="00752F82">
        <w:rPr>
          <w:rFonts w:ascii="Cambria" w:hAnsi="Cambria" w:cs="Century Schoolbook"/>
        </w:rPr>
        <w:t xml:space="preserve">ette répartition de la gestion du domaine public a entraîné une démultiplication des arrêtés </w:t>
      </w:r>
      <w:r>
        <w:rPr>
          <w:rFonts w:ascii="Cambria" w:hAnsi="Cambria" w:cs="Century Schoolbook"/>
        </w:rPr>
        <w:t>de</w:t>
      </w:r>
      <w:r w:rsidRPr="00752F82">
        <w:rPr>
          <w:rFonts w:ascii="Cambria" w:hAnsi="Cambria" w:cs="Century Schoolbook"/>
        </w:rPr>
        <w:t xml:space="preserve">s tarifs </w:t>
      </w:r>
      <w:r>
        <w:rPr>
          <w:rFonts w:ascii="Cambria" w:hAnsi="Cambria" w:cs="Century Schoolbook"/>
        </w:rPr>
        <w:t xml:space="preserve">d’occupation du </w:t>
      </w:r>
      <w:r w:rsidRPr="00752F82">
        <w:rPr>
          <w:rFonts w:ascii="Cambria" w:hAnsi="Cambria" w:cs="Century Schoolbook"/>
        </w:rPr>
        <w:t>domaine public. Il existe</w:t>
      </w:r>
      <w:r w:rsidR="00E726B6">
        <w:rPr>
          <w:rFonts w:ascii="Cambria" w:hAnsi="Cambria" w:cs="Century Schoolbook"/>
        </w:rPr>
        <w:t>,</w:t>
      </w:r>
      <w:r w:rsidRPr="00752F82">
        <w:rPr>
          <w:rFonts w:ascii="Cambria" w:hAnsi="Cambria" w:cs="Century Schoolbook"/>
        </w:rPr>
        <w:t xml:space="preserve"> à ce jour</w:t>
      </w:r>
      <w:r w:rsidR="00E726B6">
        <w:rPr>
          <w:rFonts w:ascii="Cambria" w:hAnsi="Cambria" w:cs="Century Schoolbook"/>
        </w:rPr>
        <w:t xml:space="preserve">, </w:t>
      </w:r>
      <w:r w:rsidR="00E726B6" w:rsidRPr="00752F82">
        <w:rPr>
          <w:rFonts w:ascii="Cambria" w:hAnsi="Cambria" w:cs="Century Schoolbook"/>
        </w:rPr>
        <w:t>neuf textes</w:t>
      </w:r>
      <w:r w:rsidR="00E726B6">
        <w:rPr>
          <w:rFonts w:ascii="Cambria" w:hAnsi="Cambria" w:cs="Century Schoolbook"/>
        </w:rPr>
        <w:t xml:space="preserve"> relatifs à ce sujet</w:t>
      </w:r>
      <w:r w:rsidRPr="00752F82">
        <w:rPr>
          <w:rFonts w:ascii="Cambria" w:hAnsi="Cambria" w:cs="Century Schoolbook"/>
        </w:rPr>
        <w:t>.</w:t>
      </w:r>
    </w:p>
    <w:p w:rsidR="00DA6DE1" w:rsidRDefault="00DA6DE1" w:rsidP="00DA6DE1">
      <w:pPr>
        <w:widowControl w:val="0"/>
        <w:autoSpaceDE w:val="0"/>
        <w:autoSpaceDN w:val="0"/>
        <w:adjustRightInd w:val="0"/>
        <w:jc w:val="both"/>
        <w:rPr>
          <w:rFonts w:ascii="Cambria" w:hAnsi="Cambria" w:cs="Century Schoolbook"/>
        </w:rPr>
      </w:pPr>
    </w:p>
    <w:p w:rsidR="00DA6DE1" w:rsidRDefault="00DA6DE1" w:rsidP="00DA6DE1">
      <w:pPr>
        <w:widowControl w:val="0"/>
        <w:autoSpaceDE w:val="0"/>
        <w:autoSpaceDN w:val="0"/>
        <w:adjustRightInd w:val="0"/>
        <w:jc w:val="both"/>
        <w:rPr>
          <w:rFonts w:ascii="Cambria" w:hAnsi="Cambria" w:cs="Century Schoolbook"/>
        </w:rPr>
      </w:pPr>
      <w:r w:rsidRPr="00752F82">
        <w:rPr>
          <w:rFonts w:ascii="Cambria" w:hAnsi="Cambria" w:cs="Century Schoolbook"/>
        </w:rPr>
        <w:t xml:space="preserve">Cette diversité des tarifs entraîne une certaine confusion quant à la compréhension de leur application vis-à-vis des usagers. Par exemple, les activités de bouches (restaurants, roulottes) sont tarifées à des prix différents selon qu’elles se situent sur un site géré par le SDT ou la DAF. </w:t>
      </w:r>
    </w:p>
    <w:p w:rsidR="00DA6DE1" w:rsidRPr="00752F82" w:rsidRDefault="00DA6DE1" w:rsidP="00DA6DE1">
      <w:pPr>
        <w:widowControl w:val="0"/>
        <w:autoSpaceDE w:val="0"/>
        <w:autoSpaceDN w:val="0"/>
        <w:adjustRightInd w:val="0"/>
        <w:jc w:val="both"/>
        <w:rPr>
          <w:rFonts w:ascii="Cambria" w:hAnsi="Cambria" w:cs="Century Schoolbook"/>
        </w:rPr>
      </w:pPr>
    </w:p>
    <w:p w:rsidR="00DA6DE1" w:rsidRDefault="00DA6DE1" w:rsidP="00DA6DE1">
      <w:pPr>
        <w:widowControl w:val="0"/>
        <w:autoSpaceDE w:val="0"/>
        <w:autoSpaceDN w:val="0"/>
        <w:adjustRightInd w:val="0"/>
        <w:jc w:val="both"/>
        <w:rPr>
          <w:rFonts w:ascii="Cambria" w:hAnsi="Cambria" w:cs="Century Schoolbook"/>
        </w:rPr>
      </w:pPr>
      <w:r>
        <w:rPr>
          <w:rFonts w:ascii="Cambria" w:hAnsi="Cambria" w:cs="Century Schoolbook"/>
        </w:rPr>
        <w:t>Afin de simplifier les procédures et notamment réduire les délais d’instruction des demandes</w:t>
      </w:r>
      <w:r w:rsidRPr="00752F82">
        <w:rPr>
          <w:rFonts w:ascii="Cambria" w:hAnsi="Cambria" w:cs="Century Schoolbook"/>
        </w:rPr>
        <w:t>, la D</w:t>
      </w:r>
      <w:r w:rsidR="00E726B6">
        <w:rPr>
          <w:rFonts w:ascii="Cambria" w:hAnsi="Cambria" w:cs="Century Schoolbook"/>
        </w:rPr>
        <w:t>irection des Affaires foncières</w:t>
      </w:r>
      <w:r w:rsidRPr="00752F82">
        <w:rPr>
          <w:rFonts w:ascii="Cambria" w:hAnsi="Cambria" w:cs="Century Schoolbook"/>
        </w:rPr>
        <w:t xml:space="preserve"> met en œuvre actuellement le développement de l’application informatique de gestion des biens immobiliers du Pays </w:t>
      </w:r>
      <w:r>
        <w:rPr>
          <w:rFonts w:ascii="Cambria" w:hAnsi="Cambria" w:cs="Century Schoolbook"/>
        </w:rPr>
        <w:t xml:space="preserve">appelée </w:t>
      </w:r>
      <w:proofErr w:type="spellStart"/>
      <w:r w:rsidRPr="00752F82">
        <w:rPr>
          <w:rFonts w:ascii="Cambria" w:hAnsi="Cambria" w:cs="Century Schoolbook"/>
        </w:rPr>
        <w:t>Natira’a</w:t>
      </w:r>
      <w:proofErr w:type="spellEnd"/>
      <w:r w:rsidRPr="00752F82">
        <w:rPr>
          <w:rFonts w:ascii="Cambria" w:hAnsi="Cambria" w:cs="Century Schoolbook"/>
        </w:rPr>
        <w:t xml:space="preserve"> Fenua.</w:t>
      </w:r>
    </w:p>
    <w:p w:rsidR="00DA6DE1" w:rsidRPr="00752F82" w:rsidRDefault="00DA6DE1" w:rsidP="00DA6DE1">
      <w:pPr>
        <w:widowControl w:val="0"/>
        <w:autoSpaceDE w:val="0"/>
        <w:autoSpaceDN w:val="0"/>
        <w:adjustRightInd w:val="0"/>
        <w:jc w:val="both"/>
        <w:rPr>
          <w:rFonts w:ascii="Cambria" w:hAnsi="Cambria" w:cs="Century Schoolbook"/>
        </w:rPr>
      </w:pPr>
    </w:p>
    <w:p w:rsidR="00DA6DE1" w:rsidRDefault="00DA6DE1" w:rsidP="00DA6DE1">
      <w:pPr>
        <w:widowControl w:val="0"/>
        <w:autoSpaceDE w:val="0"/>
        <w:autoSpaceDN w:val="0"/>
        <w:adjustRightInd w:val="0"/>
        <w:jc w:val="both"/>
        <w:rPr>
          <w:rFonts w:ascii="Cambria" w:hAnsi="Cambria" w:cs="Century Schoolbook"/>
        </w:rPr>
      </w:pPr>
      <w:r>
        <w:rPr>
          <w:rFonts w:ascii="Cambria" w:hAnsi="Cambria" w:cs="Century Schoolbook"/>
        </w:rPr>
        <w:t xml:space="preserve">Une des étapes préliminaire au lancement de cette simplification est de </w:t>
      </w:r>
      <w:r w:rsidRPr="00752F82">
        <w:rPr>
          <w:rFonts w:ascii="Cambria" w:hAnsi="Cambria" w:cs="Century Schoolbook"/>
        </w:rPr>
        <w:t>proposer une grille tarifaire simplifiée, en mesure de prendre en compte l’hétérogénéité des demandes.</w:t>
      </w:r>
      <w:r w:rsidR="00E726B6">
        <w:rPr>
          <w:rFonts w:ascii="Cambria" w:hAnsi="Cambria" w:cs="Century Schoolbook"/>
        </w:rPr>
        <w:t xml:space="preserve"> </w:t>
      </w:r>
      <w:r>
        <w:rPr>
          <w:rFonts w:ascii="Cambria" w:hAnsi="Cambria" w:cs="Century Schoolbook"/>
        </w:rPr>
        <w:t xml:space="preserve">Ce travail n’aura </w:t>
      </w:r>
      <w:r w:rsidR="00E726B6">
        <w:rPr>
          <w:rFonts w:ascii="Cambria" w:hAnsi="Cambria" w:cs="Century Schoolbook"/>
        </w:rPr>
        <w:t>pas</w:t>
      </w:r>
      <w:r>
        <w:rPr>
          <w:rFonts w:ascii="Cambria" w:hAnsi="Cambria" w:cs="Century Schoolbook"/>
        </w:rPr>
        <w:t xml:space="preserve"> </w:t>
      </w:r>
      <w:r w:rsidR="00E726B6">
        <w:rPr>
          <w:rFonts w:ascii="Cambria" w:hAnsi="Cambria" w:cs="Century Schoolbook"/>
        </w:rPr>
        <w:t>d’</w:t>
      </w:r>
      <w:r>
        <w:rPr>
          <w:rFonts w:ascii="Cambria" w:hAnsi="Cambria" w:cs="Century Schoolbook"/>
        </w:rPr>
        <w:t xml:space="preserve">impact </w:t>
      </w:r>
      <w:r w:rsidR="00E726B6">
        <w:rPr>
          <w:rFonts w:ascii="Cambria" w:hAnsi="Cambria" w:cs="Century Schoolbook"/>
        </w:rPr>
        <w:t xml:space="preserve">direct </w:t>
      </w:r>
      <w:r>
        <w:rPr>
          <w:rFonts w:ascii="Cambria" w:hAnsi="Cambria" w:cs="Century Schoolbook"/>
        </w:rPr>
        <w:t xml:space="preserve">pour l’usager car il n’a pas pour objectif </w:t>
      </w:r>
      <w:r w:rsidRPr="00752F82">
        <w:rPr>
          <w:rFonts w:ascii="Cambria" w:hAnsi="Cambria" w:cs="Century Schoolbook"/>
        </w:rPr>
        <w:t>d’augment</w:t>
      </w:r>
      <w:r>
        <w:rPr>
          <w:rFonts w:ascii="Cambria" w:hAnsi="Cambria" w:cs="Century Schoolbook"/>
        </w:rPr>
        <w:t>er le montant des tarifs applicables</w:t>
      </w:r>
      <w:r w:rsidRPr="00752F82">
        <w:rPr>
          <w:rFonts w:ascii="Cambria" w:hAnsi="Cambria" w:cs="Century Schoolbook"/>
        </w:rPr>
        <w:t>.</w:t>
      </w:r>
    </w:p>
    <w:p w:rsidR="005104B4" w:rsidRPr="0094162F" w:rsidRDefault="005104B4" w:rsidP="00DA6DE1">
      <w:pPr>
        <w:widowControl w:val="0"/>
        <w:autoSpaceDE w:val="0"/>
        <w:autoSpaceDN w:val="0"/>
        <w:adjustRightInd w:val="0"/>
        <w:jc w:val="both"/>
        <w:rPr>
          <w:rFonts w:ascii="Cambria" w:hAnsi="Cambria" w:cs="Century Schoolbook"/>
        </w:rPr>
      </w:pPr>
    </w:p>
    <w:p w:rsidR="005104B4" w:rsidRDefault="005104B4" w:rsidP="005104B4">
      <w:pPr>
        <w:pStyle w:val="-lettretextegeda0"/>
        <w:spacing w:before="120" w:beforeAutospacing="0" w:after="120" w:afterAutospacing="0"/>
        <w:jc w:val="both"/>
        <w:rPr>
          <w:rFonts w:ascii="Cambria" w:hAnsi="Cambria"/>
          <w:b/>
        </w:rPr>
      </w:pPr>
      <w:r w:rsidRPr="005104B4">
        <w:rPr>
          <w:rFonts w:ascii="Cambria" w:hAnsi="Cambria"/>
          <w:b/>
        </w:rPr>
        <w:t>Le Pays procède à la cartographie de ses traitements de données à caractère personnel</w:t>
      </w:r>
    </w:p>
    <w:p w:rsidR="005104B4" w:rsidRPr="005104B4" w:rsidRDefault="005104B4" w:rsidP="005104B4">
      <w:pPr>
        <w:pStyle w:val="-lettretextegeda0"/>
        <w:spacing w:before="120" w:beforeAutospacing="0" w:after="120" w:afterAutospacing="0"/>
        <w:jc w:val="both"/>
        <w:rPr>
          <w:rFonts w:ascii="Cambria" w:hAnsi="Cambria"/>
          <w:b/>
        </w:rPr>
      </w:pPr>
    </w:p>
    <w:p w:rsidR="005104B4" w:rsidRPr="005104B4" w:rsidRDefault="005104B4" w:rsidP="005104B4">
      <w:pPr>
        <w:pStyle w:val="-lettretextegeda0"/>
        <w:spacing w:before="120" w:beforeAutospacing="0" w:after="120" w:afterAutospacing="0"/>
        <w:jc w:val="both"/>
        <w:rPr>
          <w:rFonts w:ascii="Cambria" w:hAnsi="Cambria"/>
        </w:rPr>
      </w:pPr>
      <w:r w:rsidRPr="005104B4">
        <w:rPr>
          <w:rFonts w:ascii="Cambria" w:hAnsi="Cambria"/>
        </w:rPr>
        <w:t xml:space="preserve">Le règlement </w:t>
      </w:r>
      <w:r>
        <w:rPr>
          <w:rFonts w:ascii="Cambria" w:hAnsi="Cambria"/>
        </w:rPr>
        <w:t>de l’Union Européenne</w:t>
      </w:r>
      <w:r w:rsidRPr="005104B4">
        <w:rPr>
          <w:rFonts w:ascii="Cambria" w:hAnsi="Cambria"/>
        </w:rPr>
        <w:t xml:space="preserve"> du 27 avril 2016 (RGPD) et la loi du 6 janvier 1978 « informatique et libertés » posent les règles de protection des données personnelles. Ces textes s’appliquent aux fichiers de l’administration. La ministre en charge du numérique a présenté, au Conseil des ministres, la démarche qui doit permettre, à travers l’analyse des traitements, d’assurer leur conformité à cette législation.</w:t>
      </w:r>
    </w:p>
    <w:p w:rsidR="005104B4" w:rsidRPr="005104B4" w:rsidRDefault="005104B4" w:rsidP="005104B4">
      <w:pPr>
        <w:pStyle w:val="-lettretextegeda0"/>
        <w:spacing w:before="120" w:beforeAutospacing="0" w:after="120" w:afterAutospacing="0"/>
        <w:jc w:val="both"/>
        <w:rPr>
          <w:rFonts w:ascii="Cambria" w:hAnsi="Cambria"/>
        </w:rPr>
      </w:pPr>
      <w:r w:rsidRPr="005104B4">
        <w:rPr>
          <w:rFonts w:ascii="Cambria" w:hAnsi="Cambria"/>
        </w:rPr>
        <w:t xml:space="preserve">En effet, le gouvernement ainsi que l’ensemble des services administratifs doivent tenir un registre de leurs traitements de données à caractère personnel. Ce registre recense et décrit l’ensemble des fichiers mis en œuvre dans l’exercice </w:t>
      </w:r>
      <w:r>
        <w:rPr>
          <w:rFonts w:ascii="Cambria" w:hAnsi="Cambria"/>
        </w:rPr>
        <w:t>des</w:t>
      </w:r>
      <w:r w:rsidRPr="005104B4">
        <w:rPr>
          <w:rFonts w:ascii="Cambria" w:hAnsi="Cambria"/>
        </w:rPr>
        <w:t xml:space="preserve"> missions de service public dès lors qu’ils contiennent des données de personnes physiques. </w:t>
      </w:r>
    </w:p>
    <w:p w:rsidR="00F553AE" w:rsidRDefault="00F553AE" w:rsidP="003C5FFF">
      <w:pPr>
        <w:pStyle w:val="-LettreTexteGEDA"/>
        <w:rPr>
          <w:rFonts w:asciiTheme="majorHAnsi" w:hAnsiTheme="majorHAnsi"/>
          <w:noProof w:val="0"/>
          <w:szCs w:val="24"/>
        </w:rPr>
      </w:pPr>
    </w:p>
    <w:p w:rsidR="00E726B6" w:rsidRPr="00E726B6" w:rsidRDefault="00E726B6" w:rsidP="00E726B6">
      <w:pPr>
        <w:pStyle w:val="-LettreObjetGEDA"/>
        <w:tabs>
          <w:tab w:val="left" w:pos="709"/>
        </w:tabs>
        <w:ind w:left="0" w:firstLine="0"/>
        <w:rPr>
          <w:rFonts w:ascii="Cambria" w:hAnsi="Cambria"/>
          <w:b/>
          <w:noProof w:val="0"/>
          <w:szCs w:val="24"/>
        </w:rPr>
      </w:pPr>
      <w:r w:rsidRPr="00E726B6">
        <w:rPr>
          <w:rFonts w:ascii="Cambria" w:hAnsi="Cambria"/>
          <w:b/>
          <w:noProof w:val="0"/>
          <w:szCs w:val="24"/>
        </w:rPr>
        <w:t xml:space="preserve">Subventions à des associations </w:t>
      </w:r>
      <w:proofErr w:type="spellStart"/>
      <w:r w:rsidRPr="00E726B6">
        <w:rPr>
          <w:rFonts w:ascii="Cambria" w:hAnsi="Cambria"/>
          <w:b/>
          <w:noProof w:val="0"/>
          <w:szCs w:val="24"/>
        </w:rPr>
        <w:t>oeuvrant</w:t>
      </w:r>
      <w:proofErr w:type="spellEnd"/>
      <w:r w:rsidRPr="00E726B6">
        <w:rPr>
          <w:rFonts w:ascii="Cambria" w:hAnsi="Cambria"/>
          <w:b/>
          <w:noProof w:val="0"/>
          <w:szCs w:val="24"/>
        </w:rPr>
        <w:t xml:space="preserve"> pour la protection de l’environnement</w:t>
      </w:r>
    </w:p>
    <w:p w:rsidR="00E726B6" w:rsidRPr="00E726B6" w:rsidRDefault="00E726B6" w:rsidP="00E726B6">
      <w:pPr>
        <w:pStyle w:val="-LettreTexteGEDA"/>
        <w:rPr>
          <w:rFonts w:ascii="Cambria" w:hAnsi="Cambria"/>
          <w:noProof w:val="0"/>
          <w:szCs w:val="24"/>
          <w:highlight w:val="yellow"/>
        </w:rPr>
      </w:pPr>
    </w:p>
    <w:p w:rsidR="00E726B6" w:rsidRPr="00E726B6" w:rsidRDefault="00E726B6" w:rsidP="00E726B6">
      <w:pPr>
        <w:spacing w:after="120"/>
        <w:jc w:val="both"/>
        <w:rPr>
          <w:rFonts w:ascii="Cambria" w:hAnsi="Cambria"/>
        </w:rPr>
      </w:pPr>
      <w:r w:rsidRPr="00E726B6">
        <w:rPr>
          <w:rFonts w:ascii="Cambria" w:hAnsi="Cambria"/>
        </w:rPr>
        <w:t xml:space="preserve">Sur proposition </w:t>
      </w:r>
      <w:r>
        <w:rPr>
          <w:rFonts w:ascii="Cambria" w:hAnsi="Cambria"/>
        </w:rPr>
        <w:t>du</w:t>
      </w:r>
      <w:r w:rsidRPr="00E726B6">
        <w:rPr>
          <w:rFonts w:ascii="Cambria" w:hAnsi="Cambria"/>
        </w:rPr>
        <w:t xml:space="preserve"> ministre en charge de l'environnement, le Conseil des </w:t>
      </w:r>
      <w:r>
        <w:rPr>
          <w:rFonts w:ascii="Cambria" w:hAnsi="Cambria"/>
        </w:rPr>
        <w:t>m</w:t>
      </w:r>
      <w:r w:rsidRPr="00E726B6">
        <w:rPr>
          <w:rFonts w:ascii="Cambria" w:hAnsi="Cambria"/>
        </w:rPr>
        <w:t>inistres a adopté l'octroi de subventions en faveur de 11 associations pour la mise en œuvre de projets environnementaux.</w:t>
      </w:r>
    </w:p>
    <w:p w:rsidR="00E726B6" w:rsidRPr="00E726B6" w:rsidRDefault="00E726B6" w:rsidP="00E726B6">
      <w:pPr>
        <w:spacing w:after="120"/>
        <w:jc w:val="both"/>
        <w:rPr>
          <w:rFonts w:ascii="Cambria" w:hAnsi="Cambria"/>
        </w:rPr>
      </w:pPr>
      <w:r w:rsidRPr="00E726B6">
        <w:rPr>
          <w:rFonts w:ascii="Cambria" w:hAnsi="Cambria"/>
        </w:rPr>
        <w:t xml:space="preserve">Ces demandes, reçues dans le cadre de l’appel à projets lancé au mois de décembre 2019 par la Direction de l'environnement, ont été examinées par le </w:t>
      </w:r>
      <w:r>
        <w:rPr>
          <w:rFonts w:ascii="Cambria" w:hAnsi="Cambria"/>
        </w:rPr>
        <w:t>c</w:t>
      </w:r>
      <w:r w:rsidRPr="00E726B6">
        <w:rPr>
          <w:rFonts w:ascii="Cambria" w:hAnsi="Cambria"/>
        </w:rPr>
        <w:t xml:space="preserve">omité d’attribution des subventions en matière de protection, de conservation, de gestion et de valorisation de l’environnement de la Polynésie française, </w:t>
      </w:r>
      <w:r>
        <w:rPr>
          <w:rFonts w:ascii="Cambria" w:hAnsi="Cambria"/>
        </w:rPr>
        <w:t>lors de sa séance du</w:t>
      </w:r>
      <w:r w:rsidRPr="00E726B6">
        <w:rPr>
          <w:rFonts w:ascii="Cambria" w:hAnsi="Cambria"/>
        </w:rPr>
        <w:t xml:space="preserve"> 12 juin </w:t>
      </w:r>
      <w:r>
        <w:rPr>
          <w:rFonts w:ascii="Cambria" w:hAnsi="Cambria"/>
        </w:rPr>
        <w:t>dernier</w:t>
      </w:r>
      <w:r w:rsidRPr="00E726B6">
        <w:rPr>
          <w:rFonts w:ascii="Cambria" w:hAnsi="Cambria"/>
        </w:rPr>
        <w:t xml:space="preserve">.  </w:t>
      </w:r>
    </w:p>
    <w:p w:rsidR="00E726B6" w:rsidRPr="00E726B6" w:rsidRDefault="00E726B6" w:rsidP="00E726B6">
      <w:pPr>
        <w:spacing w:after="120"/>
        <w:jc w:val="both"/>
        <w:rPr>
          <w:rFonts w:ascii="Cambria" w:hAnsi="Cambria"/>
        </w:rPr>
      </w:pPr>
      <w:r w:rsidRPr="00E726B6">
        <w:rPr>
          <w:rFonts w:ascii="Cambria" w:hAnsi="Cambria"/>
        </w:rPr>
        <w:t xml:space="preserve">Sur les 11 projets présentés, 6 concernent les </w:t>
      </w:r>
      <w:r>
        <w:rPr>
          <w:rFonts w:ascii="Cambria" w:hAnsi="Cambria"/>
        </w:rPr>
        <w:t>îles du V</w:t>
      </w:r>
      <w:r w:rsidRPr="00E726B6">
        <w:rPr>
          <w:rFonts w:ascii="Cambria" w:hAnsi="Cambria"/>
        </w:rPr>
        <w:t>ent (prin</w:t>
      </w:r>
      <w:r>
        <w:rPr>
          <w:rFonts w:ascii="Cambria" w:hAnsi="Cambria"/>
        </w:rPr>
        <w:t>cipalement Tahiti), 3 les Iles S</w:t>
      </w:r>
      <w:r w:rsidRPr="00E726B6">
        <w:rPr>
          <w:rFonts w:ascii="Cambria" w:hAnsi="Cambria"/>
        </w:rPr>
        <w:t>ous-le-vent (</w:t>
      </w:r>
      <w:proofErr w:type="spellStart"/>
      <w:r w:rsidRPr="00E726B6">
        <w:rPr>
          <w:rFonts w:ascii="Cambria" w:hAnsi="Cambria"/>
        </w:rPr>
        <w:t>Huahine</w:t>
      </w:r>
      <w:proofErr w:type="spellEnd"/>
      <w:r w:rsidRPr="00E726B6">
        <w:rPr>
          <w:rFonts w:ascii="Cambria" w:hAnsi="Cambria"/>
        </w:rPr>
        <w:t>), 1 les Tuamotu-Gambier (</w:t>
      </w:r>
      <w:proofErr w:type="spellStart"/>
      <w:r w:rsidRPr="00E726B6">
        <w:rPr>
          <w:rFonts w:ascii="Cambria" w:hAnsi="Cambria"/>
        </w:rPr>
        <w:t>Tatakoto</w:t>
      </w:r>
      <w:proofErr w:type="spellEnd"/>
      <w:r w:rsidRPr="00E726B6">
        <w:rPr>
          <w:rFonts w:ascii="Cambria" w:hAnsi="Cambria"/>
        </w:rPr>
        <w:t>), et 1 les Marquises (</w:t>
      </w:r>
      <w:proofErr w:type="spellStart"/>
      <w:r w:rsidRPr="00E726B6">
        <w:rPr>
          <w:rFonts w:ascii="Cambria" w:hAnsi="Cambria"/>
        </w:rPr>
        <w:t>Atuona</w:t>
      </w:r>
      <w:proofErr w:type="spellEnd"/>
      <w:r w:rsidRPr="00E726B6">
        <w:rPr>
          <w:rFonts w:ascii="Cambria" w:hAnsi="Cambria"/>
        </w:rPr>
        <w:t xml:space="preserve">), pour un montant d'aide global de 14 362 000 </w:t>
      </w:r>
      <w:proofErr w:type="spellStart"/>
      <w:r w:rsidRPr="00E726B6">
        <w:rPr>
          <w:rFonts w:ascii="Cambria" w:hAnsi="Cambria"/>
        </w:rPr>
        <w:t>F</w:t>
      </w:r>
      <w:r>
        <w:rPr>
          <w:rFonts w:ascii="Cambria" w:hAnsi="Cambria"/>
        </w:rPr>
        <w:t>cfp</w:t>
      </w:r>
      <w:proofErr w:type="spellEnd"/>
      <w:r w:rsidRPr="00E726B6">
        <w:rPr>
          <w:rFonts w:ascii="Cambria" w:hAnsi="Cambria"/>
        </w:rPr>
        <w:t xml:space="preserve">. </w:t>
      </w:r>
    </w:p>
    <w:p w:rsidR="00E726B6" w:rsidRPr="00E726B6" w:rsidRDefault="00E726B6" w:rsidP="00E726B6">
      <w:pPr>
        <w:spacing w:after="120"/>
        <w:jc w:val="both"/>
        <w:rPr>
          <w:rFonts w:ascii="Cambria" w:hAnsi="Cambria"/>
        </w:rPr>
      </w:pPr>
      <w:r w:rsidRPr="00E726B6">
        <w:rPr>
          <w:rFonts w:ascii="Cambria" w:hAnsi="Cambria"/>
        </w:rPr>
        <w:t>Depuis sa création en 2017, ce dispositif de soutien des associations environnementales a permis de financer 67 projets, concernant principalement des actions de ramassage de déchets et de sensibilisation à l'environnement, mais également de</w:t>
      </w:r>
      <w:r>
        <w:rPr>
          <w:rFonts w:ascii="Cambria" w:hAnsi="Cambria"/>
        </w:rPr>
        <w:t>s actions de</w:t>
      </w:r>
      <w:r w:rsidRPr="00E726B6">
        <w:rPr>
          <w:rFonts w:ascii="Cambria" w:hAnsi="Cambria"/>
        </w:rPr>
        <w:t xml:space="preserve"> lutte contre les espèces envahissantes ou de protection d'espèces menacées.</w:t>
      </w:r>
    </w:p>
    <w:p w:rsidR="00E726B6" w:rsidRPr="00E726B6" w:rsidRDefault="00E726B6" w:rsidP="00E726B6">
      <w:pPr>
        <w:spacing w:after="120"/>
        <w:ind w:firstLine="567"/>
        <w:jc w:val="both"/>
        <w:rPr>
          <w:rFonts w:ascii="Cambria" w:hAnsi="Cambria"/>
        </w:rPr>
      </w:pPr>
    </w:p>
    <w:p w:rsidR="00E726B6" w:rsidRPr="00E726B6" w:rsidRDefault="00E726B6" w:rsidP="00E726B6">
      <w:pPr>
        <w:pStyle w:val="-LettreObjetGEDA"/>
        <w:tabs>
          <w:tab w:val="left" w:pos="709"/>
        </w:tabs>
        <w:ind w:left="0" w:firstLine="0"/>
        <w:rPr>
          <w:rFonts w:ascii="Cambria" w:hAnsi="Cambria"/>
          <w:b/>
          <w:noProof w:val="0"/>
          <w:szCs w:val="24"/>
        </w:rPr>
      </w:pPr>
      <w:r w:rsidRPr="00E726B6">
        <w:rPr>
          <w:rFonts w:ascii="Cambria" w:hAnsi="Cambria"/>
          <w:b/>
          <w:noProof w:val="0"/>
          <w:szCs w:val="24"/>
        </w:rPr>
        <w:t>Accès facilité à la médiathèque de la Maison de la Culture pour les enfants issus de milieux défavorisés</w:t>
      </w:r>
    </w:p>
    <w:p w:rsidR="00E726B6" w:rsidRPr="00E726B6" w:rsidRDefault="00E726B6" w:rsidP="00E726B6">
      <w:pPr>
        <w:pStyle w:val="alinea"/>
        <w:spacing w:after="120" w:afterAutospacing="0"/>
        <w:jc w:val="both"/>
        <w:rPr>
          <w:rFonts w:ascii="Cambria" w:hAnsi="Cambria"/>
        </w:rPr>
      </w:pPr>
      <w:r>
        <w:rPr>
          <w:rFonts w:ascii="Cambria" w:hAnsi="Cambria"/>
        </w:rPr>
        <w:t xml:space="preserve">Le </w:t>
      </w:r>
      <w:r w:rsidRPr="00E726B6">
        <w:rPr>
          <w:rFonts w:ascii="Cambria" w:hAnsi="Cambria"/>
        </w:rPr>
        <w:t xml:space="preserve">Conseil des ministres a pris un arrêté autorisant la directrice de </w:t>
      </w:r>
      <w:r w:rsidRPr="00E726B6">
        <w:rPr>
          <w:rFonts w:ascii="Cambria" w:hAnsi="Cambria"/>
          <w:i/>
        </w:rPr>
        <w:t xml:space="preserve">Te </w:t>
      </w:r>
      <w:proofErr w:type="spellStart"/>
      <w:r w:rsidRPr="00E726B6">
        <w:rPr>
          <w:rFonts w:ascii="Cambria" w:hAnsi="Cambria"/>
          <w:i/>
        </w:rPr>
        <w:t>fare</w:t>
      </w:r>
      <w:proofErr w:type="spellEnd"/>
      <w:r w:rsidRPr="00E726B6">
        <w:rPr>
          <w:rFonts w:ascii="Cambria" w:hAnsi="Cambria"/>
          <w:i/>
        </w:rPr>
        <w:t xml:space="preserve"> </w:t>
      </w:r>
      <w:proofErr w:type="spellStart"/>
      <w:r w:rsidRPr="00E726B6">
        <w:rPr>
          <w:rFonts w:ascii="Cambria" w:hAnsi="Cambria"/>
          <w:i/>
        </w:rPr>
        <w:t>tauhiti</w:t>
      </w:r>
      <w:proofErr w:type="spellEnd"/>
      <w:r w:rsidRPr="00E726B6">
        <w:rPr>
          <w:rFonts w:ascii="Cambria" w:hAnsi="Cambria"/>
          <w:i/>
        </w:rPr>
        <w:t xml:space="preserve"> Nui </w:t>
      </w:r>
      <w:r w:rsidRPr="00E726B6">
        <w:rPr>
          <w:rFonts w:ascii="Cambria" w:hAnsi="Cambria"/>
        </w:rPr>
        <w:t>– Maison de la culture</w:t>
      </w:r>
      <w:r>
        <w:rPr>
          <w:rFonts w:ascii="Cambria" w:hAnsi="Cambria"/>
        </w:rPr>
        <w:t>,</w:t>
      </w:r>
      <w:r w:rsidRPr="00E726B6">
        <w:rPr>
          <w:rFonts w:ascii="Cambria" w:hAnsi="Cambria"/>
        </w:rPr>
        <w:t xml:space="preserve"> à offrir des cartes d’abonnement et d’inscriptions aux cours et ateliers de vacances aux enfants issus de milieux défavorisés.</w:t>
      </w:r>
    </w:p>
    <w:p w:rsidR="00E726B6" w:rsidRPr="00E726B6" w:rsidRDefault="00E726B6" w:rsidP="00E726B6">
      <w:pPr>
        <w:pStyle w:val="alinea"/>
        <w:spacing w:after="120" w:afterAutospacing="0"/>
        <w:jc w:val="both"/>
        <w:rPr>
          <w:rFonts w:ascii="Cambria" w:hAnsi="Cambria"/>
        </w:rPr>
      </w:pPr>
      <w:r w:rsidRPr="00E726B6">
        <w:rPr>
          <w:rFonts w:ascii="Cambria" w:hAnsi="Cambria"/>
        </w:rPr>
        <w:t xml:space="preserve">Cette mesure s’inscrit dans le prolongement des démarches entreprises par le </w:t>
      </w:r>
      <w:r>
        <w:rPr>
          <w:rFonts w:ascii="Cambria" w:hAnsi="Cambria"/>
        </w:rPr>
        <w:t>m</w:t>
      </w:r>
      <w:r w:rsidRPr="00E726B6">
        <w:rPr>
          <w:rFonts w:ascii="Cambria" w:hAnsi="Cambria"/>
        </w:rPr>
        <w:t xml:space="preserve">inistère de la </w:t>
      </w:r>
      <w:r>
        <w:rPr>
          <w:rFonts w:ascii="Cambria" w:hAnsi="Cambria"/>
        </w:rPr>
        <w:t>C</w:t>
      </w:r>
      <w:r w:rsidRPr="00E726B6">
        <w:rPr>
          <w:rFonts w:ascii="Cambria" w:hAnsi="Cambria"/>
        </w:rPr>
        <w:t xml:space="preserve">ulture en faveur de la démocratisation de l’accès à la culture et plus largement dans celle initiée par la direction des solidarités, de la famille et de l’égalité </w:t>
      </w:r>
      <w:r w:rsidR="00C16FEC">
        <w:rPr>
          <w:rFonts w:ascii="Cambria" w:hAnsi="Cambria"/>
        </w:rPr>
        <w:t>(DSFE) pour les</w:t>
      </w:r>
      <w:r w:rsidRPr="00E726B6">
        <w:rPr>
          <w:rFonts w:ascii="Cambria" w:hAnsi="Cambria"/>
        </w:rPr>
        <w:t xml:space="preserve"> mesures d’aides sociales.</w:t>
      </w:r>
    </w:p>
    <w:p w:rsidR="00E726B6" w:rsidRPr="00E726B6" w:rsidRDefault="00E726B6" w:rsidP="00C16FEC">
      <w:pPr>
        <w:pStyle w:val="alinea"/>
        <w:spacing w:after="120" w:afterAutospacing="0"/>
        <w:jc w:val="both"/>
        <w:rPr>
          <w:rFonts w:ascii="Cambria" w:hAnsi="Cambria"/>
        </w:rPr>
      </w:pPr>
      <w:r w:rsidRPr="00E726B6">
        <w:rPr>
          <w:rFonts w:ascii="Cambria" w:hAnsi="Cambria"/>
        </w:rPr>
        <w:t>Dans les faits, chaque année un budget spécifique sera alloué à l’établissement (2 </w:t>
      </w:r>
      <w:r w:rsidR="00C16FEC">
        <w:rPr>
          <w:rFonts w:ascii="Cambria" w:hAnsi="Cambria"/>
        </w:rPr>
        <w:t xml:space="preserve">millions </w:t>
      </w:r>
      <w:proofErr w:type="spellStart"/>
      <w:r w:rsidR="00C16FEC">
        <w:rPr>
          <w:rFonts w:ascii="Cambria" w:hAnsi="Cambria"/>
        </w:rPr>
        <w:t>Fcfp</w:t>
      </w:r>
      <w:proofErr w:type="spellEnd"/>
      <w:r w:rsidRPr="00E726B6">
        <w:rPr>
          <w:rFonts w:ascii="Cambria" w:hAnsi="Cambria"/>
        </w:rPr>
        <w:t>) pour permettre à des enfants de prendre part aux activités mises en place par les équipes de la Maison de la culture.</w:t>
      </w:r>
    </w:p>
    <w:p w:rsidR="00E726B6" w:rsidRPr="00E726B6" w:rsidRDefault="00E726B6" w:rsidP="00C16FEC">
      <w:pPr>
        <w:pStyle w:val="alinea"/>
        <w:spacing w:after="120" w:afterAutospacing="0"/>
        <w:jc w:val="both"/>
        <w:rPr>
          <w:rFonts w:ascii="Cambria" w:hAnsi="Cambria"/>
        </w:rPr>
      </w:pPr>
      <w:r w:rsidRPr="00E726B6">
        <w:rPr>
          <w:rFonts w:ascii="Cambria" w:hAnsi="Cambria"/>
        </w:rPr>
        <w:t>Afin d’identifier les enfants à soutenir, la Maison de la culture prévoit de conclure des partenariats avec les différents acteurs sociaux (affaires sociales, associations, établissement scolaires, etc.) pour déterminer les conditions d’attributions des cartes d’abonnement et des inscriptions aux cours et ateliers de vacances.</w:t>
      </w:r>
    </w:p>
    <w:p w:rsidR="005104B4" w:rsidRDefault="00E726B6" w:rsidP="00C16FEC">
      <w:pPr>
        <w:pStyle w:val="alinea"/>
        <w:spacing w:after="120" w:afterAutospacing="0"/>
        <w:jc w:val="both"/>
        <w:rPr>
          <w:rFonts w:ascii="Cambria" w:hAnsi="Cambria"/>
          <w:i/>
        </w:rPr>
      </w:pPr>
      <w:r w:rsidRPr="00E726B6">
        <w:rPr>
          <w:rFonts w:ascii="Cambria" w:hAnsi="Cambria"/>
        </w:rPr>
        <w:t xml:space="preserve">Par cette initiative la Maison de la culture entend favoriser l’épanouissement de l’enfant au moyen de la lecture, de la découverte, de l’expérimentation et de l’échange dans un espace adapté et ouvert à </w:t>
      </w:r>
      <w:r w:rsidR="00C16FEC">
        <w:rPr>
          <w:rFonts w:ascii="Cambria" w:hAnsi="Cambria"/>
        </w:rPr>
        <w:t>tous</w:t>
      </w:r>
      <w:r w:rsidRPr="00E726B6">
        <w:rPr>
          <w:rFonts w:ascii="Cambria" w:hAnsi="Cambria"/>
          <w:i/>
        </w:rPr>
        <w:t>.</w:t>
      </w:r>
    </w:p>
    <w:p w:rsidR="00467EC1" w:rsidRDefault="00467EC1" w:rsidP="00C16FEC">
      <w:pPr>
        <w:pStyle w:val="alinea"/>
        <w:spacing w:after="120" w:afterAutospacing="0"/>
        <w:jc w:val="both"/>
        <w:rPr>
          <w:rFonts w:ascii="Cambria" w:hAnsi="Cambria"/>
          <w:i/>
        </w:rPr>
      </w:pPr>
    </w:p>
    <w:p w:rsidR="00467EC1" w:rsidRDefault="00467EC1" w:rsidP="00467EC1">
      <w:pPr>
        <w:rPr>
          <w:rFonts w:ascii="Cambria" w:hAnsi="Cambria"/>
          <w:b/>
          <w:bCs/>
          <w:lang w:eastAsia="en-US"/>
        </w:rPr>
      </w:pPr>
      <w:r>
        <w:rPr>
          <w:rFonts w:ascii="Cambria" w:hAnsi="Cambria"/>
          <w:b/>
          <w:bCs/>
        </w:rPr>
        <w:lastRenderedPageBreak/>
        <w:t>Gratuité des jardins du Musée de Tahiti et des îles pour les écoles de danse</w:t>
      </w:r>
    </w:p>
    <w:p w:rsidR="00467EC1" w:rsidRDefault="00467EC1" w:rsidP="00467EC1">
      <w:pPr>
        <w:rPr>
          <w:rFonts w:ascii="Cambria" w:hAnsi="Cambria"/>
        </w:rPr>
      </w:pPr>
    </w:p>
    <w:p w:rsidR="00467EC1" w:rsidRDefault="00467EC1" w:rsidP="00467EC1">
      <w:pPr>
        <w:rPr>
          <w:rFonts w:ascii="Cambria" w:hAnsi="Cambria"/>
        </w:rPr>
      </w:pPr>
    </w:p>
    <w:p w:rsidR="00467EC1" w:rsidRDefault="00467EC1" w:rsidP="00467EC1">
      <w:pPr>
        <w:pStyle w:val="-LettreTexteGEDA"/>
        <w:spacing w:before="0"/>
        <w:ind w:firstLine="0"/>
        <w:rPr>
          <w:rFonts w:ascii="Cambria" w:hAnsi="Cambria"/>
          <w:szCs w:val="24"/>
        </w:rPr>
      </w:pPr>
      <w:r>
        <w:rPr>
          <w:rFonts w:ascii="Cambria" w:hAnsi="Cambria"/>
        </w:rPr>
        <w:t>Dans le cadre des mesures prises par les établissements publics culturels pour relancer l’activité économique dans le secteur culturel et pour soutenir en particulier les écoles de danse qui ont souffert de la la crise sanitaire et économique liée à l’épidémie de la Covid-19, le Musée de Tahiti et des Îles – Te Fare Manaha propose aux écoles de danses, jusqu’au 31 décembre 2020, la gratuité pour l’occupation de ses jardins pour y dispenser des cours, des répétitions ou leur gala de danse.  Cette opportunité ne sera accordée qu’aux écoles patentées qui paient des impôts, ainsi qu’à leurs salariés. Cette mesure permettra ainsi aux écoles de danse de reconstituer leur trésorerie.</w:t>
      </w:r>
    </w:p>
    <w:p w:rsidR="00467EC1" w:rsidRDefault="00467EC1" w:rsidP="00467EC1">
      <w:pPr>
        <w:pStyle w:val="-LettreTexteGEDA"/>
        <w:spacing w:before="0"/>
        <w:ind w:firstLine="0"/>
        <w:rPr>
          <w:rFonts w:ascii="Cambria" w:hAnsi="Cambria"/>
        </w:rPr>
      </w:pPr>
    </w:p>
    <w:p w:rsidR="00467EC1" w:rsidRDefault="00467EC1" w:rsidP="00467EC1">
      <w:pPr>
        <w:pStyle w:val="-LettreTexteGEDA"/>
        <w:spacing w:before="0"/>
        <w:ind w:firstLine="0"/>
        <w:rPr>
          <w:rFonts w:ascii="Cambria" w:hAnsi="Cambria"/>
        </w:rPr>
      </w:pPr>
      <w:r>
        <w:rPr>
          <w:rFonts w:ascii="Cambria" w:hAnsi="Cambria"/>
        </w:rPr>
        <w:t>Les écoles souhaitant bénéficier de cette gratuité (une demi-journée par demande, plusieurs demandes possibles) devront solliciter la direction du Musée de Tahiti et des îles, et s’engager, par convention, à respecter le règlement d’occupation des espaces extérieures de l’établissement, notamment pour ce qui concerne les horaires d’occupations des espaces et le respect du voisinage.</w:t>
      </w:r>
    </w:p>
    <w:p w:rsidR="00467EC1" w:rsidRPr="00467EC1" w:rsidRDefault="00467EC1" w:rsidP="00467EC1">
      <w:pPr>
        <w:pStyle w:val="-LettreTexteGEDA"/>
        <w:spacing w:before="0"/>
        <w:ind w:firstLine="0"/>
        <w:rPr>
          <w:rFonts w:ascii="Cambria" w:hAnsi="Cambria"/>
        </w:rPr>
      </w:pPr>
    </w:p>
    <w:p w:rsidR="00E726B6" w:rsidRPr="00C16FEC" w:rsidRDefault="00C16FEC" w:rsidP="00C16FEC">
      <w:pPr>
        <w:pStyle w:val="alinea"/>
        <w:spacing w:after="120" w:afterAutospacing="0"/>
        <w:jc w:val="both"/>
        <w:rPr>
          <w:rFonts w:ascii="Cambria" w:hAnsi="Cambria"/>
          <w:b/>
        </w:rPr>
      </w:pPr>
      <w:r w:rsidRPr="00C16FEC">
        <w:rPr>
          <w:rFonts w:ascii="Cambria" w:hAnsi="Cambria"/>
          <w:b/>
        </w:rPr>
        <w:t>Opération Lady Box du 7 au 29 août</w:t>
      </w:r>
    </w:p>
    <w:p w:rsidR="00C16FEC" w:rsidRDefault="00C16FEC" w:rsidP="00C16FEC">
      <w:pPr>
        <w:pStyle w:val="-LettreTexteGEDA"/>
        <w:ind w:firstLine="0"/>
        <w:rPr>
          <w:rFonts w:ascii="Cambria" w:hAnsi="Cambria"/>
          <w:szCs w:val="24"/>
        </w:rPr>
      </w:pPr>
    </w:p>
    <w:p w:rsidR="00C16FEC" w:rsidRPr="00C16FEC" w:rsidRDefault="00C16FEC" w:rsidP="00C16FEC">
      <w:pPr>
        <w:pStyle w:val="-LettreTexteGEDA"/>
        <w:ind w:firstLine="0"/>
        <w:rPr>
          <w:rFonts w:ascii="Cambria" w:hAnsi="Cambria"/>
          <w:szCs w:val="24"/>
        </w:rPr>
      </w:pPr>
      <w:r w:rsidRPr="00C16FEC">
        <w:rPr>
          <w:rFonts w:ascii="Cambria" w:hAnsi="Cambria"/>
          <w:szCs w:val="24"/>
        </w:rPr>
        <w:t xml:space="preserve">Le </w:t>
      </w:r>
      <w:r>
        <w:rPr>
          <w:rFonts w:ascii="Cambria" w:hAnsi="Cambria"/>
          <w:szCs w:val="24"/>
        </w:rPr>
        <w:t>m</w:t>
      </w:r>
      <w:r w:rsidRPr="00C16FEC">
        <w:rPr>
          <w:rFonts w:ascii="Cambria" w:hAnsi="Cambria"/>
          <w:szCs w:val="24"/>
        </w:rPr>
        <w:t xml:space="preserve">inistère de la </w:t>
      </w:r>
      <w:r>
        <w:rPr>
          <w:rFonts w:ascii="Cambria" w:hAnsi="Cambria"/>
          <w:szCs w:val="24"/>
        </w:rPr>
        <w:t>F</w:t>
      </w:r>
      <w:r w:rsidRPr="00C16FEC">
        <w:rPr>
          <w:rFonts w:ascii="Cambria" w:hAnsi="Cambria"/>
          <w:szCs w:val="24"/>
        </w:rPr>
        <w:t xml:space="preserve">amille et des solidarités, en charge de l’égalité des chances, annonce le lancement de l’« Opération Lady Box » qui se tiendra du 7 au 29 août. </w:t>
      </w:r>
      <w:r w:rsidRPr="00C16FEC">
        <w:rPr>
          <w:rFonts w:ascii="Cambria" w:hAnsi="Cambria"/>
        </w:rPr>
        <w:t xml:space="preserve">Le but de l’« Opération Lady Box » </w:t>
      </w:r>
      <w:r w:rsidRPr="00C16FEC">
        <w:rPr>
          <w:rFonts w:ascii="Cambria" w:eastAsiaTheme="minorHAnsi" w:hAnsi="Cambria" w:cs="T3Font_0"/>
          <w:lang w:eastAsia="en-US"/>
        </w:rPr>
        <w:t>est de venir en aide aux femmes</w:t>
      </w:r>
      <w:r w:rsidRPr="00C16FEC">
        <w:rPr>
          <w:rFonts w:ascii="Cambria" w:eastAsiaTheme="minorHAnsi" w:hAnsi="Cambria" w:cs="T3Font_1"/>
          <w:lang w:eastAsia="en-US"/>
        </w:rPr>
        <w:t xml:space="preserve">, et de </w:t>
      </w:r>
      <w:r w:rsidRPr="00C16FEC">
        <w:rPr>
          <w:rFonts w:ascii="Cambria" w:eastAsiaTheme="minorHAnsi" w:hAnsi="Cambria" w:cs="T3Font_0"/>
          <w:lang w:eastAsia="en-US"/>
        </w:rPr>
        <w:t xml:space="preserve">sensibiliser la population </w:t>
      </w:r>
      <w:r w:rsidRPr="00C16FEC">
        <w:rPr>
          <w:rFonts w:ascii="Cambria" w:hAnsi="Cambria"/>
        </w:rPr>
        <w:t xml:space="preserve">à la question de la précarité menstruelle. </w:t>
      </w:r>
    </w:p>
    <w:p w:rsidR="00C16FEC" w:rsidRPr="00C16FEC" w:rsidRDefault="00C16FEC" w:rsidP="00C16FEC">
      <w:pPr>
        <w:pStyle w:val="-LettreTexteGEDA"/>
        <w:ind w:firstLine="0"/>
        <w:rPr>
          <w:rFonts w:ascii="Cambria" w:hAnsi="Cambria"/>
          <w:szCs w:val="24"/>
        </w:rPr>
      </w:pPr>
      <w:r w:rsidRPr="00C16FEC">
        <w:rPr>
          <w:rFonts w:ascii="Cambria" w:hAnsi="Cambria"/>
        </w:rPr>
        <w:t xml:space="preserve">La « Lady Box » est une boîte de collecte de « produits d’hygiène intime féminine » mise à disposition dans 13 points stratégiques de l’île de Tahiti. Les dons </w:t>
      </w:r>
      <w:r w:rsidRPr="00C16FEC">
        <w:rPr>
          <w:rFonts w:ascii="Cambria" w:hAnsi="Cambria"/>
          <w:szCs w:val="24"/>
        </w:rPr>
        <w:t>seront ensuite redistribués à des établissements impliqués dans l’accompagnement et le soutien aux femmes.</w:t>
      </w:r>
    </w:p>
    <w:p w:rsidR="00C16FEC" w:rsidRDefault="00C16FEC" w:rsidP="00C16FEC">
      <w:pPr>
        <w:pStyle w:val="-LettreTexteGEDA"/>
        <w:ind w:firstLine="0"/>
        <w:rPr>
          <w:rFonts w:ascii="Cambria" w:hAnsi="Cambria"/>
          <w:b/>
          <w:u w:val="single"/>
        </w:rPr>
      </w:pPr>
      <w:r w:rsidRPr="00C16FEC">
        <w:rPr>
          <w:rFonts w:ascii="Cambria" w:hAnsi="Cambria"/>
          <w:i/>
          <w:u w:val="single"/>
        </w:rPr>
        <w:t>Ces 13 points stratégiques sur l’île de Tahiti sont </w:t>
      </w:r>
      <w:r>
        <w:rPr>
          <w:rFonts w:ascii="Cambria" w:hAnsi="Cambria"/>
          <w:b/>
          <w:u w:val="single"/>
        </w:rPr>
        <w:t>:</w:t>
      </w:r>
    </w:p>
    <w:p w:rsidR="00C16FEC" w:rsidRPr="00C16FEC" w:rsidRDefault="00C16FEC" w:rsidP="00C16FEC">
      <w:pPr>
        <w:pStyle w:val="-LettreTexteGEDA"/>
        <w:ind w:firstLine="0"/>
        <w:rPr>
          <w:rFonts w:ascii="Cambria" w:hAnsi="Cambria"/>
          <w:b/>
          <w:u w:val="single"/>
        </w:rPr>
      </w:pPr>
    </w:p>
    <w:tbl>
      <w:tblPr>
        <w:tblStyle w:val="Grilledutableau"/>
        <w:tblW w:w="0" w:type="auto"/>
        <w:tblLook w:val="04A0" w:firstRow="1" w:lastRow="0" w:firstColumn="1" w:lastColumn="0" w:noHBand="0" w:noVBand="1"/>
      </w:tblPr>
      <w:tblGrid>
        <w:gridCol w:w="4529"/>
        <w:gridCol w:w="4533"/>
      </w:tblGrid>
      <w:tr w:rsidR="00C16FEC" w:rsidRPr="00C16FEC" w:rsidTr="00B66844">
        <w:tc>
          <w:tcPr>
            <w:tcW w:w="4606" w:type="dxa"/>
          </w:tcPr>
          <w:p w:rsidR="00C16FEC" w:rsidRPr="00C16FEC" w:rsidRDefault="00C16FEC" w:rsidP="00C16FEC">
            <w:pPr>
              <w:pStyle w:val="-LettreTexteGEDA"/>
              <w:numPr>
                <w:ilvl w:val="0"/>
                <w:numId w:val="38"/>
              </w:numPr>
              <w:spacing w:before="0" w:line="276" w:lineRule="auto"/>
              <w:rPr>
                <w:rFonts w:ascii="Cambria" w:hAnsi="Cambria"/>
              </w:rPr>
            </w:pPr>
            <w:r w:rsidRPr="00C16FEC">
              <w:rPr>
                <w:rFonts w:ascii="Cambria" w:hAnsi="Cambria"/>
              </w:rPr>
              <w:t>Centre Vaima</w:t>
            </w:r>
          </w:p>
          <w:p w:rsidR="00C16FEC" w:rsidRPr="00C16FEC" w:rsidRDefault="00C16FEC" w:rsidP="00C16FEC">
            <w:pPr>
              <w:pStyle w:val="-LettreTexteGEDA"/>
              <w:numPr>
                <w:ilvl w:val="0"/>
                <w:numId w:val="38"/>
              </w:numPr>
              <w:spacing w:before="0" w:line="276" w:lineRule="auto"/>
              <w:rPr>
                <w:rFonts w:ascii="Cambria" w:hAnsi="Cambria"/>
              </w:rPr>
            </w:pPr>
            <w:r w:rsidRPr="00C16FEC">
              <w:rPr>
                <w:rFonts w:ascii="Cambria" w:hAnsi="Cambria"/>
              </w:rPr>
              <w:t>Hôpital du Taaone</w:t>
            </w:r>
          </w:p>
          <w:p w:rsidR="00C16FEC" w:rsidRPr="00C16FEC" w:rsidRDefault="00C16FEC" w:rsidP="00C16FEC">
            <w:pPr>
              <w:pStyle w:val="-LettreTexteGEDA"/>
              <w:numPr>
                <w:ilvl w:val="0"/>
                <w:numId w:val="38"/>
              </w:numPr>
              <w:spacing w:before="0" w:line="276" w:lineRule="auto"/>
              <w:rPr>
                <w:rFonts w:ascii="Cambria" w:hAnsi="Cambria"/>
              </w:rPr>
            </w:pPr>
            <w:r w:rsidRPr="00C16FEC">
              <w:rPr>
                <w:rFonts w:ascii="Cambria" w:hAnsi="Cambria"/>
              </w:rPr>
              <w:t>CPS – Mamao</w:t>
            </w:r>
          </w:p>
          <w:p w:rsidR="00C16FEC" w:rsidRPr="00C16FEC" w:rsidRDefault="00C16FEC" w:rsidP="00C16FEC">
            <w:pPr>
              <w:pStyle w:val="-LettreTexteGEDA"/>
              <w:numPr>
                <w:ilvl w:val="0"/>
                <w:numId w:val="38"/>
              </w:numPr>
              <w:spacing w:before="0" w:line="276" w:lineRule="auto"/>
              <w:rPr>
                <w:rFonts w:ascii="Cambria" w:hAnsi="Cambria"/>
              </w:rPr>
            </w:pPr>
            <w:r w:rsidRPr="00C16FEC">
              <w:rPr>
                <w:rFonts w:ascii="Cambria" w:hAnsi="Cambria"/>
              </w:rPr>
              <w:t>Hyper U Pirae</w:t>
            </w:r>
          </w:p>
          <w:p w:rsidR="00C16FEC" w:rsidRPr="00C16FEC" w:rsidRDefault="00C16FEC" w:rsidP="00C16FEC">
            <w:pPr>
              <w:pStyle w:val="-LettreTexteGEDA"/>
              <w:numPr>
                <w:ilvl w:val="0"/>
                <w:numId w:val="38"/>
              </w:numPr>
              <w:spacing w:before="0" w:line="276" w:lineRule="auto"/>
              <w:rPr>
                <w:rFonts w:ascii="Cambria" w:hAnsi="Cambria"/>
              </w:rPr>
            </w:pPr>
            <w:r w:rsidRPr="00C16FEC">
              <w:rPr>
                <w:rFonts w:ascii="Cambria" w:hAnsi="Cambria"/>
              </w:rPr>
              <w:t>LS Proxi Pirae</w:t>
            </w:r>
          </w:p>
          <w:p w:rsidR="00C16FEC" w:rsidRPr="00C16FEC" w:rsidRDefault="00C16FEC" w:rsidP="00C16FEC">
            <w:pPr>
              <w:pStyle w:val="-LettreTexteGEDA"/>
              <w:numPr>
                <w:ilvl w:val="0"/>
                <w:numId w:val="38"/>
              </w:numPr>
              <w:spacing w:before="0" w:line="276" w:lineRule="auto"/>
              <w:rPr>
                <w:rFonts w:ascii="Cambria" w:hAnsi="Cambria"/>
              </w:rPr>
            </w:pPr>
            <w:r w:rsidRPr="00C16FEC">
              <w:rPr>
                <w:rFonts w:ascii="Cambria" w:hAnsi="Cambria"/>
              </w:rPr>
              <w:t>Super U Venustar Mahina</w:t>
            </w:r>
          </w:p>
          <w:p w:rsidR="00C16FEC" w:rsidRPr="00C16FEC" w:rsidRDefault="00C16FEC" w:rsidP="00C16FEC">
            <w:pPr>
              <w:pStyle w:val="-LettreTexteGEDA"/>
              <w:numPr>
                <w:ilvl w:val="0"/>
                <w:numId w:val="38"/>
              </w:numPr>
              <w:spacing w:before="0" w:line="276" w:lineRule="auto"/>
              <w:rPr>
                <w:rFonts w:ascii="Cambria" w:hAnsi="Cambria"/>
              </w:rPr>
            </w:pPr>
            <w:r w:rsidRPr="00C16FEC">
              <w:rPr>
                <w:rFonts w:ascii="Cambria" w:hAnsi="Cambria"/>
              </w:rPr>
              <w:t>LS Proxi Hitiaa</w:t>
            </w:r>
          </w:p>
        </w:tc>
        <w:tc>
          <w:tcPr>
            <w:tcW w:w="4606" w:type="dxa"/>
          </w:tcPr>
          <w:p w:rsidR="00C16FEC" w:rsidRPr="00C16FEC" w:rsidRDefault="00C16FEC" w:rsidP="00C16FEC">
            <w:pPr>
              <w:pStyle w:val="-LettreTexteGEDA"/>
              <w:numPr>
                <w:ilvl w:val="0"/>
                <w:numId w:val="38"/>
              </w:numPr>
              <w:spacing w:before="0" w:line="276" w:lineRule="auto"/>
              <w:rPr>
                <w:rFonts w:ascii="Cambria" w:hAnsi="Cambria"/>
              </w:rPr>
            </w:pPr>
            <w:r w:rsidRPr="00C16FEC">
              <w:rPr>
                <w:rFonts w:ascii="Cambria" w:hAnsi="Cambria"/>
              </w:rPr>
              <w:t>Pharmacie Tautiare – Faaa</w:t>
            </w:r>
          </w:p>
          <w:p w:rsidR="00C16FEC" w:rsidRPr="00C16FEC" w:rsidRDefault="00C16FEC" w:rsidP="00C16FEC">
            <w:pPr>
              <w:pStyle w:val="-LettreTexteGEDA"/>
              <w:numPr>
                <w:ilvl w:val="0"/>
                <w:numId w:val="38"/>
              </w:numPr>
              <w:spacing w:before="0" w:line="276" w:lineRule="auto"/>
              <w:rPr>
                <w:rFonts w:ascii="Cambria" w:hAnsi="Cambria"/>
              </w:rPr>
            </w:pPr>
            <w:r w:rsidRPr="00C16FEC">
              <w:rPr>
                <w:rFonts w:ascii="Cambria" w:hAnsi="Cambria"/>
              </w:rPr>
              <w:t>Pharmacie Lafayette - Punaauia</w:t>
            </w:r>
          </w:p>
          <w:p w:rsidR="00C16FEC" w:rsidRPr="00C16FEC" w:rsidRDefault="00C16FEC" w:rsidP="00C16FEC">
            <w:pPr>
              <w:pStyle w:val="-LettreTexteGEDA"/>
              <w:numPr>
                <w:ilvl w:val="0"/>
                <w:numId w:val="38"/>
              </w:numPr>
              <w:spacing w:before="0" w:line="276" w:lineRule="auto"/>
              <w:rPr>
                <w:rFonts w:ascii="Cambria" w:hAnsi="Cambria"/>
              </w:rPr>
            </w:pPr>
            <w:r w:rsidRPr="00C16FEC">
              <w:rPr>
                <w:rFonts w:ascii="Cambria" w:hAnsi="Cambria"/>
              </w:rPr>
              <w:t>LS Proxi Paea</w:t>
            </w:r>
          </w:p>
          <w:p w:rsidR="00C16FEC" w:rsidRPr="00C16FEC" w:rsidRDefault="00C16FEC" w:rsidP="00C16FEC">
            <w:pPr>
              <w:pStyle w:val="-LettreTexteGEDA"/>
              <w:numPr>
                <w:ilvl w:val="0"/>
                <w:numId w:val="38"/>
              </w:numPr>
              <w:spacing w:before="0" w:line="276" w:lineRule="auto"/>
              <w:rPr>
                <w:rFonts w:ascii="Cambria" w:hAnsi="Cambria"/>
              </w:rPr>
            </w:pPr>
            <w:r w:rsidRPr="00C16FEC">
              <w:rPr>
                <w:rFonts w:ascii="Cambria" w:hAnsi="Cambria"/>
              </w:rPr>
              <w:t>LS Proxi Taharuu</w:t>
            </w:r>
          </w:p>
          <w:p w:rsidR="00C16FEC" w:rsidRPr="00C16FEC" w:rsidRDefault="00C16FEC" w:rsidP="00C16FEC">
            <w:pPr>
              <w:pStyle w:val="-LettreTexteGEDA"/>
              <w:numPr>
                <w:ilvl w:val="0"/>
                <w:numId w:val="38"/>
              </w:numPr>
              <w:spacing w:before="0" w:line="276" w:lineRule="auto"/>
              <w:rPr>
                <w:rFonts w:ascii="Cambria" w:hAnsi="Cambria"/>
              </w:rPr>
            </w:pPr>
            <w:r w:rsidRPr="00C16FEC">
              <w:rPr>
                <w:rFonts w:ascii="Cambria" w:hAnsi="Cambria"/>
              </w:rPr>
              <w:t>Pharmacie Teva i Uta - Mataiea</w:t>
            </w:r>
          </w:p>
          <w:p w:rsidR="00C16FEC" w:rsidRPr="00C16FEC" w:rsidRDefault="00C16FEC" w:rsidP="00C16FEC">
            <w:pPr>
              <w:pStyle w:val="-LettreTexteGEDA"/>
              <w:numPr>
                <w:ilvl w:val="0"/>
                <w:numId w:val="38"/>
              </w:numPr>
              <w:spacing w:before="0"/>
              <w:rPr>
                <w:rFonts w:ascii="Cambria" w:hAnsi="Cambria"/>
                <w:noProof w:val="0"/>
              </w:rPr>
            </w:pPr>
            <w:r w:rsidRPr="00C16FEC">
              <w:rPr>
                <w:rFonts w:ascii="Cambria" w:hAnsi="Cambria"/>
              </w:rPr>
              <w:t>Pharmacie Taiarapu – Taravao</w:t>
            </w:r>
          </w:p>
          <w:p w:rsidR="00C16FEC" w:rsidRPr="00C16FEC" w:rsidRDefault="00C16FEC" w:rsidP="00B66844">
            <w:pPr>
              <w:pStyle w:val="-LettreTexteGEDA"/>
              <w:ind w:firstLine="0"/>
              <w:rPr>
                <w:rFonts w:ascii="Cambria" w:hAnsi="Cambria"/>
                <w:b/>
                <w:u w:val="single"/>
              </w:rPr>
            </w:pPr>
          </w:p>
        </w:tc>
      </w:tr>
    </w:tbl>
    <w:p w:rsidR="00C16FEC" w:rsidRDefault="00C16FEC" w:rsidP="00C16FEC">
      <w:pPr>
        <w:pStyle w:val="-LettreTexteGEDA"/>
        <w:ind w:firstLine="0"/>
        <w:rPr>
          <w:rFonts w:ascii="Cambria" w:hAnsi="Cambria"/>
          <w:i/>
          <w:szCs w:val="24"/>
          <w:u w:val="single"/>
        </w:rPr>
      </w:pPr>
    </w:p>
    <w:p w:rsidR="00C16FEC" w:rsidRPr="00C16FEC" w:rsidRDefault="00C16FEC" w:rsidP="00C16FEC">
      <w:pPr>
        <w:pStyle w:val="-LettreTexteGEDA"/>
        <w:ind w:firstLine="0"/>
        <w:rPr>
          <w:rFonts w:ascii="Cambria" w:hAnsi="Cambria"/>
          <w:i/>
          <w:szCs w:val="24"/>
          <w:u w:val="single"/>
        </w:rPr>
      </w:pPr>
      <w:r w:rsidRPr="00C16FEC">
        <w:rPr>
          <w:rFonts w:ascii="Cambria" w:hAnsi="Cambria"/>
          <w:i/>
          <w:szCs w:val="24"/>
          <w:u w:val="single"/>
        </w:rPr>
        <w:t>Les établissements impliqués dans l’accompagnement et le soutien aux femmes :</w:t>
      </w:r>
    </w:p>
    <w:p w:rsidR="00C16FEC" w:rsidRPr="00C16FEC" w:rsidRDefault="00C16FEC" w:rsidP="00C16FEC">
      <w:pPr>
        <w:pStyle w:val="-LettreTexteGEDA"/>
        <w:numPr>
          <w:ilvl w:val="0"/>
          <w:numId w:val="37"/>
        </w:numPr>
        <w:spacing w:line="276" w:lineRule="auto"/>
        <w:rPr>
          <w:rFonts w:ascii="Cambria" w:hAnsi="Cambria"/>
          <w:szCs w:val="24"/>
        </w:rPr>
      </w:pPr>
      <w:r w:rsidRPr="00C16FEC">
        <w:rPr>
          <w:rFonts w:ascii="Cambria" w:hAnsi="Cambria"/>
          <w:szCs w:val="24"/>
        </w:rPr>
        <w:t>Pu o te hau</w:t>
      </w:r>
    </w:p>
    <w:p w:rsidR="00C16FEC" w:rsidRPr="00C16FEC" w:rsidRDefault="00C16FEC" w:rsidP="00C16FEC">
      <w:pPr>
        <w:pStyle w:val="-LettreTexteGEDA"/>
        <w:numPr>
          <w:ilvl w:val="0"/>
          <w:numId w:val="37"/>
        </w:numPr>
        <w:spacing w:line="276" w:lineRule="auto"/>
        <w:rPr>
          <w:rFonts w:ascii="Cambria" w:hAnsi="Cambria"/>
          <w:szCs w:val="24"/>
        </w:rPr>
      </w:pPr>
      <w:r w:rsidRPr="00C16FEC">
        <w:rPr>
          <w:rFonts w:ascii="Cambria" w:hAnsi="Cambria"/>
          <w:szCs w:val="24"/>
        </w:rPr>
        <w:t>La Samaritaine</w:t>
      </w:r>
    </w:p>
    <w:p w:rsidR="00C16FEC" w:rsidRPr="00C16FEC" w:rsidRDefault="00C16FEC" w:rsidP="00C16FEC">
      <w:pPr>
        <w:pStyle w:val="-LettreTexteGEDA"/>
        <w:numPr>
          <w:ilvl w:val="0"/>
          <w:numId w:val="37"/>
        </w:numPr>
        <w:spacing w:line="276" w:lineRule="auto"/>
        <w:rPr>
          <w:rFonts w:ascii="Cambria" w:hAnsi="Cambria"/>
          <w:szCs w:val="24"/>
        </w:rPr>
      </w:pPr>
      <w:r w:rsidRPr="00C16FEC">
        <w:rPr>
          <w:rFonts w:ascii="Cambria" w:hAnsi="Cambria"/>
          <w:szCs w:val="24"/>
        </w:rPr>
        <w:lastRenderedPageBreak/>
        <w:t>Centre Tiai nui here</w:t>
      </w:r>
    </w:p>
    <w:p w:rsidR="00C16FEC" w:rsidRPr="00C16FEC" w:rsidRDefault="00C16FEC" w:rsidP="00C16FEC">
      <w:pPr>
        <w:pStyle w:val="-LettreTexteGEDA"/>
        <w:numPr>
          <w:ilvl w:val="0"/>
          <w:numId w:val="37"/>
        </w:numPr>
        <w:spacing w:line="276" w:lineRule="auto"/>
        <w:rPr>
          <w:rFonts w:ascii="Cambria" w:hAnsi="Cambria"/>
          <w:szCs w:val="24"/>
        </w:rPr>
      </w:pPr>
      <w:r w:rsidRPr="00C16FEC">
        <w:rPr>
          <w:rFonts w:ascii="Cambria" w:hAnsi="Cambria"/>
          <w:szCs w:val="24"/>
        </w:rPr>
        <w:t>Foyer maternel Maniniaura</w:t>
      </w:r>
    </w:p>
    <w:p w:rsidR="00C16FEC" w:rsidRPr="00C16FEC" w:rsidRDefault="00C16FEC" w:rsidP="00C16FEC">
      <w:pPr>
        <w:pStyle w:val="-LettreTexteGEDA"/>
        <w:ind w:firstLine="0"/>
        <w:rPr>
          <w:rFonts w:ascii="Cambria" w:hAnsi="Cambria"/>
          <w:szCs w:val="24"/>
        </w:rPr>
      </w:pPr>
      <w:r w:rsidRPr="00C16FEC">
        <w:rPr>
          <w:rFonts w:ascii="Cambria" w:hAnsi="Cambria"/>
          <w:szCs w:val="24"/>
        </w:rPr>
        <w:t xml:space="preserve">La précarité et les difficultés d'accès aux biens et services de première nécessité constituent des facteurs de vulnérabilité supplémentaire, en particulier, pour les femmes. En effet, la privation des produits de base que sont les protections menstruelles peut avoir des conséquences hygiéniques et sanitaires importantes, mais également des impacts en termes d'insertion socio-professionnelle et d'estime de soi. </w:t>
      </w:r>
    </w:p>
    <w:p w:rsidR="00C16FEC" w:rsidRPr="00C16FEC" w:rsidRDefault="00C16FEC" w:rsidP="00C16FEC">
      <w:pPr>
        <w:ind w:firstLine="708"/>
        <w:jc w:val="both"/>
        <w:rPr>
          <w:rFonts w:ascii="Cambria" w:hAnsi="Cambria"/>
        </w:rPr>
      </w:pPr>
    </w:p>
    <w:p w:rsidR="00C16FEC" w:rsidRPr="00C16FEC" w:rsidRDefault="00C16FEC" w:rsidP="00C16FEC">
      <w:pPr>
        <w:jc w:val="both"/>
        <w:rPr>
          <w:rFonts w:ascii="Cambria" w:hAnsi="Cambria"/>
        </w:rPr>
      </w:pPr>
      <w:r w:rsidRPr="00C16FEC">
        <w:rPr>
          <w:rFonts w:ascii="Cambria" w:hAnsi="Cambria"/>
        </w:rPr>
        <w:t xml:space="preserve">Ainsi donc, </w:t>
      </w:r>
      <w:r>
        <w:rPr>
          <w:rFonts w:ascii="Cambria" w:hAnsi="Cambria"/>
        </w:rPr>
        <w:t xml:space="preserve">en fonction </w:t>
      </w:r>
      <w:r w:rsidRPr="00C16FEC">
        <w:rPr>
          <w:rFonts w:ascii="Cambria" w:hAnsi="Cambria"/>
        </w:rPr>
        <w:t xml:space="preserve">des résultats de cette </w:t>
      </w:r>
      <w:r>
        <w:rPr>
          <w:rFonts w:ascii="Cambria" w:hAnsi="Cambria"/>
        </w:rPr>
        <w:t>o</w:t>
      </w:r>
      <w:r w:rsidRPr="00C16FEC">
        <w:rPr>
          <w:rFonts w:ascii="Cambria" w:hAnsi="Cambria"/>
        </w:rPr>
        <w:t xml:space="preserve">pération </w:t>
      </w:r>
      <w:proofErr w:type="gramStart"/>
      <w:r>
        <w:rPr>
          <w:rFonts w:ascii="Cambria" w:hAnsi="Cambria"/>
        </w:rPr>
        <w:t>p</w:t>
      </w:r>
      <w:r w:rsidRPr="00C16FEC">
        <w:rPr>
          <w:rFonts w:ascii="Cambria" w:hAnsi="Cambria"/>
        </w:rPr>
        <w:t>ilote</w:t>
      </w:r>
      <w:proofErr w:type="gramEnd"/>
      <w:r w:rsidRPr="00C16FEC">
        <w:rPr>
          <w:rFonts w:ascii="Cambria" w:hAnsi="Cambria"/>
        </w:rPr>
        <w:t>, il sera étudié la possibilité d’une extension vers des mesures plus fortes, dans l’intérêt des femmes qui en ont le plus besoin.</w:t>
      </w:r>
    </w:p>
    <w:p w:rsidR="00C16FEC" w:rsidRPr="00C16FEC" w:rsidRDefault="00C16FEC" w:rsidP="00C16FEC">
      <w:pPr>
        <w:pStyle w:val="alinea"/>
        <w:spacing w:after="120" w:afterAutospacing="0"/>
        <w:jc w:val="both"/>
        <w:rPr>
          <w:rFonts w:ascii="Cambria" w:hAnsi="Cambria"/>
        </w:rPr>
      </w:pPr>
    </w:p>
    <w:p w:rsidR="00E726B6" w:rsidRPr="00C16FEC" w:rsidRDefault="00C16FEC" w:rsidP="00C16FEC">
      <w:pPr>
        <w:spacing w:after="120"/>
        <w:jc w:val="both"/>
        <w:rPr>
          <w:rFonts w:ascii="Cambria" w:hAnsi="Cambria"/>
          <w:b/>
        </w:rPr>
      </w:pPr>
      <w:r w:rsidRPr="00C16FEC">
        <w:rPr>
          <w:rFonts w:ascii="Cambria" w:hAnsi="Cambria"/>
          <w:b/>
        </w:rPr>
        <w:t>Modification de l’arrêté relatif à la surveillance sanitaire</w:t>
      </w:r>
    </w:p>
    <w:p w:rsidR="00E726B6" w:rsidRPr="00C16FEC" w:rsidRDefault="00E726B6" w:rsidP="00E726B6">
      <w:pPr>
        <w:pStyle w:val="Titre"/>
        <w:rPr>
          <w:rFonts w:ascii="Cambria" w:eastAsia="Arial Unicode MS" w:hAnsi="Cambria"/>
          <w:sz w:val="2"/>
        </w:rPr>
      </w:pPr>
    </w:p>
    <w:p w:rsidR="00E726B6" w:rsidRPr="00C16FEC" w:rsidRDefault="00E726B6" w:rsidP="00E726B6">
      <w:pPr>
        <w:pStyle w:val="Titre"/>
        <w:rPr>
          <w:rFonts w:ascii="Cambria" w:eastAsia="Arial Unicode MS" w:hAnsi="Cambria"/>
          <w:sz w:val="2"/>
        </w:rPr>
      </w:pPr>
    </w:p>
    <w:p w:rsidR="00C16FEC" w:rsidRPr="00C16FEC" w:rsidRDefault="00C16FEC" w:rsidP="00C16FEC">
      <w:pPr>
        <w:pStyle w:val="-LettrePJGEDA"/>
        <w:tabs>
          <w:tab w:val="left" w:pos="709"/>
        </w:tabs>
        <w:spacing w:before="120" w:after="120"/>
        <w:ind w:left="0" w:firstLine="0"/>
        <w:rPr>
          <w:rFonts w:ascii="Cambria" w:hAnsi="Cambria"/>
          <w:noProof w:val="0"/>
        </w:rPr>
      </w:pPr>
      <w:r w:rsidRPr="00C16FEC">
        <w:rPr>
          <w:rFonts w:ascii="Cambria" w:hAnsi="Cambria"/>
          <w:noProof w:val="0"/>
        </w:rPr>
        <w:t>L’arrêté du Conseil des ministres du 13 mai dernier modifié détermine les conditions d’entrée et de surveillance sanitaire en Polynésie française pour toute personne en provenance d’une région extérieure où circule le covid-19.</w:t>
      </w:r>
    </w:p>
    <w:p w:rsidR="00C16FEC" w:rsidRPr="00C16FEC" w:rsidRDefault="00C16FEC" w:rsidP="00C16FEC">
      <w:pPr>
        <w:pStyle w:val="-LettrePJGEDA"/>
        <w:tabs>
          <w:tab w:val="left" w:pos="709"/>
        </w:tabs>
        <w:spacing w:before="120" w:after="120"/>
        <w:ind w:left="0" w:firstLine="0"/>
        <w:rPr>
          <w:rFonts w:ascii="Cambria" w:hAnsi="Cambria"/>
          <w:noProof w:val="0"/>
        </w:rPr>
      </w:pPr>
      <w:r w:rsidRPr="00C16FEC">
        <w:rPr>
          <w:rFonts w:ascii="Cambria" w:hAnsi="Cambria"/>
          <w:noProof w:val="0"/>
        </w:rPr>
        <w:t xml:space="preserve">Il prévoit notamment, la réalisation d’un test de dépistage préalable à l’arrivée en Polynésie française par voie aérienne, sans distinction d’âge. Le présent projet d’arrêté modificatif vise notamment à restreindre cette obligation aux seules personnes âgées de six ans au moins. </w:t>
      </w:r>
    </w:p>
    <w:p w:rsidR="00C16FEC" w:rsidRPr="00C16FEC" w:rsidRDefault="00C16FEC" w:rsidP="00C16FEC">
      <w:pPr>
        <w:pStyle w:val="-LettrePJGEDA"/>
        <w:tabs>
          <w:tab w:val="left" w:pos="709"/>
        </w:tabs>
        <w:spacing w:before="120" w:after="120"/>
        <w:ind w:left="0" w:firstLine="0"/>
        <w:rPr>
          <w:rFonts w:ascii="Cambria" w:hAnsi="Cambria"/>
          <w:noProof w:val="0"/>
        </w:rPr>
      </w:pPr>
      <w:r w:rsidRPr="00C16FEC">
        <w:rPr>
          <w:rFonts w:ascii="Cambria" w:hAnsi="Cambria"/>
          <w:noProof w:val="0"/>
        </w:rPr>
        <w:t xml:space="preserve">Il vise de plus, à permettre la possibilité d’un contrôle sanitaire effectué au débarquement en Polynésie française. Désormais, en plus du contrôle effectué à l’embarquement par le transporteur, un contrôle des documents </w:t>
      </w:r>
      <w:proofErr w:type="spellStart"/>
      <w:r w:rsidRPr="00C16FEC">
        <w:rPr>
          <w:rFonts w:ascii="Cambria" w:hAnsi="Cambria"/>
          <w:noProof w:val="0"/>
        </w:rPr>
        <w:t>Etis</w:t>
      </w:r>
      <w:proofErr w:type="spellEnd"/>
      <w:r w:rsidRPr="00C16FEC">
        <w:rPr>
          <w:rFonts w:ascii="Cambria" w:hAnsi="Cambria"/>
          <w:noProof w:val="0"/>
        </w:rPr>
        <w:t xml:space="preserve"> et du test de dépistage peut être effectué à l’arrivée en Polynésie française. </w:t>
      </w:r>
    </w:p>
    <w:p w:rsidR="00C16FEC" w:rsidRPr="00C16FEC" w:rsidRDefault="00C16FEC" w:rsidP="00C16FEC">
      <w:pPr>
        <w:pStyle w:val="-LettrePJGEDA"/>
        <w:tabs>
          <w:tab w:val="left" w:pos="709"/>
        </w:tabs>
        <w:spacing w:before="120" w:after="120"/>
        <w:ind w:left="0" w:firstLine="0"/>
        <w:rPr>
          <w:rFonts w:ascii="Cambria" w:hAnsi="Cambria"/>
          <w:noProof w:val="0"/>
        </w:rPr>
      </w:pPr>
      <w:r w:rsidRPr="00C16FEC">
        <w:rPr>
          <w:rFonts w:ascii="Cambria" w:hAnsi="Cambria"/>
          <w:noProof w:val="0"/>
        </w:rPr>
        <w:t xml:space="preserve">Par ailleurs, les personnels navigants et les professionnels de santé assurant les </w:t>
      </w:r>
      <w:proofErr w:type="spellStart"/>
      <w:r w:rsidRPr="00C16FEC">
        <w:rPr>
          <w:rFonts w:ascii="Cambria" w:hAnsi="Cambria"/>
          <w:noProof w:val="0"/>
        </w:rPr>
        <w:t>évasans</w:t>
      </w:r>
      <w:proofErr w:type="spellEnd"/>
      <w:r w:rsidRPr="00C16FEC">
        <w:rPr>
          <w:rFonts w:ascii="Cambria" w:hAnsi="Cambria"/>
          <w:noProof w:val="0"/>
        </w:rPr>
        <w:t xml:space="preserve"> hors de la Polynésie française, bénéficiant déjà de dépistages organisés tous les 14 à 21 jours, ne seront pas soumis à l’obligation de réaliser un « autotest » quatre jours après leur arrivée. En outre, les agents assermentés de l’Agence de régulation de l’action sanitaire et sociale pourront désormais constater des infractions à l’arrêté. </w:t>
      </w:r>
    </w:p>
    <w:p w:rsidR="00F553AE" w:rsidRDefault="00F553AE" w:rsidP="008C219B">
      <w:pPr>
        <w:pStyle w:val="-LettreTexteGEDA"/>
        <w:ind w:firstLine="0"/>
        <w:rPr>
          <w:rFonts w:asciiTheme="majorHAnsi" w:hAnsiTheme="majorHAnsi"/>
          <w:noProof w:val="0"/>
          <w:szCs w:val="24"/>
        </w:rPr>
      </w:pPr>
    </w:p>
    <w:p w:rsidR="008C219B" w:rsidRPr="008C219B" w:rsidRDefault="008C219B" w:rsidP="008C219B">
      <w:pPr>
        <w:pStyle w:val="-LettreTexteGEDA"/>
        <w:ind w:firstLine="0"/>
        <w:rPr>
          <w:rFonts w:ascii="Cambria" w:hAnsi="Cambria"/>
          <w:b/>
          <w:noProof w:val="0"/>
          <w:szCs w:val="24"/>
        </w:rPr>
      </w:pPr>
      <w:r w:rsidRPr="008C219B">
        <w:rPr>
          <w:rFonts w:ascii="Cambria" w:hAnsi="Cambria"/>
          <w:b/>
          <w:noProof w:val="0"/>
          <w:szCs w:val="24"/>
        </w:rPr>
        <w:t xml:space="preserve">Soutien à l’association </w:t>
      </w:r>
      <w:proofErr w:type="spellStart"/>
      <w:r w:rsidRPr="008C219B">
        <w:rPr>
          <w:rFonts w:ascii="Cambria" w:hAnsi="Cambria"/>
          <w:b/>
          <w:noProof w:val="0"/>
          <w:szCs w:val="24"/>
        </w:rPr>
        <w:t>Apair-Apurad</w:t>
      </w:r>
      <w:proofErr w:type="spellEnd"/>
    </w:p>
    <w:p w:rsidR="008C219B" w:rsidRDefault="008C219B" w:rsidP="008C219B">
      <w:pPr>
        <w:pStyle w:val="-LettreTexteGEDA"/>
        <w:ind w:firstLine="0"/>
        <w:rPr>
          <w:rFonts w:ascii="Cambria" w:hAnsi="Cambria"/>
          <w:noProof w:val="0"/>
          <w:szCs w:val="24"/>
        </w:rPr>
      </w:pPr>
    </w:p>
    <w:p w:rsidR="008C219B" w:rsidRPr="008C219B" w:rsidRDefault="008C219B" w:rsidP="008C219B">
      <w:pPr>
        <w:pStyle w:val="-LettreTexteGEDA"/>
        <w:ind w:firstLine="0"/>
        <w:rPr>
          <w:rFonts w:ascii="Cambria" w:hAnsi="Cambria"/>
          <w:noProof w:val="0"/>
        </w:rPr>
      </w:pPr>
      <w:r w:rsidRPr="008C219B">
        <w:rPr>
          <w:rFonts w:ascii="Cambria" w:hAnsi="Cambria"/>
          <w:noProof w:val="0"/>
        </w:rPr>
        <w:t xml:space="preserve">Le </w:t>
      </w:r>
      <w:r>
        <w:rPr>
          <w:rFonts w:ascii="Cambria" w:hAnsi="Cambria"/>
          <w:noProof w:val="0"/>
        </w:rPr>
        <w:t>C</w:t>
      </w:r>
      <w:r w:rsidRPr="008C219B">
        <w:rPr>
          <w:rFonts w:ascii="Cambria" w:hAnsi="Cambria"/>
          <w:noProof w:val="0"/>
        </w:rPr>
        <w:t xml:space="preserve">onseil des ministres a octroyé à l’association </w:t>
      </w:r>
      <w:proofErr w:type="spellStart"/>
      <w:r w:rsidRPr="008C219B">
        <w:rPr>
          <w:rFonts w:ascii="Cambria" w:hAnsi="Cambria"/>
          <w:noProof w:val="0"/>
        </w:rPr>
        <w:t>A</w:t>
      </w:r>
      <w:r>
        <w:rPr>
          <w:rFonts w:ascii="Cambria" w:hAnsi="Cambria"/>
          <w:noProof w:val="0"/>
        </w:rPr>
        <w:t>pair-Apurad</w:t>
      </w:r>
      <w:proofErr w:type="spellEnd"/>
      <w:r w:rsidRPr="008C219B">
        <w:rPr>
          <w:rFonts w:ascii="Cambria" w:hAnsi="Cambria"/>
          <w:noProof w:val="0"/>
        </w:rPr>
        <w:t xml:space="preserve"> une subventi</w:t>
      </w:r>
      <w:r>
        <w:rPr>
          <w:rFonts w:ascii="Cambria" w:hAnsi="Cambria"/>
          <w:noProof w:val="0"/>
        </w:rPr>
        <w:t>on d’un montant de 283 753 </w:t>
      </w:r>
      <w:proofErr w:type="spellStart"/>
      <w:r>
        <w:rPr>
          <w:rFonts w:ascii="Cambria" w:hAnsi="Cambria"/>
          <w:noProof w:val="0"/>
        </w:rPr>
        <w:t>Fcfp</w:t>
      </w:r>
      <w:proofErr w:type="spellEnd"/>
      <w:r>
        <w:rPr>
          <w:rFonts w:ascii="Cambria" w:hAnsi="Cambria"/>
          <w:noProof w:val="0"/>
        </w:rPr>
        <w:t xml:space="preserve"> </w:t>
      </w:r>
      <w:r w:rsidRPr="008C219B">
        <w:rPr>
          <w:rFonts w:ascii="Cambria" w:hAnsi="Cambria"/>
          <w:noProof w:val="0"/>
        </w:rPr>
        <w:t xml:space="preserve">pour </w:t>
      </w:r>
      <w:r>
        <w:rPr>
          <w:rFonts w:ascii="Cambria" w:hAnsi="Cambria"/>
          <w:noProof w:val="0"/>
        </w:rPr>
        <w:t>contribuer au financement</w:t>
      </w:r>
      <w:r w:rsidRPr="008C219B">
        <w:rPr>
          <w:rFonts w:ascii="Cambria" w:hAnsi="Cambria"/>
          <w:noProof w:val="0"/>
        </w:rPr>
        <w:t xml:space="preserve"> </w:t>
      </w:r>
      <w:r>
        <w:rPr>
          <w:rFonts w:ascii="Cambria" w:hAnsi="Cambria"/>
          <w:noProof w:val="0"/>
        </w:rPr>
        <w:t>du</w:t>
      </w:r>
      <w:r w:rsidRPr="008C219B">
        <w:rPr>
          <w:rFonts w:ascii="Cambria" w:hAnsi="Cambria"/>
          <w:noProof w:val="0"/>
        </w:rPr>
        <w:t xml:space="preserve"> programme intitulé  </w:t>
      </w:r>
      <w:r w:rsidR="00467EC1">
        <w:rPr>
          <w:rFonts w:ascii="Cambria" w:hAnsi="Cambria"/>
          <w:i/>
          <w:noProof w:val="0"/>
        </w:rPr>
        <w:t>« </w:t>
      </w:r>
      <w:proofErr w:type="spellStart"/>
      <w:r w:rsidR="00467EC1">
        <w:rPr>
          <w:rFonts w:ascii="Cambria" w:hAnsi="Cambria"/>
          <w:i/>
          <w:noProof w:val="0"/>
        </w:rPr>
        <w:t>Nati</w:t>
      </w:r>
      <w:r w:rsidRPr="008C219B">
        <w:rPr>
          <w:rFonts w:ascii="Cambria" w:hAnsi="Cambria"/>
          <w:i/>
          <w:noProof w:val="0"/>
        </w:rPr>
        <w:t>ea</w:t>
      </w:r>
      <w:proofErr w:type="spellEnd"/>
      <w:r w:rsidRPr="008C219B">
        <w:rPr>
          <w:rFonts w:ascii="Cambria" w:hAnsi="Cambria"/>
          <w:i/>
          <w:noProof w:val="0"/>
        </w:rPr>
        <w:t xml:space="preserve"> – Un bon sommeil pour ta santé ». </w:t>
      </w:r>
      <w:r w:rsidRPr="008C219B">
        <w:rPr>
          <w:rFonts w:ascii="Cambria" w:hAnsi="Cambria"/>
          <w:noProof w:val="0"/>
        </w:rPr>
        <w:t>Ce projet a pour objectif de favoriser la prise de conscience du syndrome d’apnée du sommeil et des changements à opérer sur le plan alimentaire pour améliorer l’état de santé des patients suivis par l’association. La demande de subvention doit permettre la mise en place d’un programme d’éducation thérapeutique pour les patients atteints d’apnée du sommeil.</w:t>
      </w:r>
    </w:p>
    <w:p w:rsidR="008C219B" w:rsidRPr="008C219B" w:rsidRDefault="008C219B" w:rsidP="008C219B">
      <w:pPr>
        <w:pStyle w:val="-LettreTexteGEDA"/>
        <w:ind w:firstLine="0"/>
        <w:rPr>
          <w:rFonts w:ascii="Cambria" w:hAnsi="Cambria"/>
          <w:noProof w:val="0"/>
        </w:rPr>
      </w:pPr>
      <w:r w:rsidRPr="008C219B">
        <w:rPr>
          <w:rFonts w:ascii="Cambria" w:hAnsi="Cambria"/>
          <w:noProof w:val="0"/>
        </w:rPr>
        <w:lastRenderedPageBreak/>
        <w:t>A travers des séances d’éducation thérapeutique de groupe, le programme « </w:t>
      </w:r>
      <w:proofErr w:type="spellStart"/>
      <w:r w:rsidRPr="008C219B">
        <w:rPr>
          <w:rFonts w:ascii="Cambria" w:hAnsi="Cambria"/>
          <w:noProof w:val="0"/>
        </w:rPr>
        <w:t>N</w:t>
      </w:r>
      <w:r>
        <w:rPr>
          <w:rFonts w:ascii="Cambria" w:hAnsi="Cambria"/>
          <w:noProof w:val="0"/>
        </w:rPr>
        <w:t>atiea</w:t>
      </w:r>
      <w:proofErr w:type="spellEnd"/>
      <w:r w:rsidRPr="008C219B">
        <w:rPr>
          <w:rFonts w:ascii="Cambria" w:hAnsi="Cambria"/>
          <w:noProof w:val="0"/>
        </w:rPr>
        <w:t> » vise à renforcer l’autonomie dans la prise en charge du traitement, à inciter au changement de comportement alimentaire et à favoriser la prise de conscience des aidants familiaux.</w:t>
      </w:r>
    </w:p>
    <w:p w:rsidR="008C219B" w:rsidRDefault="008C219B" w:rsidP="008C219B">
      <w:pPr>
        <w:pStyle w:val="-LettreTexteGEDA"/>
        <w:ind w:firstLine="0"/>
        <w:rPr>
          <w:rFonts w:ascii="Cambria" w:hAnsi="Cambria"/>
          <w:noProof w:val="0"/>
        </w:rPr>
      </w:pPr>
      <w:r w:rsidRPr="008C219B">
        <w:rPr>
          <w:rFonts w:ascii="Cambria" w:hAnsi="Cambria"/>
          <w:noProof w:val="0"/>
        </w:rPr>
        <w:t>Ce projet répond aux objectifs définis dans le programme d’actions polynésien pour la promotion de l’alimentation équilibrée et de l’activité physique qui promeut la mise en place de programme</w:t>
      </w:r>
      <w:r>
        <w:rPr>
          <w:rFonts w:ascii="Cambria" w:hAnsi="Cambria"/>
          <w:noProof w:val="0"/>
        </w:rPr>
        <w:t>s</w:t>
      </w:r>
      <w:r w:rsidRPr="008C219B">
        <w:rPr>
          <w:rFonts w:ascii="Cambria" w:hAnsi="Cambria"/>
          <w:noProof w:val="0"/>
        </w:rPr>
        <w:t xml:space="preserve"> d’éducation thérapeutique du patient.</w:t>
      </w:r>
    </w:p>
    <w:p w:rsidR="008C219B" w:rsidRDefault="008C219B" w:rsidP="008C219B">
      <w:pPr>
        <w:pStyle w:val="-LettreTexteGEDA"/>
        <w:ind w:firstLine="0"/>
        <w:rPr>
          <w:rFonts w:ascii="Cambria" w:hAnsi="Cambria"/>
          <w:noProof w:val="0"/>
        </w:rPr>
      </w:pPr>
    </w:p>
    <w:p w:rsidR="008C219B" w:rsidRPr="008C219B" w:rsidRDefault="008C219B" w:rsidP="008C219B">
      <w:pPr>
        <w:pStyle w:val="-LettreTexteGEDA"/>
        <w:ind w:firstLine="0"/>
        <w:rPr>
          <w:rFonts w:ascii="Cambria" w:hAnsi="Cambria"/>
          <w:b/>
          <w:noProof w:val="0"/>
        </w:rPr>
      </w:pPr>
      <w:r w:rsidRPr="008C219B">
        <w:rPr>
          <w:rFonts w:ascii="Cambria" w:hAnsi="Cambria"/>
          <w:b/>
          <w:noProof w:val="0"/>
        </w:rPr>
        <w:t xml:space="preserve">Soutien au Challenge </w:t>
      </w:r>
      <w:proofErr w:type="spellStart"/>
      <w:r w:rsidRPr="008C219B">
        <w:rPr>
          <w:rFonts w:ascii="Cambria" w:hAnsi="Cambria"/>
          <w:b/>
          <w:noProof w:val="0"/>
        </w:rPr>
        <w:t>Taure’a</w:t>
      </w:r>
      <w:proofErr w:type="spellEnd"/>
      <w:r w:rsidRPr="008C219B">
        <w:rPr>
          <w:rFonts w:ascii="Cambria" w:hAnsi="Cambria"/>
          <w:b/>
          <w:noProof w:val="0"/>
        </w:rPr>
        <w:t xml:space="preserve"> prévu en octobre prochain</w:t>
      </w:r>
    </w:p>
    <w:p w:rsidR="008C219B" w:rsidRPr="008C219B" w:rsidRDefault="008C219B" w:rsidP="008C219B">
      <w:pPr>
        <w:pStyle w:val="-LettreTexteGEDA"/>
        <w:ind w:firstLine="0"/>
        <w:rPr>
          <w:rFonts w:ascii="Cambria" w:hAnsi="Cambria"/>
          <w:noProof w:val="0"/>
        </w:rPr>
      </w:pPr>
    </w:p>
    <w:p w:rsidR="008C219B" w:rsidRPr="008C219B" w:rsidRDefault="008C219B" w:rsidP="008C219B">
      <w:pPr>
        <w:pStyle w:val="-LettreTexteGEDA"/>
        <w:ind w:firstLine="0"/>
        <w:rPr>
          <w:rFonts w:ascii="Cambria" w:hAnsi="Cambria"/>
          <w:noProof w:val="0"/>
        </w:rPr>
      </w:pPr>
      <w:r w:rsidRPr="008C219B">
        <w:rPr>
          <w:rFonts w:ascii="Cambria" w:hAnsi="Cambria"/>
          <w:noProof w:val="0"/>
        </w:rPr>
        <w:t>Dans le cadre des actions de cohésion et de développement individuel menées par la fédération sportive et culturelle de France –</w:t>
      </w:r>
      <w:r>
        <w:rPr>
          <w:rFonts w:ascii="Cambria" w:hAnsi="Cambria"/>
          <w:noProof w:val="0"/>
        </w:rPr>
        <w:t xml:space="preserve"> </w:t>
      </w:r>
      <w:r w:rsidRPr="008C219B">
        <w:rPr>
          <w:rFonts w:ascii="Cambria" w:hAnsi="Cambria"/>
          <w:noProof w:val="0"/>
        </w:rPr>
        <w:t xml:space="preserve">Union territoriale de Polynésie française, il est proposé de mettre en place le projet « Challenge </w:t>
      </w:r>
      <w:proofErr w:type="spellStart"/>
      <w:r w:rsidRPr="008C219B">
        <w:rPr>
          <w:rFonts w:ascii="Cambria" w:hAnsi="Cambria"/>
          <w:noProof w:val="0"/>
        </w:rPr>
        <w:t>Taurea</w:t>
      </w:r>
      <w:proofErr w:type="spellEnd"/>
      <w:r w:rsidRPr="008C219B">
        <w:rPr>
          <w:rFonts w:ascii="Cambria" w:hAnsi="Cambria"/>
          <w:noProof w:val="0"/>
        </w:rPr>
        <w:t> » en faveur des adolescents en difficultés sociales, de 14 à 18 ans, de Tahiti et des îles</w:t>
      </w:r>
      <w:r>
        <w:rPr>
          <w:rFonts w:ascii="Cambria" w:hAnsi="Cambria"/>
          <w:noProof w:val="0"/>
        </w:rPr>
        <w:t>,</w:t>
      </w:r>
      <w:r w:rsidRPr="008C219B">
        <w:rPr>
          <w:rFonts w:ascii="Cambria" w:hAnsi="Cambria"/>
          <w:noProof w:val="0"/>
        </w:rPr>
        <w:t xml:space="preserve"> en octobre </w:t>
      </w:r>
      <w:r>
        <w:rPr>
          <w:rFonts w:ascii="Cambria" w:hAnsi="Cambria"/>
          <w:noProof w:val="0"/>
        </w:rPr>
        <w:t>prochain</w:t>
      </w:r>
      <w:r w:rsidRPr="008C219B">
        <w:rPr>
          <w:rFonts w:ascii="Cambria" w:hAnsi="Cambria"/>
          <w:noProof w:val="0"/>
        </w:rPr>
        <w:t>.</w:t>
      </w:r>
    </w:p>
    <w:p w:rsidR="008C219B" w:rsidRPr="008C219B" w:rsidRDefault="008C219B" w:rsidP="008C219B">
      <w:pPr>
        <w:pStyle w:val="-LettreTexteGEDA"/>
        <w:ind w:firstLine="0"/>
        <w:rPr>
          <w:rFonts w:ascii="Cambria" w:hAnsi="Cambria"/>
          <w:noProof w:val="0"/>
        </w:rPr>
      </w:pPr>
      <w:r w:rsidRPr="008C219B">
        <w:rPr>
          <w:rFonts w:ascii="Cambria" w:hAnsi="Cambria"/>
          <w:noProof w:val="0"/>
        </w:rPr>
        <w:t>Pendant une semaine, différentes délégations</w:t>
      </w:r>
      <w:r>
        <w:rPr>
          <w:rFonts w:ascii="Cambria" w:hAnsi="Cambria"/>
          <w:noProof w:val="0"/>
        </w:rPr>
        <w:t>,</w:t>
      </w:r>
      <w:r w:rsidRPr="008C219B">
        <w:rPr>
          <w:rFonts w:ascii="Cambria" w:hAnsi="Cambria"/>
          <w:noProof w:val="0"/>
        </w:rPr>
        <w:t xml:space="preserve"> regroupant une vingtaine de jeunes chacune</w:t>
      </w:r>
      <w:r>
        <w:rPr>
          <w:rFonts w:ascii="Cambria" w:hAnsi="Cambria"/>
          <w:noProof w:val="0"/>
        </w:rPr>
        <w:t>,</w:t>
      </w:r>
      <w:r w:rsidRPr="008C219B">
        <w:rPr>
          <w:rFonts w:ascii="Cambria" w:hAnsi="Cambria"/>
          <w:noProof w:val="0"/>
        </w:rPr>
        <w:t xml:space="preserve"> se rencontreront autour de différentes disciplines sportives. Au-delà de ces épreuves, la semaine sera rythmée par un « village animation » proposant des activités de bien-être et culturelles.</w:t>
      </w:r>
    </w:p>
    <w:p w:rsidR="008C219B" w:rsidRDefault="008C219B" w:rsidP="008C219B">
      <w:pPr>
        <w:pStyle w:val="-LettreTexteGEDA"/>
        <w:ind w:firstLine="0"/>
        <w:rPr>
          <w:rFonts w:ascii="Cambria" w:hAnsi="Cambria"/>
          <w:noProof w:val="0"/>
        </w:rPr>
      </w:pPr>
      <w:r w:rsidRPr="008C219B">
        <w:rPr>
          <w:rFonts w:ascii="Cambria" w:hAnsi="Cambria"/>
          <w:noProof w:val="0"/>
        </w:rPr>
        <w:t>Ce projet répond aux objectifs de prévention et de promotion de la santé du Pays puisqu’il promeut la pratique de l’activité physique, comme vecteur d’insertion sociale, contribue au renforcement des compétences psycho-sociales des futurs adultes et constitue un support privilégié pour la prévention des conduites à risque.</w:t>
      </w:r>
      <w:r>
        <w:rPr>
          <w:rFonts w:ascii="Cambria" w:hAnsi="Cambria"/>
          <w:noProof w:val="0"/>
        </w:rPr>
        <w:t xml:space="preserve"> L</w:t>
      </w:r>
      <w:r w:rsidRPr="008C219B">
        <w:rPr>
          <w:rFonts w:ascii="Cambria" w:hAnsi="Cambria"/>
          <w:noProof w:val="0"/>
        </w:rPr>
        <w:t>e gouvernement a octroyé</w:t>
      </w:r>
      <w:r>
        <w:rPr>
          <w:rFonts w:ascii="Cambria" w:hAnsi="Cambria"/>
          <w:noProof w:val="0"/>
        </w:rPr>
        <w:t xml:space="preserve"> </w:t>
      </w:r>
      <w:r w:rsidRPr="008C219B">
        <w:rPr>
          <w:rFonts w:ascii="Cambria" w:hAnsi="Cambria"/>
          <w:noProof w:val="0"/>
        </w:rPr>
        <w:t xml:space="preserve">une subvention d’un montant de 800 000 </w:t>
      </w:r>
      <w:proofErr w:type="spellStart"/>
      <w:r w:rsidRPr="008C219B">
        <w:rPr>
          <w:rFonts w:ascii="Cambria" w:hAnsi="Cambria"/>
          <w:noProof w:val="0"/>
        </w:rPr>
        <w:t>F</w:t>
      </w:r>
      <w:r>
        <w:rPr>
          <w:rFonts w:ascii="Cambria" w:hAnsi="Cambria"/>
          <w:noProof w:val="0"/>
        </w:rPr>
        <w:t>cfp</w:t>
      </w:r>
      <w:proofErr w:type="spellEnd"/>
      <w:r>
        <w:rPr>
          <w:rFonts w:ascii="Cambria" w:hAnsi="Cambria"/>
          <w:noProof w:val="0"/>
        </w:rPr>
        <w:t xml:space="preserve"> a</w:t>
      </w:r>
      <w:r w:rsidRPr="008C219B">
        <w:rPr>
          <w:rFonts w:ascii="Cambria" w:hAnsi="Cambria"/>
          <w:noProof w:val="0"/>
        </w:rPr>
        <w:t>fin de soutenir la mise en place de ce projet</w:t>
      </w:r>
      <w:r>
        <w:rPr>
          <w:rFonts w:ascii="Cambria" w:hAnsi="Cambria"/>
          <w:noProof w:val="0"/>
        </w:rPr>
        <w:t>.</w:t>
      </w:r>
    </w:p>
    <w:p w:rsidR="00946318" w:rsidRDefault="00946318" w:rsidP="008C219B">
      <w:pPr>
        <w:pStyle w:val="-LettreTexteGEDA"/>
        <w:ind w:firstLine="0"/>
        <w:rPr>
          <w:rFonts w:ascii="Cambria" w:hAnsi="Cambria"/>
          <w:noProof w:val="0"/>
        </w:rPr>
      </w:pPr>
    </w:p>
    <w:p w:rsidR="00946318" w:rsidRPr="00946318" w:rsidRDefault="00946318" w:rsidP="008C219B">
      <w:pPr>
        <w:pStyle w:val="-LettreTexteGEDA"/>
        <w:ind w:firstLine="0"/>
        <w:rPr>
          <w:rFonts w:ascii="Cambria" w:hAnsi="Cambria"/>
          <w:b/>
          <w:szCs w:val="24"/>
        </w:rPr>
      </w:pPr>
      <w:r w:rsidRPr="00946318">
        <w:rPr>
          <w:rFonts w:ascii="Cambria" w:hAnsi="Cambria"/>
          <w:b/>
          <w:bCs/>
          <w:noProof w:val="0"/>
        </w:rPr>
        <w:t>L</w:t>
      </w:r>
      <w:r w:rsidRPr="00946318">
        <w:rPr>
          <w:rFonts w:ascii="Cambria" w:hAnsi="Cambria"/>
          <w:b/>
          <w:noProof w:val="0"/>
        </w:rPr>
        <w:t>oyers</w:t>
      </w:r>
      <w:r w:rsidRPr="00946318">
        <w:rPr>
          <w:rFonts w:ascii="Cambria" w:hAnsi="Cambria"/>
          <w:b/>
          <w:szCs w:val="24"/>
        </w:rPr>
        <w:t xml:space="preserve"> des studios et autres infrastructures du Centre d’Hébergement pour Etudiants (CHE) d’Outumaoro</w:t>
      </w:r>
    </w:p>
    <w:p w:rsidR="00946318" w:rsidRPr="00946318" w:rsidRDefault="00946318" w:rsidP="00946318">
      <w:pPr>
        <w:pStyle w:val="-LettreTexteGEDA"/>
        <w:spacing w:before="240"/>
        <w:ind w:firstLine="0"/>
        <w:rPr>
          <w:rFonts w:ascii="Cambria" w:hAnsi="Cambria"/>
          <w:noProof w:val="0"/>
        </w:rPr>
      </w:pPr>
      <w:r w:rsidRPr="00946318">
        <w:rPr>
          <w:rFonts w:ascii="Cambria" w:hAnsi="Cambria"/>
          <w:szCs w:val="24"/>
        </w:rPr>
        <w:t>L</w:t>
      </w:r>
      <w:r w:rsidRPr="00946318">
        <w:rPr>
          <w:rFonts w:ascii="Cambria" w:hAnsi="Cambria"/>
        </w:rPr>
        <w:t xml:space="preserve">’Institut de la Jeunesse et des Sports de la Polynésie française (IJSPF) a fixé, en 2018, les tarifs et conditions d’accès au CHE qui comprenait alors </w:t>
      </w:r>
      <w:r w:rsidRPr="00946318">
        <w:rPr>
          <w:rFonts w:ascii="Cambria" w:hAnsi="Cambria"/>
          <w:noProof w:val="0"/>
        </w:rPr>
        <w:t>114 studios de 2 lits chacun, des kitchenettes et buanderies communes, des parkings, un restaurant universitaire, des salles de cours, deux plateaux sportifs et un logement de gardien.</w:t>
      </w:r>
    </w:p>
    <w:p w:rsidR="00946318" w:rsidRPr="00946318" w:rsidRDefault="00946318" w:rsidP="00946318">
      <w:pPr>
        <w:pStyle w:val="-LettreTexteGEDA"/>
        <w:ind w:firstLine="0"/>
        <w:rPr>
          <w:rFonts w:ascii="Cambria" w:hAnsi="Cambria"/>
          <w:noProof w:val="0"/>
        </w:rPr>
      </w:pPr>
      <w:r w:rsidRPr="00946318">
        <w:rPr>
          <w:rFonts w:ascii="Cambria" w:hAnsi="Cambria"/>
          <w:noProof w:val="0"/>
        </w:rPr>
        <w:t>Le domaine du CHE d’</w:t>
      </w:r>
      <w:proofErr w:type="spellStart"/>
      <w:r w:rsidRPr="00946318">
        <w:rPr>
          <w:rFonts w:ascii="Cambria" w:hAnsi="Cambria"/>
          <w:noProof w:val="0"/>
        </w:rPr>
        <w:t>Outumaoro</w:t>
      </w:r>
      <w:proofErr w:type="spellEnd"/>
      <w:r w:rsidRPr="00946318">
        <w:rPr>
          <w:rFonts w:ascii="Cambria" w:hAnsi="Cambria"/>
          <w:noProof w:val="0"/>
        </w:rPr>
        <w:t xml:space="preserve"> s’est depuis agrandi, l’année dernière, avec l’achèvement des travaux de la seconde tranche en fin 2019. Cette extension comprend quatre nouveaux bâtiments </w:t>
      </w:r>
      <w:r w:rsidRPr="00946318">
        <w:rPr>
          <w:rFonts w:ascii="Cambria" w:hAnsi="Cambria"/>
        </w:rPr>
        <w:t>disposant chacun de 19 à 22 studios dont deux PMR (bâtiment F), une cuisine avec espace pour prise de repas et une buanderie communes, ainsi que deux locaux poubelles et cinquante-deux places de parking dont deux identifiés PMR.</w:t>
      </w:r>
    </w:p>
    <w:p w:rsidR="00946318" w:rsidRPr="00946318" w:rsidRDefault="00946318" w:rsidP="00946318">
      <w:pPr>
        <w:pStyle w:val="-LettreTexteGEDA"/>
        <w:ind w:firstLine="0"/>
        <w:rPr>
          <w:rFonts w:ascii="Cambria" w:hAnsi="Cambria"/>
          <w:noProof w:val="0"/>
        </w:rPr>
      </w:pPr>
      <w:r w:rsidRPr="00946318">
        <w:rPr>
          <w:rFonts w:ascii="Cambria" w:hAnsi="Cambria"/>
          <w:noProof w:val="0"/>
        </w:rPr>
        <w:t xml:space="preserve">Les tarifs actés restent inchangés par rapport aux tarifs jusqu’à présent en vigueur, à savoir 18 000 </w:t>
      </w:r>
      <w:proofErr w:type="spellStart"/>
      <w:r w:rsidRPr="00946318">
        <w:rPr>
          <w:rFonts w:ascii="Cambria" w:hAnsi="Cambria"/>
          <w:noProof w:val="0"/>
        </w:rPr>
        <w:t>Fcfp</w:t>
      </w:r>
      <w:proofErr w:type="spellEnd"/>
      <w:r w:rsidRPr="00946318">
        <w:rPr>
          <w:rFonts w:ascii="Cambria" w:hAnsi="Cambria"/>
          <w:noProof w:val="0"/>
        </w:rPr>
        <w:t xml:space="preserve"> pour un studio étudiant en période universitaire et 40 000 </w:t>
      </w:r>
      <w:proofErr w:type="spellStart"/>
      <w:r w:rsidRPr="00946318">
        <w:rPr>
          <w:rFonts w:ascii="Cambria" w:hAnsi="Cambria"/>
          <w:noProof w:val="0"/>
        </w:rPr>
        <w:t>Fcfp</w:t>
      </w:r>
      <w:proofErr w:type="spellEnd"/>
      <w:r w:rsidRPr="00946318">
        <w:rPr>
          <w:rFonts w:ascii="Cambria" w:hAnsi="Cambria"/>
          <w:noProof w:val="0"/>
        </w:rPr>
        <w:t xml:space="preserve"> pour un studio étudiant hors période universitaire. Différentes aides peuvent être versées par des tiers payeurs venant ainsi réduire le loyer résiduel à la charge de l’étudiant. Une caution d’un montant égal à celui du loyer est requise pour couvrir les risques liés à la location. Le montant forfaitaire des charges locatives est fixé à 2 000 </w:t>
      </w:r>
      <w:proofErr w:type="spellStart"/>
      <w:r w:rsidRPr="00946318">
        <w:rPr>
          <w:rFonts w:ascii="Cambria" w:hAnsi="Cambria"/>
          <w:noProof w:val="0"/>
        </w:rPr>
        <w:t>Fcfp</w:t>
      </w:r>
      <w:proofErr w:type="spellEnd"/>
      <w:r w:rsidRPr="00946318">
        <w:rPr>
          <w:rFonts w:ascii="Cambria" w:hAnsi="Cambria"/>
          <w:noProof w:val="0"/>
        </w:rPr>
        <w:t xml:space="preserve"> par mois par résident. </w:t>
      </w:r>
    </w:p>
    <w:p w:rsidR="00946318" w:rsidRDefault="00946318" w:rsidP="008C219B">
      <w:pPr>
        <w:pStyle w:val="-LettreTexteGEDA"/>
        <w:ind w:firstLine="0"/>
        <w:rPr>
          <w:rFonts w:ascii="Cambria" w:hAnsi="Cambria"/>
          <w:noProof w:val="0"/>
        </w:rPr>
      </w:pPr>
    </w:p>
    <w:p w:rsidR="00946318" w:rsidRDefault="00946318" w:rsidP="008C219B">
      <w:pPr>
        <w:pStyle w:val="-LettreTexteGEDA"/>
        <w:ind w:firstLine="0"/>
        <w:rPr>
          <w:rFonts w:ascii="Cambria" w:hAnsi="Cambria"/>
          <w:b/>
          <w:noProof w:val="0"/>
        </w:rPr>
      </w:pPr>
      <w:r w:rsidRPr="00946318">
        <w:rPr>
          <w:rFonts w:ascii="Cambria" w:hAnsi="Cambria"/>
          <w:b/>
          <w:noProof w:val="0"/>
        </w:rPr>
        <w:t xml:space="preserve">Subventions en faveur des associations Heiva </w:t>
      </w:r>
      <w:proofErr w:type="spellStart"/>
      <w:r w:rsidRPr="00946318">
        <w:rPr>
          <w:rFonts w:ascii="Cambria" w:hAnsi="Cambria"/>
          <w:b/>
          <w:noProof w:val="0"/>
        </w:rPr>
        <w:t>Taure’a</w:t>
      </w:r>
      <w:proofErr w:type="spellEnd"/>
      <w:r w:rsidRPr="00946318">
        <w:rPr>
          <w:rFonts w:ascii="Cambria" w:hAnsi="Cambria"/>
          <w:b/>
          <w:noProof w:val="0"/>
        </w:rPr>
        <w:t xml:space="preserve"> et district </w:t>
      </w:r>
      <w:proofErr w:type="spellStart"/>
      <w:r w:rsidRPr="00946318">
        <w:rPr>
          <w:rFonts w:ascii="Cambria" w:hAnsi="Cambria"/>
          <w:b/>
          <w:noProof w:val="0"/>
        </w:rPr>
        <w:t>vaka</w:t>
      </w:r>
      <w:proofErr w:type="spellEnd"/>
      <w:r w:rsidRPr="00946318">
        <w:rPr>
          <w:rFonts w:ascii="Cambria" w:hAnsi="Cambria"/>
          <w:b/>
          <w:noProof w:val="0"/>
        </w:rPr>
        <w:t xml:space="preserve"> de </w:t>
      </w:r>
      <w:proofErr w:type="spellStart"/>
      <w:r w:rsidRPr="00946318">
        <w:rPr>
          <w:rFonts w:ascii="Cambria" w:hAnsi="Cambria"/>
          <w:b/>
          <w:noProof w:val="0"/>
        </w:rPr>
        <w:t>Ua</w:t>
      </w:r>
      <w:proofErr w:type="spellEnd"/>
      <w:r w:rsidRPr="00946318">
        <w:rPr>
          <w:rFonts w:ascii="Cambria" w:hAnsi="Cambria"/>
          <w:b/>
          <w:noProof w:val="0"/>
        </w:rPr>
        <w:t xml:space="preserve"> Pou</w:t>
      </w:r>
    </w:p>
    <w:p w:rsidR="00946318" w:rsidRDefault="00946318" w:rsidP="008C219B">
      <w:pPr>
        <w:pStyle w:val="-LettreTexteGEDA"/>
        <w:ind w:firstLine="0"/>
        <w:rPr>
          <w:rFonts w:ascii="Cambria" w:hAnsi="Cambria"/>
          <w:b/>
          <w:noProof w:val="0"/>
        </w:rPr>
      </w:pPr>
    </w:p>
    <w:p w:rsidR="00946318" w:rsidRPr="00946318" w:rsidRDefault="00946318" w:rsidP="008C219B">
      <w:pPr>
        <w:pStyle w:val="-LettreTexteGEDA"/>
        <w:ind w:firstLine="0"/>
        <w:rPr>
          <w:rFonts w:ascii="Cambria" w:hAnsi="Cambria"/>
          <w:noProof w:val="0"/>
        </w:rPr>
      </w:pPr>
      <w:r w:rsidRPr="00946318">
        <w:rPr>
          <w:rFonts w:ascii="Cambria" w:hAnsi="Cambria"/>
          <w:noProof w:val="0"/>
        </w:rPr>
        <w:t xml:space="preserve">Sur proposition de la ministre de l’Education, le Conseil des ministres a octroyé une subvention de 320 000 </w:t>
      </w:r>
      <w:proofErr w:type="spellStart"/>
      <w:r w:rsidRPr="00946318">
        <w:rPr>
          <w:rFonts w:ascii="Cambria" w:hAnsi="Cambria"/>
          <w:noProof w:val="0"/>
        </w:rPr>
        <w:t>Fcfp</w:t>
      </w:r>
      <w:proofErr w:type="spellEnd"/>
      <w:r w:rsidRPr="00946318">
        <w:rPr>
          <w:rFonts w:ascii="Cambria" w:hAnsi="Cambria"/>
          <w:noProof w:val="0"/>
        </w:rPr>
        <w:t xml:space="preserve"> à l’association Heiva </w:t>
      </w:r>
      <w:proofErr w:type="spellStart"/>
      <w:r w:rsidRPr="00946318">
        <w:rPr>
          <w:rFonts w:ascii="Cambria" w:hAnsi="Cambria"/>
          <w:noProof w:val="0"/>
        </w:rPr>
        <w:t>taure’a</w:t>
      </w:r>
      <w:proofErr w:type="spellEnd"/>
      <w:r w:rsidRPr="00946318">
        <w:rPr>
          <w:rFonts w:ascii="Cambria" w:hAnsi="Cambria"/>
          <w:noProof w:val="0"/>
        </w:rPr>
        <w:t xml:space="preserve"> pour l’achat d’instruments de musique traditionnels.</w:t>
      </w:r>
    </w:p>
    <w:p w:rsidR="00946318" w:rsidRPr="00946318" w:rsidRDefault="00946318" w:rsidP="008C219B">
      <w:pPr>
        <w:pStyle w:val="-LettreTexteGEDA"/>
        <w:ind w:firstLine="0"/>
        <w:rPr>
          <w:rFonts w:ascii="Cambria" w:hAnsi="Cambria"/>
          <w:noProof w:val="0"/>
        </w:rPr>
      </w:pPr>
      <w:r w:rsidRPr="00946318">
        <w:rPr>
          <w:rFonts w:ascii="Cambria" w:hAnsi="Cambria"/>
          <w:noProof w:val="0"/>
        </w:rPr>
        <w:t xml:space="preserve">Le Conseil des ministres a également octroyé deux subventions, de 700 000 </w:t>
      </w:r>
      <w:proofErr w:type="spellStart"/>
      <w:r w:rsidRPr="00946318">
        <w:rPr>
          <w:rFonts w:ascii="Cambria" w:hAnsi="Cambria"/>
          <w:noProof w:val="0"/>
        </w:rPr>
        <w:t>Fcfp</w:t>
      </w:r>
      <w:proofErr w:type="spellEnd"/>
      <w:r w:rsidRPr="00946318">
        <w:rPr>
          <w:rFonts w:ascii="Cambria" w:hAnsi="Cambria"/>
          <w:noProof w:val="0"/>
        </w:rPr>
        <w:t xml:space="preserve"> et 900 000 </w:t>
      </w:r>
      <w:proofErr w:type="spellStart"/>
      <w:r w:rsidRPr="00946318">
        <w:rPr>
          <w:rFonts w:ascii="Cambria" w:hAnsi="Cambria"/>
          <w:noProof w:val="0"/>
        </w:rPr>
        <w:t>Fcfp</w:t>
      </w:r>
      <w:proofErr w:type="spellEnd"/>
      <w:r w:rsidRPr="00946318">
        <w:rPr>
          <w:rFonts w:ascii="Cambria" w:hAnsi="Cambria"/>
          <w:noProof w:val="0"/>
        </w:rPr>
        <w:t xml:space="preserve">, à l’association district </w:t>
      </w:r>
      <w:proofErr w:type="spellStart"/>
      <w:r w:rsidRPr="00946318">
        <w:rPr>
          <w:rFonts w:ascii="Cambria" w:hAnsi="Cambria"/>
          <w:noProof w:val="0"/>
        </w:rPr>
        <w:t>vaka</w:t>
      </w:r>
      <w:proofErr w:type="spellEnd"/>
      <w:r w:rsidRPr="00946318">
        <w:rPr>
          <w:rFonts w:ascii="Cambria" w:hAnsi="Cambria"/>
          <w:noProof w:val="0"/>
        </w:rPr>
        <w:t xml:space="preserve"> de </w:t>
      </w:r>
      <w:proofErr w:type="spellStart"/>
      <w:r w:rsidRPr="00946318">
        <w:rPr>
          <w:rFonts w:ascii="Cambria" w:hAnsi="Cambria"/>
          <w:noProof w:val="0"/>
        </w:rPr>
        <w:t>Ua</w:t>
      </w:r>
      <w:proofErr w:type="spellEnd"/>
      <w:r w:rsidRPr="00946318">
        <w:rPr>
          <w:rFonts w:ascii="Cambria" w:hAnsi="Cambria"/>
          <w:noProof w:val="0"/>
        </w:rPr>
        <w:t xml:space="preserve"> Pou, respectivement pour le projet éducatif et sportif « Te </w:t>
      </w:r>
      <w:proofErr w:type="spellStart"/>
      <w:r w:rsidRPr="00946318">
        <w:rPr>
          <w:rFonts w:ascii="Cambria" w:hAnsi="Cambria"/>
          <w:noProof w:val="0"/>
        </w:rPr>
        <w:t>Vaka</w:t>
      </w:r>
      <w:proofErr w:type="spellEnd"/>
      <w:r w:rsidRPr="00946318">
        <w:rPr>
          <w:rFonts w:ascii="Cambria" w:hAnsi="Cambria"/>
          <w:noProof w:val="0"/>
        </w:rPr>
        <w:t xml:space="preserve"> horizon 2027 » et pour le projet éducatif et culturel « </w:t>
      </w:r>
      <w:proofErr w:type="spellStart"/>
      <w:r w:rsidRPr="00946318">
        <w:rPr>
          <w:rFonts w:ascii="Cambria" w:hAnsi="Cambria"/>
          <w:noProof w:val="0"/>
        </w:rPr>
        <w:t>Tuhuna</w:t>
      </w:r>
      <w:proofErr w:type="spellEnd"/>
      <w:r w:rsidRPr="00946318">
        <w:rPr>
          <w:rFonts w:ascii="Cambria" w:hAnsi="Cambria"/>
          <w:noProof w:val="0"/>
        </w:rPr>
        <w:t> ».</w:t>
      </w:r>
    </w:p>
    <w:p w:rsidR="00946318" w:rsidRDefault="00946318" w:rsidP="008C219B">
      <w:pPr>
        <w:pStyle w:val="-LettreTexteGEDA"/>
        <w:ind w:firstLine="0"/>
        <w:rPr>
          <w:rFonts w:ascii="Cambria" w:hAnsi="Cambria"/>
          <w:b/>
          <w:noProof w:val="0"/>
        </w:rPr>
      </w:pPr>
    </w:p>
    <w:p w:rsidR="003C5FFF" w:rsidRPr="003C5FFF" w:rsidRDefault="003C5FFF" w:rsidP="003C5FFF">
      <w:pPr>
        <w:pStyle w:val="-LettreSuiteORefPJGEDA"/>
        <w:ind w:left="0"/>
        <w:rPr>
          <w:rFonts w:asciiTheme="majorHAnsi" w:hAnsiTheme="majorHAnsi"/>
        </w:rPr>
      </w:pPr>
    </w:p>
    <w:p w:rsidR="003C5FFF" w:rsidRPr="000561CA" w:rsidRDefault="003C5FFF" w:rsidP="00EF2FA8">
      <w:pPr>
        <w:pStyle w:val="-LettreSuiteORefPJGEDA"/>
        <w:ind w:left="0"/>
        <w:rPr>
          <w:rFonts w:ascii="Cambria" w:hAnsi="Cambria"/>
        </w:rPr>
      </w:pPr>
    </w:p>
    <w:p w:rsidR="008059E4" w:rsidRPr="00DA69B1" w:rsidRDefault="00264EF2" w:rsidP="00CD5D51">
      <w:pPr>
        <w:pStyle w:val="-LettreTexteGEDA"/>
        <w:ind w:firstLine="0"/>
        <w:jc w:val="center"/>
        <w:rPr>
          <w:rFonts w:asciiTheme="majorHAnsi" w:hAnsiTheme="majorHAnsi"/>
          <w:noProof w:val="0"/>
          <w:szCs w:val="24"/>
        </w:rPr>
      </w:pPr>
      <w:r w:rsidRPr="001F2760">
        <w:rPr>
          <w:rFonts w:asciiTheme="majorHAnsi" w:hAnsiTheme="majorHAnsi"/>
          <w:noProof w:val="0"/>
          <w:szCs w:val="24"/>
        </w:rPr>
        <w:t>-o-o-o-o-o-</w:t>
      </w:r>
    </w:p>
    <w:sectPr w:rsidR="008059E4" w:rsidRPr="00DA69B1" w:rsidSect="00922ABB">
      <w:footerReference w:type="even" r:id="rId9"/>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952" w:rsidRDefault="00AC1952">
      <w:r>
        <w:separator/>
      </w:r>
    </w:p>
  </w:endnote>
  <w:endnote w:type="continuationSeparator" w:id="0">
    <w:p w:rsidR="00AC1952" w:rsidRDefault="00AC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T3Font_0">
    <w:panose1 w:val="00000000000000000000"/>
    <w:charset w:val="00"/>
    <w:family w:val="swiss"/>
    <w:notTrueType/>
    <w:pitch w:val="default"/>
    <w:sig w:usb0="00000003" w:usb1="00000000" w:usb2="00000000" w:usb3="00000000" w:csb0="00000001" w:csb1="00000000"/>
  </w:font>
  <w:font w:name="T3Font_1">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A2" w:rsidRDefault="00642DA2"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42DA2" w:rsidRDefault="00AC1952" w:rsidP="00922ABB">
    <w:pPr>
      <w:pStyle w:val="Pieddepage"/>
      <w:ind w:right="360"/>
    </w:pPr>
    <w:sdt>
      <w:sdtPr>
        <w:id w:val="969400743"/>
        <w:temporary/>
        <w:showingPlcHdr/>
      </w:sdtPr>
      <w:sdtEndPr/>
      <w:sdtContent>
        <w:r w:rsidR="00642DA2">
          <w:t>[Tapez le texte]</w:t>
        </w:r>
      </w:sdtContent>
    </w:sdt>
    <w:r w:rsidR="00642DA2">
      <w:ptab w:relativeTo="margin" w:alignment="center" w:leader="none"/>
    </w:r>
    <w:sdt>
      <w:sdtPr>
        <w:id w:val="969400748"/>
        <w:temporary/>
        <w:showingPlcHdr/>
      </w:sdtPr>
      <w:sdtEndPr/>
      <w:sdtContent>
        <w:r w:rsidR="00642DA2">
          <w:t>[Tapez le texte]</w:t>
        </w:r>
      </w:sdtContent>
    </w:sdt>
    <w:r w:rsidR="00642DA2">
      <w:ptab w:relativeTo="margin" w:alignment="right" w:leader="none"/>
    </w:r>
    <w:sdt>
      <w:sdtPr>
        <w:id w:val="969400753"/>
        <w:temporary/>
        <w:showingPlcHdr/>
      </w:sdtPr>
      <w:sdtEndPr/>
      <w:sdtContent>
        <w:r w:rsidR="00642DA2">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A2" w:rsidRPr="00BA209E" w:rsidRDefault="00642DA2" w:rsidP="00922ABB">
    <w:pPr>
      <w:pStyle w:val="Pieddepage"/>
      <w:jc w:val="center"/>
      <w:rPr>
        <w:i/>
        <w:sz w:val="20"/>
        <w:szCs w:val="20"/>
      </w:rPr>
    </w:pPr>
    <w:r w:rsidRPr="00BA209E">
      <w:rPr>
        <w:i/>
        <w:sz w:val="20"/>
        <w:szCs w:val="20"/>
      </w:rPr>
      <w:t>Présidence de la Polynésie Française</w:t>
    </w:r>
  </w:p>
  <w:p w:rsidR="00642DA2" w:rsidRPr="00BA209E" w:rsidRDefault="00642DA2" w:rsidP="00922ABB">
    <w:pPr>
      <w:pStyle w:val="Pieddepage"/>
      <w:jc w:val="center"/>
      <w:rPr>
        <w:i/>
        <w:sz w:val="20"/>
        <w:szCs w:val="20"/>
      </w:rPr>
    </w:pPr>
    <w:r w:rsidRPr="00BA209E">
      <w:rPr>
        <w:i/>
        <w:sz w:val="20"/>
        <w:szCs w:val="20"/>
      </w:rPr>
      <w:t xml:space="preserve">Service </w:t>
    </w:r>
    <w:r>
      <w:rPr>
        <w:i/>
        <w:sz w:val="20"/>
        <w:szCs w:val="20"/>
      </w:rPr>
      <w:t>de la communication</w:t>
    </w:r>
  </w:p>
  <w:p w:rsidR="00642DA2" w:rsidRPr="00BA209E" w:rsidRDefault="00AC1952" w:rsidP="00922ABB">
    <w:pPr>
      <w:pStyle w:val="Pieddepage"/>
      <w:jc w:val="center"/>
      <w:rPr>
        <w:sz w:val="20"/>
        <w:szCs w:val="20"/>
      </w:rPr>
    </w:pPr>
    <w:hyperlink r:id="rId1" w:history="1">
      <w:r w:rsidR="00642DA2" w:rsidRPr="00E264FC">
        <w:rPr>
          <w:rStyle w:val="Lienhypertexte"/>
          <w:sz w:val="20"/>
        </w:rPr>
        <w:t>communication@presidence.pf</w:t>
      </w:r>
    </w:hyperlink>
    <w:r w:rsidR="00642DA2" w:rsidRPr="00BA209E">
      <w:rPr>
        <w:sz w:val="20"/>
        <w:szCs w:val="20"/>
      </w:rPr>
      <w:t xml:space="preserve"> – </w:t>
    </w:r>
    <w:r w:rsidR="00642DA2">
      <w:rPr>
        <w:sz w:val="20"/>
        <w:szCs w:val="20"/>
      </w:rPr>
      <w:t xml:space="preserve">40 </w:t>
    </w:r>
    <w:r w:rsidR="00642DA2" w:rsidRPr="00BA209E">
      <w:rPr>
        <w:sz w:val="20"/>
        <w:szCs w:val="20"/>
      </w:rPr>
      <w:t>47 20 00</w:t>
    </w:r>
  </w:p>
  <w:p w:rsidR="00642DA2" w:rsidRDefault="00642D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952" w:rsidRDefault="00AC1952">
      <w:r>
        <w:separator/>
      </w:r>
    </w:p>
  </w:footnote>
  <w:footnote w:type="continuationSeparator" w:id="0">
    <w:p w:rsidR="00AC1952" w:rsidRDefault="00AC1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9006D"/>
    <w:multiLevelType w:val="hybridMultilevel"/>
    <w:tmpl w:val="818EA7B8"/>
    <w:lvl w:ilvl="0" w:tplc="A59CDCC2">
      <w:numFmt w:val="bullet"/>
      <w:lvlText w:val="-"/>
      <w:lvlJc w:val="left"/>
      <w:pPr>
        <w:ind w:left="1494" w:hanging="360"/>
      </w:pPr>
      <w:rPr>
        <w:rFonts w:ascii="Cambria" w:eastAsia="Calibri" w:hAnsi="Cambria"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nsid w:val="0E004085"/>
    <w:multiLevelType w:val="hybridMultilevel"/>
    <w:tmpl w:val="F4B0A10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0C15ECF"/>
    <w:multiLevelType w:val="singleLevel"/>
    <w:tmpl w:val="83CCB92C"/>
    <w:lvl w:ilvl="0">
      <w:start w:val="1"/>
      <w:numFmt w:val="none"/>
      <w:pStyle w:val="Titre4"/>
      <w:lvlText w:val="Réf. : "/>
      <w:legacy w:legacy="1" w:legacySpace="0" w:legacyIndent="851"/>
      <w:lvlJc w:val="left"/>
      <w:pPr>
        <w:ind w:left="851" w:hanging="851"/>
      </w:pPr>
      <w:rPr>
        <w:b/>
        <w:i w:val="0"/>
        <w:sz w:val="24"/>
        <w:u w:val="single"/>
      </w:rPr>
    </w:lvl>
  </w:abstractNum>
  <w:abstractNum w:abstractNumId="3">
    <w:nsid w:val="153F5230"/>
    <w:multiLevelType w:val="hybridMultilevel"/>
    <w:tmpl w:val="4A04D980"/>
    <w:lvl w:ilvl="0" w:tplc="CB7280BC">
      <w:start w:val="16"/>
      <w:numFmt w:val="bullet"/>
      <w:lvlText w:val="-"/>
      <w:lvlJc w:val="left"/>
      <w:pPr>
        <w:ind w:left="660" w:hanging="360"/>
      </w:pPr>
      <w:rPr>
        <w:rFonts w:ascii="Times New Roman" w:eastAsia="Times New Roman" w:hAnsi="Times New Roman" w:cs="Times New Roman"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4">
    <w:nsid w:val="15910F4A"/>
    <w:multiLevelType w:val="hybridMultilevel"/>
    <w:tmpl w:val="9AD69F20"/>
    <w:lvl w:ilvl="0" w:tplc="BAD4E5D4">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5">
    <w:nsid w:val="16FF74B8"/>
    <w:multiLevelType w:val="hybridMultilevel"/>
    <w:tmpl w:val="048A7F40"/>
    <w:lvl w:ilvl="0" w:tplc="F320CB18">
      <w:numFmt w:val="bullet"/>
      <w:lvlText w:val="-"/>
      <w:lvlJc w:val="left"/>
      <w:pPr>
        <w:ind w:left="720" w:hanging="360"/>
      </w:pPr>
      <w:rPr>
        <w:rFonts w:ascii="Cambria" w:eastAsia="Times New Roman" w:hAnsi="Cambria" w:cs="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865AD1"/>
    <w:multiLevelType w:val="hybridMultilevel"/>
    <w:tmpl w:val="45B6CBDC"/>
    <w:lvl w:ilvl="0" w:tplc="F38A9B02">
      <w:start w:val="3"/>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7">
    <w:nsid w:val="22AC5375"/>
    <w:multiLevelType w:val="hybridMultilevel"/>
    <w:tmpl w:val="190E9786"/>
    <w:lvl w:ilvl="0" w:tplc="4BC4190A">
      <w:numFmt w:val="bullet"/>
      <w:lvlText w:val="-"/>
      <w:lvlJc w:val="left"/>
      <w:pPr>
        <w:ind w:left="700" w:hanging="360"/>
      </w:pPr>
      <w:rPr>
        <w:rFonts w:ascii="Times New Roman" w:eastAsia="Times New Roman" w:hAnsi="Times New Roman" w:cs="Times New Roman" w:hint="default"/>
      </w:rPr>
    </w:lvl>
    <w:lvl w:ilvl="1" w:tplc="040C0003">
      <w:start w:val="1"/>
      <w:numFmt w:val="bullet"/>
      <w:lvlText w:val="o"/>
      <w:lvlJc w:val="left"/>
      <w:pPr>
        <w:ind w:left="1420" w:hanging="360"/>
      </w:pPr>
      <w:rPr>
        <w:rFonts w:ascii="Courier New" w:hAnsi="Courier New" w:cs="Courier New" w:hint="default"/>
      </w:rPr>
    </w:lvl>
    <w:lvl w:ilvl="2" w:tplc="040C0005">
      <w:start w:val="1"/>
      <w:numFmt w:val="bullet"/>
      <w:lvlText w:val=""/>
      <w:lvlJc w:val="left"/>
      <w:pPr>
        <w:ind w:left="2140" w:hanging="360"/>
      </w:pPr>
      <w:rPr>
        <w:rFonts w:ascii="Wingdings" w:hAnsi="Wingdings" w:hint="default"/>
      </w:rPr>
    </w:lvl>
    <w:lvl w:ilvl="3" w:tplc="040C0001">
      <w:start w:val="1"/>
      <w:numFmt w:val="bullet"/>
      <w:lvlText w:val=""/>
      <w:lvlJc w:val="left"/>
      <w:pPr>
        <w:ind w:left="2860" w:hanging="360"/>
      </w:pPr>
      <w:rPr>
        <w:rFonts w:ascii="Symbol" w:hAnsi="Symbol" w:hint="default"/>
      </w:rPr>
    </w:lvl>
    <w:lvl w:ilvl="4" w:tplc="040C0003">
      <w:start w:val="1"/>
      <w:numFmt w:val="bullet"/>
      <w:lvlText w:val="o"/>
      <w:lvlJc w:val="left"/>
      <w:pPr>
        <w:ind w:left="3580" w:hanging="360"/>
      </w:pPr>
      <w:rPr>
        <w:rFonts w:ascii="Courier New" w:hAnsi="Courier New" w:cs="Courier New" w:hint="default"/>
      </w:rPr>
    </w:lvl>
    <w:lvl w:ilvl="5" w:tplc="040C0005">
      <w:start w:val="1"/>
      <w:numFmt w:val="bullet"/>
      <w:lvlText w:val=""/>
      <w:lvlJc w:val="left"/>
      <w:pPr>
        <w:ind w:left="4300" w:hanging="360"/>
      </w:pPr>
      <w:rPr>
        <w:rFonts w:ascii="Wingdings" w:hAnsi="Wingdings" w:hint="default"/>
      </w:rPr>
    </w:lvl>
    <w:lvl w:ilvl="6" w:tplc="040C0001">
      <w:start w:val="1"/>
      <w:numFmt w:val="bullet"/>
      <w:lvlText w:val=""/>
      <w:lvlJc w:val="left"/>
      <w:pPr>
        <w:ind w:left="5020" w:hanging="360"/>
      </w:pPr>
      <w:rPr>
        <w:rFonts w:ascii="Symbol" w:hAnsi="Symbol" w:hint="default"/>
      </w:rPr>
    </w:lvl>
    <w:lvl w:ilvl="7" w:tplc="040C0003">
      <w:start w:val="1"/>
      <w:numFmt w:val="bullet"/>
      <w:lvlText w:val="o"/>
      <w:lvlJc w:val="left"/>
      <w:pPr>
        <w:ind w:left="5740" w:hanging="360"/>
      </w:pPr>
      <w:rPr>
        <w:rFonts w:ascii="Courier New" w:hAnsi="Courier New" w:cs="Courier New" w:hint="default"/>
      </w:rPr>
    </w:lvl>
    <w:lvl w:ilvl="8" w:tplc="040C0005">
      <w:start w:val="1"/>
      <w:numFmt w:val="bullet"/>
      <w:lvlText w:val=""/>
      <w:lvlJc w:val="left"/>
      <w:pPr>
        <w:ind w:left="6460" w:hanging="360"/>
      </w:pPr>
      <w:rPr>
        <w:rFonts w:ascii="Wingdings" w:hAnsi="Wingdings" w:hint="default"/>
      </w:rPr>
    </w:lvl>
  </w:abstractNum>
  <w:abstractNum w:abstractNumId="8">
    <w:nsid w:val="23647264"/>
    <w:multiLevelType w:val="hybridMultilevel"/>
    <w:tmpl w:val="32FAF24A"/>
    <w:lvl w:ilvl="0" w:tplc="E8105548">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9">
    <w:nsid w:val="2F033B37"/>
    <w:multiLevelType w:val="hybridMultilevel"/>
    <w:tmpl w:val="C3763D74"/>
    <w:styleLink w:val="Style9import"/>
    <w:lvl w:ilvl="0" w:tplc="D48EF734">
      <w:start w:val="1"/>
      <w:numFmt w:val="bullet"/>
      <w:lvlText w:val="-"/>
      <w:lvlJc w:val="left"/>
      <w:pPr>
        <w:tabs>
          <w:tab w:val="num" w:pos="1778"/>
        </w:tabs>
        <w:ind w:left="106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58A468">
      <w:start w:val="1"/>
      <w:numFmt w:val="bullet"/>
      <w:lvlText w:val="o"/>
      <w:lvlJc w:val="left"/>
      <w:pPr>
        <w:tabs>
          <w:tab w:val="num" w:pos="2498"/>
        </w:tabs>
        <w:ind w:left="178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28DBB0">
      <w:start w:val="1"/>
      <w:numFmt w:val="bullet"/>
      <w:lvlText w:val="▪"/>
      <w:lvlJc w:val="left"/>
      <w:pPr>
        <w:tabs>
          <w:tab w:val="num" w:pos="3218"/>
        </w:tabs>
        <w:ind w:left="250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146B6A">
      <w:start w:val="1"/>
      <w:numFmt w:val="bullet"/>
      <w:lvlText w:val="•"/>
      <w:lvlJc w:val="left"/>
      <w:pPr>
        <w:tabs>
          <w:tab w:val="num" w:pos="3938"/>
        </w:tabs>
        <w:ind w:left="322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3C131E">
      <w:start w:val="1"/>
      <w:numFmt w:val="bullet"/>
      <w:lvlText w:val="o"/>
      <w:lvlJc w:val="left"/>
      <w:pPr>
        <w:tabs>
          <w:tab w:val="num" w:pos="4658"/>
        </w:tabs>
        <w:ind w:left="394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106CCE">
      <w:start w:val="1"/>
      <w:numFmt w:val="bullet"/>
      <w:lvlText w:val="▪"/>
      <w:lvlJc w:val="left"/>
      <w:pPr>
        <w:tabs>
          <w:tab w:val="num" w:pos="5378"/>
        </w:tabs>
        <w:ind w:left="466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E00A46">
      <w:start w:val="1"/>
      <w:numFmt w:val="bullet"/>
      <w:lvlText w:val="•"/>
      <w:lvlJc w:val="left"/>
      <w:pPr>
        <w:tabs>
          <w:tab w:val="num" w:pos="6098"/>
        </w:tabs>
        <w:ind w:left="538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4A8152">
      <w:start w:val="1"/>
      <w:numFmt w:val="bullet"/>
      <w:lvlText w:val="o"/>
      <w:lvlJc w:val="left"/>
      <w:pPr>
        <w:tabs>
          <w:tab w:val="num" w:pos="6818"/>
        </w:tabs>
        <w:ind w:left="610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84B7DE">
      <w:start w:val="1"/>
      <w:numFmt w:val="bullet"/>
      <w:lvlText w:val="▪"/>
      <w:lvlJc w:val="left"/>
      <w:pPr>
        <w:tabs>
          <w:tab w:val="num" w:pos="7538"/>
        </w:tabs>
        <w:ind w:left="682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FDA6FC6"/>
    <w:multiLevelType w:val="hybridMultilevel"/>
    <w:tmpl w:val="4A42421C"/>
    <w:lvl w:ilvl="0" w:tplc="80D874CC">
      <w:start w:val="1"/>
      <w:numFmt w:val="decimal"/>
      <w:lvlText w:val="%1."/>
      <w:lvlJc w:val="left"/>
      <w:pPr>
        <w:ind w:left="1571" w:hanging="360"/>
      </w:pPr>
      <w:rPr>
        <w:rFonts w:hint="default"/>
        <w:i w:val="0"/>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1">
    <w:nsid w:val="363E30A0"/>
    <w:multiLevelType w:val="hybridMultilevel"/>
    <w:tmpl w:val="D5EC5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9AF36C0"/>
    <w:multiLevelType w:val="hybridMultilevel"/>
    <w:tmpl w:val="8392DAF6"/>
    <w:lvl w:ilvl="0" w:tplc="ED7A2018">
      <w:start w:val="16"/>
      <w:numFmt w:val="bullet"/>
      <w:lvlText w:val="-"/>
      <w:lvlJc w:val="left"/>
      <w:pPr>
        <w:ind w:left="1065" w:hanging="360"/>
      </w:pPr>
      <w:rPr>
        <w:rFonts w:ascii="Times New Roman" w:eastAsia="Times New Roman" w:hAnsi="Times New Roman" w:cs="Times New Roman" w:hint="default"/>
      </w:rPr>
    </w:lvl>
    <w:lvl w:ilvl="1" w:tplc="20000003" w:tentative="1">
      <w:start w:val="1"/>
      <w:numFmt w:val="bullet"/>
      <w:lvlText w:val="o"/>
      <w:lvlJc w:val="left"/>
      <w:pPr>
        <w:ind w:left="1785" w:hanging="360"/>
      </w:pPr>
      <w:rPr>
        <w:rFonts w:ascii="Courier New" w:hAnsi="Courier New" w:cs="Courier New" w:hint="default"/>
      </w:rPr>
    </w:lvl>
    <w:lvl w:ilvl="2" w:tplc="20000005" w:tentative="1">
      <w:start w:val="1"/>
      <w:numFmt w:val="bullet"/>
      <w:lvlText w:val=""/>
      <w:lvlJc w:val="left"/>
      <w:pPr>
        <w:ind w:left="2505" w:hanging="360"/>
      </w:pPr>
      <w:rPr>
        <w:rFonts w:ascii="Wingdings" w:hAnsi="Wingdings" w:hint="default"/>
      </w:rPr>
    </w:lvl>
    <w:lvl w:ilvl="3" w:tplc="20000001" w:tentative="1">
      <w:start w:val="1"/>
      <w:numFmt w:val="bullet"/>
      <w:lvlText w:val=""/>
      <w:lvlJc w:val="left"/>
      <w:pPr>
        <w:ind w:left="3225" w:hanging="360"/>
      </w:pPr>
      <w:rPr>
        <w:rFonts w:ascii="Symbol" w:hAnsi="Symbol" w:hint="default"/>
      </w:rPr>
    </w:lvl>
    <w:lvl w:ilvl="4" w:tplc="20000003" w:tentative="1">
      <w:start w:val="1"/>
      <w:numFmt w:val="bullet"/>
      <w:lvlText w:val="o"/>
      <w:lvlJc w:val="left"/>
      <w:pPr>
        <w:ind w:left="3945" w:hanging="360"/>
      </w:pPr>
      <w:rPr>
        <w:rFonts w:ascii="Courier New" w:hAnsi="Courier New" w:cs="Courier New" w:hint="default"/>
      </w:rPr>
    </w:lvl>
    <w:lvl w:ilvl="5" w:tplc="20000005" w:tentative="1">
      <w:start w:val="1"/>
      <w:numFmt w:val="bullet"/>
      <w:lvlText w:val=""/>
      <w:lvlJc w:val="left"/>
      <w:pPr>
        <w:ind w:left="4665" w:hanging="360"/>
      </w:pPr>
      <w:rPr>
        <w:rFonts w:ascii="Wingdings" w:hAnsi="Wingdings" w:hint="default"/>
      </w:rPr>
    </w:lvl>
    <w:lvl w:ilvl="6" w:tplc="20000001" w:tentative="1">
      <w:start w:val="1"/>
      <w:numFmt w:val="bullet"/>
      <w:lvlText w:val=""/>
      <w:lvlJc w:val="left"/>
      <w:pPr>
        <w:ind w:left="5385" w:hanging="360"/>
      </w:pPr>
      <w:rPr>
        <w:rFonts w:ascii="Symbol" w:hAnsi="Symbol" w:hint="default"/>
      </w:rPr>
    </w:lvl>
    <w:lvl w:ilvl="7" w:tplc="20000003" w:tentative="1">
      <w:start w:val="1"/>
      <w:numFmt w:val="bullet"/>
      <w:lvlText w:val="o"/>
      <w:lvlJc w:val="left"/>
      <w:pPr>
        <w:ind w:left="6105" w:hanging="360"/>
      </w:pPr>
      <w:rPr>
        <w:rFonts w:ascii="Courier New" w:hAnsi="Courier New" w:cs="Courier New" w:hint="default"/>
      </w:rPr>
    </w:lvl>
    <w:lvl w:ilvl="8" w:tplc="20000005" w:tentative="1">
      <w:start w:val="1"/>
      <w:numFmt w:val="bullet"/>
      <w:lvlText w:val=""/>
      <w:lvlJc w:val="left"/>
      <w:pPr>
        <w:ind w:left="6825" w:hanging="360"/>
      </w:pPr>
      <w:rPr>
        <w:rFonts w:ascii="Wingdings" w:hAnsi="Wingdings" w:hint="default"/>
      </w:rPr>
    </w:lvl>
  </w:abstractNum>
  <w:abstractNum w:abstractNumId="13">
    <w:nsid w:val="3B6E3CB6"/>
    <w:multiLevelType w:val="hybridMultilevel"/>
    <w:tmpl w:val="A7668B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15">
    <w:nsid w:val="40D3159D"/>
    <w:multiLevelType w:val="hybridMultilevel"/>
    <w:tmpl w:val="B9FEB730"/>
    <w:lvl w:ilvl="0" w:tplc="1E784C9E">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6">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7">
    <w:nsid w:val="488C6C28"/>
    <w:multiLevelType w:val="hybridMultilevel"/>
    <w:tmpl w:val="0F24425E"/>
    <w:lvl w:ilvl="0" w:tplc="4CD28BA0">
      <w:start w:val="251"/>
      <w:numFmt w:val="bullet"/>
      <w:lvlText w:val="­"/>
      <w:lvlJc w:val="left"/>
      <w:pPr>
        <w:ind w:left="1571" w:hanging="360"/>
      </w:pPr>
      <w:rPr>
        <w:rFonts w:ascii="Arial" w:eastAsia="Arial" w:hAnsi="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8">
    <w:nsid w:val="498D6CCA"/>
    <w:multiLevelType w:val="hybridMultilevel"/>
    <w:tmpl w:val="DA8CEF90"/>
    <w:lvl w:ilvl="0" w:tplc="B360D87E">
      <w:numFmt w:val="bullet"/>
      <w:lvlText w:val="-"/>
      <w:lvlJc w:val="left"/>
      <w:pPr>
        <w:ind w:left="1069" w:hanging="360"/>
      </w:pPr>
      <w:rPr>
        <w:rFonts w:ascii="Times New Roman" w:eastAsia="Times New Roman" w:hAnsi="Times New Roman" w:cs="Times New Roman"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19">
    <w:nsid w:val="4A666337"/>
    <w:multiLevelType w:val="hybridMultilevel"/>
    <w:tmpl w:val="CB447612"/>
    <w:lvl w:ilvl="0" w:tplc="15DCE854">
      <w:start w:val="1"/>
      <w:numFmt w:val="none"/>
      <w:pStyle w:val="-LettreAffairesuivieGEDA"/>
      <w:lvlText w:val="%1Affaire suivie par :"/>
      <w:lvlJc w:val="left"/>
      <w:pPr>
        <w:tabs>
          <w:tab w:val="num" w:pos="2880"/>
        </w:tabs>
        <w:ind w:left="1080" w:hanging="360"/>
      </w:pPr>
      <w:rPr>
        <w:rFonts w:hint="default"/>
        <w:b w:val="0"/>
        <w:i/>
        <w:sz w:val="18"/>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4EB53DC5"/>
    <w:multiLevelType w:val="hybridMultilevel"/>
    <w:tmpl w:val="F3CEC3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52D6960"/>
    <w:multiLevelType w:val="hybridMultilevel"/>
    <w:tmpl w:val="8662EA50"/>
    <w:lvl w:ilvl="0" w:tplc="B13CCB72">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55712553"/>
    <w:multiLevelType w:val="hybridMultilevel"/>
    <w:tmpl w:val="2B48AE8E"/>
    <w:lvl w:ilvl="0" w:tplc="040C000B">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3">
    <w:nsid w:val="582F4CE2"/>
    <w:multiLevelType w:val="hybridMultilevel"/>
    <w:tmpl w:val="9DC2B7F0"/>
    <w:lvl w:ilvl="0" w:tplc="EFEA912A">
      <w:start w:val="1"/>
      <w:numFmt w:val="decimal"/>
      <w:lvlText w:val="%1-"/>
      <w:lvlJc w:val="left"/>
      <w:pPr>
        <w:ind w:left="1778" w:hanging="360"/>
      </w:pPr>
      <w:rPr>
        <w:rFonts w:hint="default"/>
      </w:rPr>
    </w:lvl>
    <w:lvl w:ilvl="1" w:tplc="20000019" w:tentative="1">
      <w:start w:val="1"/>
      <w:numFmt w:val="lowerLetter"/>
      <w:lvlText w:val="%2."/>
      <w:lvlJc w:val="left"/>
      <w:pPr>
        <w:ind w:left="2498" w:hanging="360"/>
      </w:pPr>
    </w:lvl>
    <w:lvl w:ilvl="2" w:tplc="2000001B" w:tentative="1">
      <w:start w:val="1"/>
      <w:numFmt w:val="lowerRoman"/>
      <w:lvlText w:val="%3."/>
      <w:lvlJc w:val="right"/>
      <w:pPr>
        <w:ind w:left="3218" w:hanging="180"/>
      </w:pPr>
    </w:lvl>
    <w:lvl w:ilvl="3" w:tplc="2000000F" w:tentative="1">
      <w:start w:val="1"/>
      <w:numFmt w:val="decimal"/>
      <w:lvlText w:val="%4."/>
      <w:lvlJc w:val="left"/>
      <w:pPr>
        <w:ind w:left="3938" w:hanging="360"/>
      </w:pPr>
    </w:lvl>
    <w:lvl w:ilvl="4" w:tplc="20000019" w:tentative="1">
      <w:start w:val="1"/>
      <w:numFmt w:val="lowerLetter"/>
      <w:lvlText w:val="%5."/>
      <w:lvlJc w:val="left"/>
      <w:pPr>
        <w:ind w:left="4658" w:hanging="360"/>
      </w:pPr>
    </w:lvl>
    <w:lvl w:ilvl="5" w:tplc="2000001B" w:tentative="1">
      <w:start w:val="1"/>
      <w:numFmt w:val="lowerRoman"/>
      <w:lvlText w:val="%6."/>
      <w:lvlJc w:val="right"/>
      <w:pPr>
        <w:ind w:left="5378" w:hanging="180"/>
      </w:pPr>
    </w:lvl>
    <w:lvl w:ilvl="6" w:tplc="2000000F" w:tentative="1">
      <w:start w:val="1"/>
      <w:numFmt w:val="decimal"/>
      <w:lvlText w:val="%7."/>
      <w:lvlJc w:val="left"/>
      <w:pPr>
        <w:ind w:left="6098" w:hanging="360"/>
      </w:pPr>
    </w:lvl>
    <w:lvl w:ilvl="7" w:tplc="20000019" w:tentative="1">
      <w:start w:val="1"/>
      <w:numFmt w:val="lowerLetter"/>
      <w:lvlText w:val="%8."/>
      <w:lvlJc w:val="left"/>
      <w:pPr>
        <w:ind w:left="6818" w:hanging="360"/>
      </w:pPr>
    </w:lvl>
    <w:lvl w:ilvl="8" w:tplc="2000001B" w:tentative="1">
      <w:start w:val="1"/>
      <w:numFmt w:val="lowerRoman"/>
      <w:lvlText w:val="%9."/>
      <w:lvlJc w:val="right"/>
      <w:pPr>
        <w:ind w:left="7538" w:hanging="180"/>
      </w:pPr>
    </w:lvl>
  </w:abstractNum>
  <w:abstractNum w:abstractNumId="24">
    <w:nsid w:val="584F05CB"/>
    <w:multiLevelType w:val="hybridMultilevel"/>
    <w:tmpl w:val="DE282D32"/>
    <w:lvl w:ilvl="0" w:tplc="040C000B">
      <w:start w:val="1"/>
      <w:numFmt w:val="bullet"/>
      <w:lvlText w:val=""/>
      <w:lvlJc w:val="left"/>
      <w:pPr>
        <w:ind w:left="1211" w:hanging="360"/>
      </w:pPr>
      <w:rPr>
        <w:rFonts w:ascii="Wingdings" w:hAnsi="Wingdings"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25">
    <w:nsid w:val="5EA24052"/>
    <w:multiLevelType w:val="hybridMultilevel"/>
    <w:tmpl w:val="9E8E5818"/>
    <w:lvl w:ilvl="0" w:tplc="4558BE92">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6">
    <w:nsid w:val="694014EA"/>
    <w:multiLevelType w:val="hybridMultilevel"/>
    <w:tmpl w:val="FDAA2E60"/>
    <w:lvl w:ilvl="0" w:tplc="E79841E8">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7">
    <w:nsid w:val="69A24179"/>
    <w:multiLevelType w:val="multilevel"/>
    <w:tmpl w:val="8B969328"/>
    <w:lvl w:ilvl="0">
      <w:start w:val="1"/>
      <w:numFmt w:val="none"/>
      <w:pStyle w:val="-ActeArticlecontenuGEDA"/>
      <w:lvlText w:val=" "/>
      <w:lvlJc w:val="left"/>
      <w:pPr>
        <w:tabs>
          <w:tab w:val="num" w:pos="360"/>
        </w:tabs>
        <w:ind w:left="340" w:hanging="340"/>
      </w:pPr>
      <w:rPr>
        <w:rFonts w:cs="Times New Roman" w:hint="default"/>
      </w:rPr>
    </w:lvl>
    <w:lvl w:ilvl="1">
      <w:start w:val="1"/>
      <w:numFmt w:val="none"/>
      <w:lvlText w:val=" "/>
      <w:lvlJc w:val="left"/>
      <w:pPr>
        <w:tabs>
          <w:tab w:val="num" w:pos="700"/>
        </w:tabs>
        <w:ind w:left="680" w:hanging="340"/>
      </w:pPr>
      <w:rPr>
        <w:rFonts w:cs="Times New Roman" w:hint="default"/>
      </w:rPr>
    </w:lvl>
    <w:lvl w:ilvl="2">
      <w:start w:val="1"/>
      <w:numFmt w:val="lowerRoman"/>
      <w:lvlText w:val="%3)"/>
      <w:lvlJc w:val="left"/>
      <w:pPr>
        <w:tabs>
          <w:tab w:val="num" w:pos="1420"/>
        </w:tabs>
        <w:ind w:left="1420" w:hanging="36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28">
    <w:nsid w:val="6B073BBC"/>
    <w:multiLevelType w:val="hybridMultilevel"/>
    <w:tmpl w:val="A7ACF21A"/>
    <w:lvl w:ilvl="0" w:tplc="1E784C9E">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EC25E1E"/>
    <w:multiLevelType w:val="hybridMultilevel"/>
    <w:tmpl w:val="47FAC7C6"/>
    <w:lvl w:ilvl="0" w:tplc="ACC46FE0">
      <w:numFmt w:val="bullet"/>
      <w:lvlText w:val="-"/>
      <w:lvlJc w:val="left"/>
      <w:pPr>
        <w:ind w:left="720" w:hanging="360"/>
      </w:pPr>
      <w:rPr>
        <w:rFonts w:ascii="Cambria" w:eastAsia="Calibri"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nsid w:val="73205825"/>
    <w:multiLevelType w:val="singleLevel"/>
    <w:tmpl w:val="C20E3398"/>
    <w:lvl w:ilvl="0">
      <w:start w:val="1"/>
      <w:numFmt w:val="none"/>
      <w:pStyle w:val="-ActeAttenduConsidrantGEDA"/>
      <w:lvlText w:val="Considérant"/>
      <w:lvlJc w:val="left"/>
      <w:pPr>
        <w:tabs>
          <w:tab w:val="num" w:pos="1080"/>
        </w:tabs>
        <w:ind w:left="340" w:hanging="340"/>
      </w:pPr>
      <w:rPr>
        <w:rFonts w:hint="default"/>
        <w:sz w:val="20"/>
      </w:rPr>
    </w:lvl>
  </w:abstractNum>
  <w:abstractNum w:abstractNumId="31">
    <w:nsid w:val="74507261"/>
    <w:multiLevelType w:val="hybridMultilevel"/>
    <w:tmpl w:val="6A3E42FE"/>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75C5D0B"/>
    <w:multiLevelType w:val="hybridMultilevel"/>
    <w:tmpl w:val="5CFC92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77224C6"/>
    <w:multiLevelType w:val="hybridMultilevel"/>
    <w:tmpl w:val="CE566B10"/>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4">
    <w:nsid w:val="792147B1"/>
    <w:multiLevelType w:val="hybridMultilevel"/>
    <w:tmpl w:val="446C46CE"/>
    <w:lvl w:ilvl="0" w:tplc="0A68BA86">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5">
    <w:nsid w:val="7B431976"/>
    <w:multiLevelType w:val="hybridMultilevel"/>
    <w:tmpl w:val="FE5A6154"/>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6">
    <w:nsid w:val="7DA1617E"/>
    <w:multiLevelType w:val="hybridMultilevel"/>
    <w:tmpl w:val="21AC3910"/>
    <w:lvl w:ilvl="0" w:tplc="1B7A7A88">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7">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abstractNum w:abstractNumId="38">
    <w:nsid w:val="7F6D4C86"/>
    <w:multiLevelType w:val="hybridMultilevel"/>
    <w:tmpl w:val="0F4C5D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37"/>
  </w:num>
  <w:num w:numId="4">
    <w:abstractNumId w:val="27"/>
  </w:num>
  <w:num w:numId="5">
    <w:abstractNumId w:val="30"/>
  </w:num>
  <w:num w:numId="6">
    <w:abstractNumId w:val="2"/>
  </w:num>
  <w:num w:numId="7">
    <w:abstractNumId w:val="9"/>
  </w:num>
  <w:num w:numId="8">
    <w:abstractNumId w:val="11"/>
  </w:num>
  <w:num w:numId="9">
    <w:abstractNumId w:val="17"/>
  </w:num>
  <w:num w:numId="10">
    <w:abstractNumId w:val="34"/>
  </w:num>
  <w:num w:numId="11">
    <w:abstractNumId w:val="12"/>
  </w:num>
  <w:num w:numId="12">
    <w:abstractNumId w:val="23"/>
  </w:num>
  <w:num w:numId="13">
    <w:abstractNumId w:val="6"/>
  </w:num>
  <w:num w:numId="14">
    <w:abstractNumId w:val="19"/>
  </w:num>
  <w:num w:numId="15">
    <w:abstractNumId w:val="38"/>
  </w:num>
  <w:num w:numId="16">
    <w:abstractNumId w:val="1"/>
  </w:num>
  <w:num w:numId="17">
    <w:abstractNumId w:val="15"/>
  </w:num>
  <w:num w:numId="18">
    <w:abstractNumId w:val="7"/>
  </w:num>
  <w:num w:numId="19">
    <w:abstractNumId w:val="28"/>
  </w:num>
  <w:num w:numId="20">
    <w:abstractNumId w:val="24"/>
  </w:num>
  <w:num w:numId="21">
    <w:abstractNumId w:val="29"/>
  </w:num>
  <w:num w:numId="22">
    <w:abstractNumId w:val="21"/>
  </w:num>
  <w:num w:numId="23">
    <w:abstractNumId w:val="26"/>
  </w:num>
  <w:num w:numId="24">
    <w:abstractNumId w:val="22"/>
  </w:num>
  <w:num w:numId="25">
    <w:abstractNumId w:val="36"/>
  </w:num>
  <w:num w:numId="26">
    <w:abstractNumId w:val="20"/>
  </w:num>
  <w:num w:numId="27">
    <w:abstractNumId w:val="13"/>
  </w:num>
  <w:num w:numId="28">
    <w:abstractNumId w:val="4"/>
  </w:num>
  <w:num w:numId="29">
    <w:abstractNumId w:val="18"/>
  </w:num>
  <w:num w:numId="30">
    <w:abstractNumId w:val="35"/>
  </w:num>
  <w:num w:numId="31">
    <w:abstractNumId w:val="10"/>
  </w:num>
  <w:num w:numId="32">
    <w:abstractNumId w:val="0"/>
  </w:num>
  <w:num w:numId="33">
    <w:abstractNumId w:val="32"/>
  </w:num>
  <w:num w:numId="34">
    <w:abstractNumId w:val="3"/>
  </w:num>
  <w:num w:numId="35">
    <w:abstractNumId w:val="25"/>
  </w:num>
  <w:num w:numId="36">
    <w:abstractNumId w:val="5"/>
  </w:num>
  <w:num w:numId="37">
    <w:abstractNumId w:val="33"/>
  </w:num>
  <w:num w:numId="38">
    <w:abstractNumId w:val="31"/>
  </w:num>
  <w:num w:numId="39">
    <w:abstractNumId w:val="8"/>
  </w:num>
  <w:num w:numId="40">
    <w:abstractNumId w:val="25"/>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01FE8"/>
    <w:rsid w:val="00002B31"/>
    <w:rsid w:val="00011CE8"/>
    <w:rsid w:val="00015FF2"/>
    <w:rsid w:val="00021602"/>
    <w:rsid w:val="000224F9"/>
    <w:rsid w:val="00027CD3"/>
    <w:rsid w:val="0003093E"/>
    <w:rsid w:val="00033658"/>
    <w:rsid w:val="00040642"/>
    <w:rsid w:val="000442CB"/>
    <w:rsid w:val="000448E5"/>
    <w:rsid w:val="0004526C"/>
    <w:rsid w:val="00045E81"/>
    <w:rsid w:val="00047992"/>
    <w:rsid w:val="000508C8"/>
    <w:rsid w:val="000561CA"/>
    <w:rsid w:val="00063EA4"/>
    <w:rsid w:val="00064A61"/>
    <w:rsid w:val="00066013"/>
    <w:rsid w:val="000678D5"/>
    <w:rsid w:val="000728E0"/>
    <w:rsid w:val="0007390E"/>
    <w:rsid w:val="0008409F"/>
    <w:rsid w:val="00086538"/>
    <w:rsid w:val="0008783B"/>
    <w:rsid w:val="00087CFE"/>
    <w:rsid w:val="0009440F"/>
    <w:rsid w:val="00094FC4"/>
    <w:rsid w:val="000A0CBC"/>
    <w:rsid w:val="000A7995"/>
    <w:rsid w:val="000B0B49"/>
    <w:rsid w:val="000B150B"/>
    <w:rsid w:val="000B4563"/>
    <w:rsid w:val="000B77CD"/>
    <w:rsid w:val="000C0F06"/>
    <w:rsid w:val="000C103D"/>
    <w:rsid w:val="000C3FED"/>
    <w:rsid w:val="000C44EB"/>
    <w:rsid w:val="000C55DA"/>
    <w:rsid w:val="000D41CD"/>
    <w:rsid w:val="000D5AC8"/>
    <w:rsid w:val="000D5EAC"/>
    <w:rsid w:val="000D60AF"/>
    <w:rsid w:val="000E790C"/>
    <w:rsid w:val="000F1E19"/>
    <w:rsid w:val="000F7373"/>
    <w:rsid w:val="001053EF"/>
    <w:rsid w:val="00112BB8"/>
    <w:rsid w:val="00114615"/>
    <w:rsid w:val="00121991"/>
    <w:rsid w:val="00121B8F"/>
    <w:rsid w:val="0012265F"/>
    <w:rsid w:val="00124A38"/>
    <w:rsid w:val="001260E1"/>
    <w:rsid w:val="001308E2"/>
    <w:rsid w:val="00131CED"/>
    <w:rsid w:val="00131F0F"/>
    <w:rsid w:val="00132659"/>
    <w:rsid w:val="00141919"/>
    <w:rsid w:val="001510DE"/>
    <w:rsid w:val="00164559"/>
    <w:rsid w:val="0016503A"/>
    <w:rsid w:val="00172F9E"/>
    <w:rsid w:val="001775EE"/>
    <w:rsid w:val="0018145E"/>
    <w:rsid w:val="00186F29"/>
    <w:rsid w:val="0019566B"/>
    <w:rsid w:val="001A2D2F"/>
    <w:rsid w:val="001A2EBB"/>
    <w:rsid w:val="001A5551"/>
    <w:rsid w:val="001A5B63"/>
    <w:rsid w:val="001A731D"/>
    <w:rsid w:val="001B1A33"/>
    <w:rsid w:val="001B28FD"/>
    <w:rsid w:val="001C2250"/>
    <w:rsid w:val="001C4DE4"/>
    <w:rsid w:val="001C5819"/>
    <w:rsid w:val="001C6C5E"/>
    <w:rsid w:val="001C6CF3"/>
    <w:rsid w:val="001C74FC"/>
    <w:rsid w:val="001D25B7"/>
    <w:rsid w:val="001D6BE1"/>
    <w:rsid w:val="001E0F84"/>
    <w:rsid w:val="001E128A"/>
    <w:rsid w:val="001E20C7"/>
    <w:rsid w:val="001E2C77"/>
    <w:rsid w:val="001E3419"/>
    <w:rsid w:val="001E3E58"/>
    <w:rsid w:val="001E4B80"/>
    <w:rsid w:val="001E547E"/>
    <w:rsid w:val="001E5D1D"/>
    <w:rsid w:val="001E5D7F"/>
    <w:rsid w:val="001E69FF"/>
    <w:rsid w:val="001F02DD"/>
    <w:rsid w:val="001F2760"/>
    <w:rsid w:val="001F6D55"/>
    <w:rsid w:val="002045B4"/>
    <w:rsid w:val="00216AFA"/>
    <w:rsid w:val="002206D4"/>
    <w:rsid w:val="0022221E"/>
    <w:rsid w:val="002345BD"/>
    <w:rsid w:val="00235683"/>
    <w:rsid w:val="002359E5"/>
    <w:rsid w:val="00243141"/>
    <w:rsid w:val="00247536"/>
    <w:rsid w:val="002512C5"/>
    <w:rsid w:val="00261E72"/>
    <w:rsid w:val="002648E4"/>
    <w:rsid w:val="00264EF2"/>
    <w:rsid w:val="00270AE2"/>
    <w:rsid w:val="00276B3E"/>
    <w:rsid w:val="00277481"/>
    <w:rsid w:val="00285425"/>
    <w:rsid w:val="00286EAD"/>
    <w:rsid w:val="00286FFA"/>
    <w:rsid w:val="002904DD"/>
    <w:rsid w:val="00292FC0"/>
    <w:rsid w:val="00297A93"/>
    <w:rsid w:val="002A1123"/>
    <w:rsid w:val="002A79DA"/>
    <w:rsid w:val="002B1B00"/>
    <w:rsid w:val="002B5710"/>
    <w:rsid w:val="002B5B92"/>
    <w:rsid w:val="002C05FC"/>
    <w:rsid w:val="002C134A"/>
    <w:rsid w:val="002C3C82"/>
    <w:rsid w:val="002C5958"/>
    <w:rsid w:val="002D0A26"/>
    <w:rsid w:val="002D5E49"/>
    <w:rsid w:val="002D6359"/>
    <w:rsid w:val="002E1D40"/>
    <w:rsid w:val="002E42D2"/>
    <w:rsid w:val="002F1933"/>
    <w:rsid w:val="002F1E93"/>
    <w:rsid w:val="002F733A"/>
    <w:rsid w:val="00306799"/>
    <w:rsid w:val="003107CB"/>
    <w:rsid w:val="003116D5"/>
    <w:rsid w:val="0031428F"/>
    <w:rsid w:val="00314D05"/>
    <w:rsid w:val="003175DF"/>
    <w:rsid w:val="0032141A"/>
    <w:rsid w:val="00331349"/>
    <w:rsid w:val="00335461"/>
    <w:rsid w:val="0033691B"/>
    <w:rsid w:val="003444A6"/>
    <w:rsid w:val="00347372"/>
    <w:rsid w:val="0035386E"/>
    <w:rsid w:val="00357DC7"/>
    <w:rsid w:val="003625D8"/>
    <w:rsid w:val="00366694"/>
    <w:rsid w:val="00374615"/>
    <w:rsid w:val="0037539F"/>
    <w:rsid w:val="00375466"/>
    <w:rsid w:val="0037614E"/>
    <w:rsid w:val="00376D41"/>
    <w:rsid w:val="00393D5F"/>
    <w:rsid w:val="00395780"/>
    <w:rsid w:val="00396E20"/>
    <w:rsid w:val="003A1378"/>
    <w:rsid w:val="003A3094"/>
    <w:rsid w:val="003A6507"/>
    <w:rsid w:val="003B14D7"/>
    <w:rsid w:val="003B57C8"/>
    <w:rsid w:val="003B5A14"/>
    <w:rsid w:val="003C5469"/>
    <w:rsid w:val="003C5FFF"/>
    <w:rsid w:val="003D2A49"/>
    <w:rsid w:val="003D37E1"/>
    <w:rsid w:val="003D62F0"/>
    <w:rsid w:val="003E3D40"/>
    <w:rsid w:val="003E44BD"/>
    <w:rsid w:val="003E55EF"/>
    <w:rsid w:val="003E59BB"/>
    <w:rsid w:val="003F0DC9"/>
    <w:rsid w:val="003F3E11"/>
    <w:rsid w:val="00403CBD"/>
    <w:rsid w:val="004045BC"/>
    <w:rsid w:val="00407286"/>
    <w:rsid w:val="00407DBC"/>
    <w:rsid w:val="004119C3"/>
    <w:rsid w:val="00412883"/>
    <w:rsid w:val="004138E7"/>
    <w:rsid w:val="00414234"/>
    <w:rsid w:val="00415AE9"/>
    <w:rsid w:val="00416ABB"/>
    <w:rsid w:val="0042162D"/>
    <w:rsid w:val="0042227C"/>
    <w:rsid w:val="00424B02"/>
    <w:rsid w:val="00432970"/>
    <w:rsid w:val="00436764"/>
    <w:rsid w:val="004419CA"/>
    <w:rsid w:val="004443F9"/>
    <w:rsid w:val="0044573A"/>
    <w:rsid w:val="00447307"/>
    <w:rsid w:val="004504FA"/>
    <w:rsid w:val="00454BA7"/>
    <w:rsid w:val="00456F05"/>
    <w:rsid w:val="00464DBA"/>
    <w:rsid w:val="00466539"/>
    <w:rsid w:val="00467EC1"/>
    <w:rsid w:val="00471C2A"/>
    <w:rsid w:val="00477702"/>
    <w:rsid w:val="004824BE"/>
    <w:rsid w:val="004901D8"/>
    <w:rsid w:val="004945F1"/>
    <w:rsid w:val="004A0C8B"/>
    <w:rsid w:val="004B281C"/>
    <w:rsid w:val="004B389F"/>
    <w:rsid w:val="004C04C6"/>
    <w:rsid w:val="004C0B54"/>
    <w:rsid w:val="004D2C02"/>
    <w:rsid w:val="004D4B76"/>
    <w:rsid w:val="004D78E7"/>
    <w:rsid w:val="004E1879"/>
    <w:rsid w:val="004E59E4"/>
    <w:rsid w:val="004F1581"/>
    <w:rsid w:val="004F1C5F"/>
    <w:rsid w:val="004F2666"/>
    <w:rsid w:val="004F594B"/>
    <w:rsid w:val="004F6AB0"/>
    <w:rsid w:val="00500045"/>
    <w:rsid w:val="005019FE"/>
    <w:rsid w:val="005071D6"/>
    <w:rsid w:val="005104B4"/>
    <w:rsid w:val="00511481"/>
    <w:rsid w:val="005115BC"/>
    <w:rsid w:val="005117FB"/>
    <w:rsid w:val="00514734"/>
    <w:rsid w:val="00526FDB"/>
    <w:rsid w:val="00537381"/>
    <w:rsid w:val="0054277A"/>
    <w:rsid w:val="00546CAE"/>
    <w:rsid w:val="00551CEE"/>
    <w:rsid w:val="00554294"/>
    <w:rsid w:val="00555562"/>
    <w:rsid w:val="005611E3"/>
    <w:rsid w:val="0057103B"/>
    <w:rsid w:val="00572539"/>
    <w:rsid w:val="0057273D"/>
    <w:rsid w:val="00580ED3"/>
    <w:rsid w:val="00581CCF"/>
    <w:rsid w:val="00582D1E"/>
    <w:rsid w:val="005942B2"/>
    <w:rsid w:val="0059665C"/>
    <w:rsid w:val="005968D2"/>
    <w:rsid w:val="00597666"/>
    <w:rsid w:val="005A1430"/>
    <w:rsid w:val="005A2DD5"/>
    <w:rsid w:val="005B25CA"/>
    <w:rsid w:val="005B7E08"/>
    <w:rsid w:val="005C0F65"/>
    <w:rsid w:val="005C23D4"/>
    <w:rsid w:val="005C542C"/>
    <w:rsid w:val="005C64E3"/>
    <w:rsid w:val="005D0C9C"/>
    <w:rsid w:val="005D1E56"/>
    <w:rsid w:val="005D300C"/>
    <w:rsid w:val="005D3628"/>
    <w:rsid w:val="005E110E"/>
    <w:rsid w:val="005E1F37"/>
    <w:rsid w:val="005E3D2E"/>
    <w:rsid w:val="005F11F1"/>
    <w:rsid w:val="005F1FF3"/>
    <w:rsid w:val="005F5786"/>
    <w:rsid w:val="005F67A7"/>
    <w:rsid w:val="006065EA"/>
    <w:rsid w:val="00610132"/>
    <w:rsid w:val="00620349"/>
    <w:rsid w:val="006220B2"/>
    <w:rsid w:val="00625CF0"/>
    <w:rsid w:val="00633CEC"/>
    <w:rsid w:val="006351F3"/>
    <w:rsid w:val="00636B0B"/>
    <w:rsid w:val="00637337"/>
    <w:rsid w:val="006404E4"/>
    <w:rsid w:val="00642DA2"/>
    <w:rsid w:val="00643DB5"/>
    <w:rsid w:val="00643F5E"/>
    <w:rsid w:val="0064491E"/>
    <w:rsid w:val="006453D4"/>
    <w:rsid w:val="00646D25"/>
    <w:rsid w:val="006531C2"/>
    <w:rsid w:val="006545ED"/>
    <w:rsid w:val="00654764"/>
    <w:rsid w:val="00655FF1"/>
    <w:rsid w:val="0066052A"/>
    <w:rsid w:val="006619B5"/>
    <w:rsid w:val="006701A9"/>
    <w:rsid w:val="00672ED4"/>
    <w:rsid w:val="00676F7E"/>
    <w:rsid w:val="00683D1F"/>
    <w:rsid w:val="00690C84"/>
    <w:rsid w:val="00691CAE"/>
    <w:rsid w:val="0069242B"/>
    <w:rsid w:val="00693A0D"/>
    <w:rsid w:val="00693F08"/>
    <w:rsid w:val="00697133"/>
    <w:rsid w:val="006A3579"/>
    <w:rsid w:val="006A6904"/>
    <w:rsid w:val="006B3196"/>
    <w:rsid w:val="006B3785"/>
    <w:rsid w:val="006B3B14"/>
    <w:rsid w:val="006B623F"/>
    <w:rsid w:val="006C3B44"/>
    <w:rsid w:val="006D3AAC"/>
    <w:rsid w:val="006E411F"/>
    <w:rsid w:val="006E478C"/>
    <w:rsid w:val="006E7470"/>
    <w:rsid w:val="006E76C6"/>
    <w:rsid w:val="006F0A62"/>
    <w:rsid w:val="006F13F3"/>
    <w:rsid w:val="006F2E69"/>
    <w:rsid w:val="006F3B1B"/>
    <w:rsid w:val="006F7090"/>
    <w:rsid w:val="007052A3"/>
    <w:rsid w:val="00706485"/>
    <w:rsid w:val="00706A5D"/>
    <w:rsid w:val="00711F71"/>
    <w:rsid w:val="007126F8"/>
    <w:rsid w:val="00716A05"/>
    <w:rsid w:val="00724158"/>
    <w:rsid w:val="0073038C"/>
    <w:rsid w:val="0073277F"/>
    <w:rsid w:val="00733923"/>
    <w:rsid w:val="00733EE6"/>
    <w:rsid w:val="00734600"/>
    <w:rsid w:val="00736200"/>
    <w:rsid w:val="00744311"/>
    <w:rsid w:val="00744E22"/>
    <w:rsid w:val="00745751"/>
    <w:rsid w:val="007466DF"/>
    <w:rsid w:val="00747E8F"/>
    <w:rsid w:val="007503DC"/>
    <w:rsid w:val="00753BF6"/>
    <w:rsid w:val="00762E29"/>
    <w:rsid w:val="00764607"/>
    <w:rsid w:val="0076469B"/>
    <w:rsid w:val="00767E72"/>
    <w:rsid w:val="00770EDA"/>
    <w:rsid w:val="0077109E"/>
    <w:rsid w:val="0077577E"/>
    <w:rsid w:val="00781048"/>
    <w:rsid w:val="00781933"/>
    <w:rsid w:val="007969D9"/>
    <w:rsid w:val="00796D0D"/>
    <w:rsid w:val="007A103C"/>
    <w:rsid w:val="007A6288"/>
    <w:rsid w:val="007A6645"/>
    <w:rsid w:val="007A699A"/>
    <w:rsid w:val="007A6D8A"/>
    <w:rsid w:val="007B2644"/>
    <w:rsid w:val="007B3B1E"/>
    <w:rsid w:val="007B3FE4"/>
    <w:rsid w:val="007B453D"/>
    <w:rsid w:val="007B5747"/>
    <w:rsid w:val="007C215C"/>
    <w:rsid w:val="007C4CCE"/>
    <w:rsid w:val="007D57D7"/>
    <w:rsid w:val="007D7D62"/>
    <w:rsid w:val="007E0471"/>
    <w:rsid w:val="007E4745"/>
    <w:rsid w:val="007E5AD4"/>
    <w:rsid w:val="007E5D80"/>
    <w:rsid w:val="007E6573"/>
    <w:rsid w:val="007F5664"/>
    <w:rsid w:val="007F71F9"/>
    <w:rsid w:val="00800575"/>
    <w:rsid w:val="00802907"/>
    <w:rsid w:val="008059E4"/>
    <w:rsid w:val="008142E4"/>
    <w:rsid w:val="00815E32"/>
    <w:rsid w:val="00816AD6"/>
    <w:rsid w:val="00822799"/>
    <w:rsid w:val="00822FDE"/>
    <w:rsid w:val="00825657"/>
    <w:rsid w:val="008261E3"/>
    <w:rsid w:val="0082621E"/>
    <w:rsid w:val="008276FE"/>
    <w:rsid w:val="00827B40"/>
    <w:rsid w:val="0083120F"/>
    <w:rsid w:val="008336DF"/>
    <w:rsid w:val="00852F12"/>
    <w:rsid w:val="008537CB"/>
    <w:rsid w:val="00856EBE"/>
    <w:rsid w:val="008621A3"/>
    <w:rsid w:val="00863C9B"/>
    <w:rsid w:val="00864279"/>
    <w:rsid w:val="0086475C"/>
    <w:rsid w:val="00866990"/>
    <w:rsid w:val="00871A3F"/>
    <w:rsid w:val="008720B3"/>
    <w:rsid w:val="008848AD"/>
    <w:rsid w:val="008856F9"/>
    <w:rsid w:val="008859A0"/>
    <w:rsid w:val="00887D74"/>
    <w:rsid w:val="00891EDE"/>
    <w:rsid w:val="00892735"/>
    <w:rsid w:val="00893B1C"/>
    <w:rsid w:val="00894690"/>
    <w:rsid w:val="008A241A"/>
    <w:rsid w:val="008B080B"/>
    <w:rsid w:val="008B21C4"/>
    <w:rsid w:val="008C219B"/>
    <w:rsid w:val="008C255E"/>
    <w:rsid w:val="008C4B24"/>
    <w:rsid w:val="008D02F0"/>
    <w:rsid w:val="008D409F"/>
    <w:rsid w:val="008D6C23"/>
    <w:rsid w:val="008E053C"/>
    <w:rsid w:val="008E1AB5"/>
    <w:rsid w:val="008E4691"/>
    <w:rsid w:val="008F245A"/>
    <w:rsid w:val="00902FF5"/>
    <w:rsid w:val="00906A19"/>
    <w:rsid w:val="00906D50"/>
    <w:rsid w:val="00910FD4"/>
    <w:rsid w:val="009142E5"/>
    <w:rsid w:val="009179FF"/>
    <w:rsid w:val="0092093D"/>
    <w:rsid w:val="00922ABB"/>
    <w:rsid w:val="0093137C"/>
    <w:rsid w:val="0093313C"/>
    <w:rsid w:val="009401EA"/>
    <w:rsid w:val="0094463C"/>
    <w:rsid w:val="00946318"/>
    <w:rsid w:val="00950864"/>
    <w:rsid w:val="00950F40"/>
    <w:rsid w:val="00952102"/>
    <w:rsid w:val="00954182"/>
    <w:rsid w:val="00960A98"/>
    <w:rsid w:val="00961FA8"/>
    <w:rsid w:val="0097077C"/>
    <w:rsid w:val="00970D2F"/>
    <w:rsid w:val="009740B4"/>
    <w:rsid w:val="00974CB1"/>
    <w:rsid w:val="00976B85"/>
    <w:rsid w:val="00982775"/>
    <w:rsid w:val="00985303"/>
    <w:rsid w:val="00986537"/>
    <w:rsid w:val="00990AE0"/>
    <w:rsid w:val="0099197F"/>
    <w:rsid w:val="00994824"/>
    <w:rsid w:val="00994A64"/>
    <w:rsid w:val="009A0987"/>
    <w:rsid w:val="009A1A25"/>
    <w:rsid w:val="009A2109"/>
    <w:rsid w:val="009A2709"/>
    <w:rsid w:val="009A3BA0"/>
    <w:rsid w:val="009B11A7"/>
    <w:rsid w:val="009B5FE5"/>
    <w:rsid w:val="009B73C8"/>
    <w:rsid w:val="009B778E"/>
    <w:rsid w:val="009C0DEF"/>
    <w:rsid w:val="009C2F64"/>
    <w:rsid w:val="009D1DF3"/>
    <w:rsid w:val="009E14D0"/>
    <w:rsid w:val="009E3228"/>
    <w:rsid w:val="009E43D5"/>
    <w:rsid w:val="009F27E2"/>
    <w:rsid w:val="009F48D8"/>
    <w:rsid w:val="00A01888"/>
    <w:rsid w:val="00A126D4"/>
    <w:rsid w:val="00A17AA2"/>
    <w:rsid w:val="00A2140B"/>
    <w:rsid w:val="00A21E46"/>
    <w:rsid w:val="00A24863"/>
    <w:rsid w:val="00A251E2"/>
    <w:rsid w:val="00A31033"/>
    <w:rsid w:val="00A31AE6"/>
    <w:rsid w:val="00A40622"/>
    <w:rsid w:val="00A41FD7"/>
    <w:rsid w:val="00A442F1"/>
    <w:rsid w:val="00A44770"/>
    <w:rsid w:val="00A45B8E"/>
    <w:rsid w:val="00A46AF8"/>
    <w:rsid w:val="00A46EA3"/>
    <w:rsid w:val="00A5545D"/>
    <w:rsid w:val="00A565B7"/>
    <w:rsid w:val="00A62A77"/>
    <w:rsid w:val="00A73389"/>
    <w:rsid w:val="00A73AC6"/>
    <w:rsid w:val="00A80857"/>
    <w:rsid w:val="00A87746"/>
    <w:rsid w:val="00A9007E"/>
    <w:rsid w:val="00A93D19"/>
    <w:rsid w:val="00AA06CE"/>
    <w:rsid w:val="00AA198C"/>
    <w:rsid w:val="00AA5DB0"/>
    <w:rsid w:val="00AB1414"/>
    <w:rsid w:val="00AB5E4B"/>
    <w:rsid w:val="00AB7D79"/>
    <w:rsid w:val="00AC1952"/>
    <w:rsid w:val="00AC42CB"/>
    <w:rsid w:val="00AC52AE"/>
    <w:rsid w:val="00AC57FB"/>
    <w:rsid w:val="00AC6946"/>
    <w:rsid w:val="00AD3266"/>
    <w:rsid w:val="00AD5069"/>
    <w:rsid w:val="00AD5D6D"/>
    <w:rsid w:val="00AD5EDD"/>
    <w:rsid w:val="00AD5EE0"/>
    <w:rsid w:val="00AD6E64"/>
    <w:rsid w:val="00AE3010"/>
    <w:rsid w:val="00AE3F88"/>
    <w:rsid w:val="00AE4FD0"/>
    <w:rsid w:val="00AF07FB"/>
    <w:rsid w:val="00AF2B57"/>
    <w:rsid w:val="00AF4C0B"/>
    <w:rsid w:val="00B123F5"/>
    <w:rsid w:val="00B1494D"/>
    <w:rsid w:val="00B14FEF"/>
    <w:rsid w:val="00B15DF0"/>
    <w:rsid w:val="00B21CAB"/>
    <w:rsid w:val="00B21E1D"/>
    <w:rsid w:val="00B226E7"/>
    <w:rsid w:val="00B312EF"/>
    <w:rsid w:val="00B31AD4"/>
    <w:rsid w:val="00B332D7"/>
    <w:rsid w:val="00B35597"/>
    <w:rsid w:val="00B447A7"/>
    <w:rsid w:val="00B45D18"/>
    <w:rsid w:val="00B51388"/>
    <w:rsid w:val="00B52542"/>
    <w:rsid w:val="00B54749"/>
    <w:rsid w:val="00B64483"/>
    <w:rsid w:val="00B6565D"/>
    <w:rsid w:val="00B709A4"/>
    <w:rsid w:val="00B74014"/>
    <w:rsid w:val="00B74B8A"/>
    <w:rsid w:val="00B76EC6"/>
    <w:rsid w:val="00B802BB"/>
    <w:rsid w:val="00B82454"/>
    <w:rsid w:val="00B83D50"/>
    <w:rsid w:val="00B95C0A"/>
    <w:rsid w:val="00B9752A"/>
    <w:rsid w:val="00BA1EBE"/>
    <w:rsid w:val="00BA3B8B"/>
    <w:rsid w:val="00BA7440"/>
    <w:rsid w:val="00BA76E3"/>
    <w:rsid w:val="00BB1024"/>
    <w:rsid w:val="00BB15C2"/>
    <w:rsid w:val="00BB66F6"/>
    <w:rsid w:val="00BC1461"/>
    <w:rsid w:val="00BC5AC8"/>
    <w:rsid w:val="00BC620E"/>
    <w:rsid w:val="00BC75D2"/>
    <w:rsid w:val="00BD7B99"/>
    <w:rsid w:val="00BD7FCE"/>
    <w:rsid w:val="00BF02E7"/>
    <w:rsid w:val="00BF6DB2"/>
    <w:rsid w:val="00BF6F91"/>
    <w:rsid w:val="00BF7572"/>
    <w:rsid w:val="00BF7937"/>
    <w:rsid w:val="00C109C3"/>
    <w:rsid w:val="00C10AEC"/>
    <w:rsid w:val="00C15AEE"/>
    <w:rsid w:val="00C16652"/>
    <w:rsid w:val="00C16FEC"/>
    <w:rsid w:val="00C2035B"/>
    <w:rsid w:val="00C23E46"/>
    <w:rsid w:val="00C25610"/>
    <w:rsid w:val="00C34DFF"/>
    <w:rsid w:val="00C354A8"/>
    <w:rsid w:val="00C453A5"/>
    <w:rsid w:val="00C45D17"/>
    <w:rsid w:val="00C4614C"/>
    <w:rsid w:val="00C50704"/>
    <w:rsid w:val="00C53ED1"/>
    <w:rsid w:val="00C575E2"/>
    <w:rsid w:val="00C57F44"/>
    <w:rsid w:val="00C637CF"/>
    <w:rsid w:val="00C72B3E"/>
    <w:rsid w:val="00C83E94"/>
    <w:rsid w:val="00C84CFA"/>
    <w:rsid w:val="00C84EB3"/>
    <w:rsid w:val="00C85666"/>
    <w:rsid w:val="00C85BDA"/>
    <w:rsid w:val="00C86F4D"/>
    <w:rsid w:val="00C9156B"/>
    <w:rsid w:val="00CA0B67"/>
    <w:rsid w:val="00CA20F8"/>
    <w:rsid w:val="00CA5FA6"/>
    <w:rsid w:val="00CB6A2E"/>
    <w:rsid w:val="00CC0122"/>
    <w:rsid w:val="00CC0DAF"/>
    <w:rsid w:val="00CC20A0"/>
    <w:rsid w:val="00CC37AD"/>
    <w:rsid w:val="00CC4DD6"/>
    <w:rsid w:val="00CC4E02"/>
    <w:rsid w:val="00CD2C00"/>
    <w:rsid w:val="00CD41CD"/>
    <w:rsid w:val="00CD5D51"/>
    <w:rsid w:val="00CE1868"/>
    <w:rsid w:val="00CE27DC"/>
    <w:rsid w:val="00CE47CE"/>
    <w:rsid w:val="00CE51BA"/>
    <w:rsid w:val="00CF1B46"/>
    <w:rsid w:val="00CF4D51"/>
    <w:rsid w:val="00CF614D"/>
    <w:rsid w:val="00CF6903"/>
    <w:rsid w:val="00D0020F"/>
    <w:rsid w:val="00D032A7"/>
    <w:rsid w:val="00D04AC3"/>
    <w:rsid w:val="00D07036"/>
    <w:rsid w:val="00D1407C"/>
    <w:rsid w:val="00D14C8E"/>
    <w:rsid w:val="00D245D5"/>
    <w:rsid w:val="00D24AAC"/>
    <w:rsid w:val="00D305DD"/>
    <w:rsid w:val="00D332FD"/>
    <w:rsid w:val="00D4017A"/>
    <w:rsid w:val="00D409EF"/>
    <w:rsid w:val="00D40DA6"/>
    <w:rsid w:val="00D41691"/>
    <w:rsid w:val="00D424C2"/>
    <w:rsid w:val="00D42763"/>
    <w:rsid w:val="00D43377"/>
    <w:rsid w:val="00D4396A"/>
    <w:rsid w:val="00D44320"/>
    <w:rsid w:val="00D52A17"/>
    <w:rsid w:val="00D531A2"/>
    <w:rsid w:val="00D61A9C"/>
    <w:rsid w:val="00D626CC"/>
    <w:rsid w:val="00D7084B"/>
    <w:rsid w:val="00D71284"/>
    <w:rsid w:val="00D7269F"/>
    <w:rsid w:val="00D77283"/>
    <w:rsid w:val="00D7791F"/>
    <w:rsid w:val="00D83D64"/>
    <w:rsid w:val="00DA14AE"/>
    <w:rsid w:val="00DA56BE"/>
    <w:rsid w:val="00DA69B1"/>
    <w:rsid w:val="00DA6DE1"/>
    <w:rsid w:val="00DB2820"/>
    <w:rsid w:val="00DB2D68"/>
    <w:rsid w:val="00DB51B3"/>
    <w:rsid w:val="00DB7748"/>
    <w:rsid w:val="00DC0C10"/>
    <w:rsid w:val="00DC4669"/>
    <w:rsid w:val="00DD023E"/>
    <w:rsid w:val="00DD6581"/>
    <w:rsid w:val="00DD7B19"/>
    <w:rsid w:val="00DE148E"/>
    <w:rsid w:val="00DE1B5F"/>
    <w:rsid w:val="00DE4216"/>
    <w:rsid w:val="00DF0E19"/>
    <w:rsid w:val="00DF1B4E"/>
    <w:rsid w:val="00DF48D3"/>
    <w:rsid w:val="00DF5503"/>
    <w:rsid w:val="00E0064A"/>
    <w:rsid w:val="00E0177C"/>
    <w:rsid w:val="00E021CE"/>
    <w:rsid w:val="00E060F5"/>
    <w:rsid w:val="00E066DB"/>
    <w:rsid w:val="00E069DD"/>
    <w:rsid w:val="00E10795"/>
    <w:rsid w:val="00E145D0"/>
    <w:rsid w:val="00E14BA1"/>
    <w:rsid w:val="00E17500"/>
    <w:rsid w:val="00E26E50"/>
    <w:rsid w:val="00E32361"/>
    <w:rsid w:val="00E32EB0"/>
    <w:rsid w:val="00E36FA7"/>
    <w:rsid w:val="00E43EDF"/>
    <w:rsid w:val="00E508A5"/>
    <w:rsid w:val="00E5142D"/>
    <w:rsid w:val="00E51A41"/>
    <w:rsid w:val="00E55B39"/>
    <w:rsid w:val="00E56A91"/>
    <w:rsid w:val="00E57CF3"/>
    <w:rsid w:val="00E64585"/>
    <w:rsid w:val="00E6755C"/>
    <w:rsid w:val="00E726B6"/>
    <w:rsid w:val="00E726CC"/>
    <w:rsid w:val="00E72D76"/>
    <w:rsid w:val="00E7394B"/>
    <w:rsid w:val="00E73B1A"/>
    <w:rsid w:val="00E75455"/>
    <w:rsid w:val="00E807A7"/>
    <w:rsid w:val="00E81773"/>
    <w:rsid w:val="00E8405D"/>
    <w:rsid w:val="00E84AD1"/>
    <w:rsid w:val="00E879D4"/>
    <w:rsid w:val="00E91879"/>
    <w:rsid w:val="00EA00C5"/>
    <w:rsid w:val="00EA108B"/>
    <w:rsid w:val="00EA2304"/>
    <w:rsid w:val="00EA5932"/>
    <w:rsid w:val="00EA73B5"/>
    <w:rsid w:val="00EA7C9E"/>
    <w:rsid w:val="00EB0177"/>
    <w:rsid w:val="00EB025D"/>
    <w:rsid w:val="00EB0736"/>
    <w:rsid w:val="00EB145A"/>
    <w:rsid w:val="00EB73A7"/>
    <w:rsid w:val="00EC0E91"/>
    <w:rsid w:val="00EC1544"/>
    <w:rsid w:val="00EC4488"/>
    <w:rsid w:val="00EC4E4B"/>
    <w:rsid w:val="00EC7D90"/>
    <w:rsid w:val="00ED0838"/>
    <w:rsid w:val="00ED2109"/>
    <w:rsid w:val="00ED5755"/>
    <w:rsid w:val="00ED71EE"/>
    <w:rsid w:val="00EE3200"/>
    <w:rsid w:val="00EF2709"/>
    <w:rsid w:val="00EF2FA8"/>
    <w:rsid w:val="00EF33F2"/>
    <w:rsid w:val="00EF67B9"/>
    <w:rsid w:val="00F00F3E"/>
    <w:rsid w:val="00F01372"/>
    <w:rsid w:val="00F06EBE"/>
    <w:rsid w:val="00F07235"/>
    <w:rsid w:val="00F131FF"/>
    <w:rsid w:val="00F1507F"/>
    <w:rsid w:val="00F16DA5"/>
    <w:rsid w:val="00F17756"/>
    <w:rsid w:val="00F20FFC"/>
    <w:rsid w:val="00F21C84"/>
    <w:rsid w:val="00F246BA"/>
    <w:rsid w:val="00F30D9B"/>
    <w:rsid w:val="00F357DF"/>
    <w:rsid w:val="00F36CE9"/>
    <w:rsid w:val="00F372AE"/>
    <w:rsid w:val="00F375EA"/>
    <w:rsid w:val="00F40C7C"/>
    <w:rsid w:val="00F41ADF"/>
    <w:rsid w:val="00F478A6"/>
    <w:rsid w:val="00F50185"/>
    <w:rsid w:val="00F52E28"/>
    <w:rsid w:val="00F53784"/>
    <w:rsid w:val="00F553AE"/>
    <w:rsid w:val="00F559BC"/>
    <w:rsid w:val="00F564CF"/>
    <w:rsid w:val="00F5759B"/>
    <w:rsid w:val="00F6507B"/>
    <w:rsid w:val="00F67571"/>
    <w:rsid w:val="00F72A91"/>
    <w:rsid w:val="00F72D1E"/>
    <w:rsid w:val="00F80684"/>
    <w:rsid w:val="00F868AE"/>
    <w:rsid w:val="00F90E7B"/>
    <w:rsid w:val="00F92D64"/>
    <w:rsid w:val="00F93C10"/>
    <w:rsid w:val="00F94E8B"/>
    <w:rsid w:val="00FA4035"/>
    <w:rsid w:val="00FB12AD"/>
    <w:rsid w:val="00FB6916"/>
    <w:rsid w:val="00FC477B"/>
    <w:rsid w:val="00FD339F"/>
    <w:rsid w:val="00FD34C3"/>
    <w:rsid w:val="00FD726B"/>
    <w:rsid w:val="00FE2E70"/>
    <w:rsid w:val="00FE6788"/>
    <w:rsid w:val="00FF4012"/>
    <w:rsid w:val="00FF4E27"/>
    <w:rsid w:val="00FF7C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34987-A044-4B99-8469-57C07E1C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DD7B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456F05"/>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Titre3"/>
    <w:next w:val="-LettreTexteGEDA"/>
    <w:link w:val="Titre4Car"/>
    <w:qFormat/>
    <w:rsid w:val="00456F05"/>
    <w:pPr>
      <w:keepLines w:val="0"/>
      <w:numPr>
        <w:numId w:val="6"/>
      </w:numPr>
      <w:spacing w:before="180"/>
      <w:ind w:left="283" w:hanging="283"/>
      <w:outlineLvl w:val="3"/>
    </w:pPr>
    <w:rPr>
      <w:rFonts w:ascii="Times New Roman" w:eastAsia="Times New Roman" w:hAnsi="Times New Roman" w:cs="Arial"/>
      <w:bCs w:val="0"/>
      <w:iCs/>
      <w:caps/>
      <w:color w:val="auto"/>
      <w:szCs w:val="20"/>
      <w:lang w:eastAsia="en-US"/>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uiPriority w:val="99"/>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aliases w:val="Paragraphe de liste num,Paragraphe de liste 1,Listes"/>
    <w:basedOn w:val="Normal"/>
    <w:link w:val="ParagraphedelisteCar"/>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aliases w:val="Paragraphe de liste num Car,Paragraphe de liste 1 Car,Listes Car"/>
    <w:basedOn w:val="Policepardfaut"/>
    <w:link w:val="Paragraphedeliste"/>
    <w:uiPriority w:val="34"/>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rsid w:val="00825657"/>
    <w:rPr>
      <w:rFonts w:ascii="Times New Roman" w:hAnsi="Times New Roman" w:cs="Times New Roman"/>
      <w:sz w:val="20"/>
      <w:szCs w:val="20"/>
    </w:rPr>
  </w:style>
  <w:style w:type="character" w:styleId="Appelnotedebasdep">
    <w:name w:val="footnote reference"/>
    <w:basedOn w:val="Policepardfaut"/>
    <w:uiPriority w:val="99"/>
    <w:unhideWhenUsed/>
    <w:rsid w:val="00825657"/>
    <w:rPr>
      <w:vertAlign w:val="superscript"/>
    </w:rPr>
  </w:style>
  <w:style w:type="paragraph" w:customStyle="1" w:styleId="-ActeArticlecontenuGEDA">
    <w:name w:val="- Acte:Article (contenu)           GEDA"/>
    <w:rsid w:val="00EB145A"/>
    <w:pPr>
      <w:numPr>
        <w:numId w:val="4"/>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Corpsdetexte2">
    <w:name w:val="Body Text 2"/>
    <w:basedOn w:val="Normal"/>
    <w:link w:val="Corpsdetexte2Car"/>
    <w:uiPriority w:val="99"/>
    <w:semiHidden/>
    <w:unhideWhenUsed/>
    <w:rsid w:val="002D6359"/>
    <w:pPr>
      <w:spacing w:after="120" w:line="480" w:lineRule="auto"/>
    </w:pPr>
  </w:style>
  <w:style w:type="character" w:customStyle="1" w:styleId="Corpsdetexte2Car">
    <w:name w:val="Corps de texte 2 Car"/>
    <w:basedOn w:val="Policepardfaut"/>
    <w:link w:val="Corpsdetexte2"/>
    <w:uiPriority w:val="99"/>
    <w:semiHidden/>
    <w:rsid w:val="002D6359"/>
    <w:rPr>
      <w:rFonts w:ascii="Times New Roman" w:eastAsia="Times New Roman" w:hAnsi="Times New Roman" w:cs="Times New Roman"/>
      <w:sz w:val="24"/>
      <w:szCs w:val="24"/>
      <w:lang w:eastAsia="es-ES"/>
    </w:rPr>
  </w:style>
  <w:style w:type="paragraph" w:customStyle="1" w:styleId="Default">
    <w:name w:val="Default"/>
    <w:rsid w:val="0098277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5yl5">
    <w:name w:val="_5yl5"/>
    <w:basedOn w:val="Policepardfaut"/>
    <w:rsid w:val="00514734"/>
  </w:style>
  <w:style w:type="character" w:customStyle="1" w:styleId="Titre1Car">
    <w:name w:val="Titre 1 Car"/>
    <w:basedOn w:val="Policepardfaut"/>
    <w:link w:val="Titre1"/>
    <w:uiPriority w:val="9"/>
    <w:rsid w:val="00DD7B19"/>
    <w:rPr>
      <w:rFonts w:asciiTheme="majorHAnsi" w:eastAsiaTheme="majorEastAsia" w:hAnsiTheme="majorHAnsi" w:cstheme="majorBidi"/>
      <w:b/>
      <w:bCs/>
      <w:color w:val="365F91" w:themeColor="accent1" w:themeShade="BF"/>
      <w:sz w:val="28"/>
      <w:szCs w:val="28"/>
      <w:lang w:eastAsia="es-ES"/>
    </w:rPr>
  </w:style>
  <w:style w:type="paragraph" w:customStyle="1" w:styleId="paragraph">
    <w:name w:val="paragraph"/>
    <w:basedOn w:val="Normal"/>
    <w:rsid w:val="0077577E"/>
    <w:pPr>
      <w:spacing w:before="100" w:beforeAutospacing="1" w:after="100" w:afterAutospacing="1"/>
    </w:pPr>
    <w:rPr>
      <w:rFonts w:eastAsiaTheme="minorHAnsi"/>
      <w:lang w:eastAsia="fr-FR"/>
    </w:rPr>
  </w:style>
  <w:style w:type="character" w:customStyle="1" w:styleId="normaltextrun">
    <w:name w:val="normaltextrun"/>
    <w:basedOn w:val="Policepardfaut"/>
    <w:rsid w:val="0077577E"/>
  </w:style>
  <w:style w:type="character" w:customStyle="1" w:styleId="eop">
    <w:name w:val="eop"/>
    <w:basedOn w:val="Policepardfaut"/>
    <w:rsid w:val="0077577E"/>
  </w:style>
  <w:style w:type="character" w:customStyle="1" w:styleId="contextualspellingandgrammarerror">
    <w:name w:val="contextualspellingandgrammarerror"/>
    <w:basedOn w:val="Policepardfaut"/>
    <w:rsid w:val="0077577E"/>
  </w:style>
  <w:style w:type="paragraph" w:styleId="Sous-titre">
    <w:name w:val="Subtitle"/>
    <w:basedOn w:val="Normal"/>
    <w:next w:val="Normal"/>
    <w:link w:val="Sous-titreCar"/>
    <w:uiPriority w:val="11"/>
    <w:qFormat/>
    <w:rsid w:val="00B76EC6"/>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B76EC6"/>
    <w:rPr>
      <w:rFonts w:ascii="Cambria" w:eastAsia="Times New Roman" w:hAnsi="Cambria" w:cs="Times New Roman"/>
      <w:b/>
      <w:sz w:val="24"/>
      <w:szCs w:val="24"/>
      <w:u w:val="single"/>
      <w:lang w:eastAsia="fr-FR"/>
    </w:rPr>
  </w:style>
  <w:style w:type="paragraph" w:customStyle="1" w:styleId="-SignataireNomGEDA">
    <w:name w:val="- Signataire:Nom            GEDA"/>
    <w:rsid w:val="00DC0C10"/>
    <w:pPr>
      <w:keepNext/>
      <w:overflowPunct w:val="0"/>
      <w:autoSpaceDE w:val="0"/>
      <w:autoSpaceDN w:val="0"/>
      <w:adjustRightInd w:val="0"/>
      <w:spacing w:before="1080" w:after="0" w:line="240" w:lineRule="auto"/>
      <w:jc w:val="center"/>
    </w:pPr>
    <w:rPr>
      <w:rFonts w:ascii="Times New Roman" w:eastAsia="Times New Roman" w:hAnsi="Times New Roman" w:cs="Times New Roman"/>
      <w:sz w:val="24"/>
      <w:szCs w:val="20"/>
      <w:lang w:eastAsia="fr-FR"/>
    </w:rPr>
  </w:style>
  <w:style w:type="paragraph" w:customStyle="1" w:styleId="-ActeAttenduConsidrantGEDA">
    <w:name w:val="- Acte:Attendu (Considérant)  GEDA"/>
    <w:basedOn w:val="-ActeAttenduVuGEDA"/>
    <w:rsid w:val="00F16DA5"/>
    <w:pPr>
      <w:numPr>
        <w:numId w:val="5"/>
      </w:numPr>
    </w:pPr>
  </w:style>
  <w:style w:type="paragraph" w:customStyle="1" w:styleId="-LettreRefGEDA">
    <w:name w:val="- Lettre:Ref                  GEDA"/>
    <w:basedOn w:val="-LettreObjetGEDA"/>
    <w:next w:val="-LettreSuiteORefPJGEDA"/>
    <w:rsid w:val="00990AE0"/>
    <w:pPr>
      <w:spacing w:before="80"/>
    </w:pPr>
  </w:style>
  <w:style w:type="character" w:customStyle="1" w:styleId="Titre4Car">
    <w:name w:val="Titre 4 Car"/>
    <w:basedOn w:val="Policepardfaut"/>
    <w:link w:val="Titre4"/>
    <w:rsid w:val="00456F05"/>
    <w:rPr>
      <w:rFonts w:ascii="Times New Roman" w:eastAsia="Times New Roman" w:hAnsi="Times New Roman" w:cs="Arial"/>
      <w:b/>
      <w:iCs/>
      <w:caps/>
      <w:sz w:val="24"/>
      <w:szCs w:val="20"/>
    </w:rPr>
  </w:style>
  <w:style w:type="character" w:customStyle="1" w:styleId="Titre3Car">
    <w:name w:val="Titre 3 Car"/>
    <w:basedOn w:val="Policepardfaut"/>
    <w:link w:val="Titre3"/>
    <w:uiPriority w:val="9"/>
    <w:semiHidden/>
    <w:rsid w:val="00456F05"/>
    <w:rPr>
      <w:rFonts w:asciiTheme="majorHAnsi" w:eastAsiaTheme="majorEastAsia" w:hAnsiTheme="majorHAnsi" w:cstheme="majorBidi"/>
      <w:b/>
      <w:bCs/>
      <w:color w:val="4F81BD" w:themeColor="accent1"/>
      <w:sz w:val="24"/>
      <w:szCs w:val="24"/>
      <w:lang w:eastAsia="es-ES"/>
    </w:rPr>
  </w:style>
  <w:style w:type="table" w:customStyle="1" w:styleId="TableauGrille4-Accentuation41">
    <w:name w:val="Tableau Grille 4 - Accentuation 41"/>
    <w:basedOn w:val="TableauNormal"/>
    <w:uiPriority w:val="49"/>
    <w:rsid w:val="00164559"/>
    <w:pPr>
      <w:spacing w:after="0" w:line="240" w:lineRule="auto"/>
    </w:pPr>
    <w:rPr>
      <w:rFonts w:eastAsia="Times New Roman"/>
      <w:sz w:val="24"/>
      <w:szCs w:val="24"/>
    </w:rPr>
    <w:tblPr>
      <w:tblStyleRowBandSize w:val="1"/>
      <w:tblStyleColBandSize w:val="1"/>
      <w:tblInd w:w="0" w:type="nil"/>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EnteteLieuetdateGEDA">
    <w:name w:val="- Entete:Lieu et date      GEDA"/>
    <w:rsid w:val="00AA06CE"/>
    <w:pPr>
      <w:overflowPunct w:val="0"/>
      <w:autoSpaceDE w:val="0"/>
      <w:autoSpaceDN w:val="0"/>
      <w:adjustRightInd w:val="0"/>
      <w:spacing w:after="240" w:line="240" w:lineRule="auto"/>
      <w:ind w:left="851"/>
      <w:textAlignment w:val="baseline"/>
    </w:pPr>
    <w:rPr>
      <w:rFonts w:ascii="Times New Roman" w:eastAsia="Times New Roman" w:hAnsi="Times New Roman" w:cs="Times New Roman"/>
      <w:noProof/>
      <w:sz w:val="24"/>
      <w:szCs w:val="20"/>
      <w:lang w:eastAsia="fr-FR"/>
    </w:rPr>
  </w:style>
  <w:style w:type="character" w:customStyle="1" w:styleId="Aucun">
    <w:name w:val="Aucun"/>
    <w:rsid w:val="00C84EB3"/>
  </w:style>
  <w:style w:type="numbering" w:customStyle="1" w:styleId="Style9import">
    <w:name w:val="Style 9 importé"/>
    <w:rsid w:val="00C84EB3"/>
    <w:pPr>
      <w:numPr>
        <w:numId w:val="7"/>
      </w:numPr>
    </w:pPr>
  </w:style>
  <w:style w:type="character" w:customStyle="1" w:styleId="textexposedshow">
    <w:name w:val="text_exposed_show"/>
    <w:basedOn w:val="Policepardfaut"/>
    <w:rsid w:val="001E128A"/>
  </w:style>
  <w:style w:type="paragraph" w:customStyle="1" w:styleId="-LettreDestinataireGEDA">
    <w:name w:val="- Lettre:Destinataire    GEDA"/>
    <w:basedOn w:val="Normal"/>
    <w:next w:val="Normal"/>
    <w:rsid w:val="00C15AEE"/>
    <w:pPr>
      <w:overflowPunct w:val="0"/>
      <w:autoSpaceDE w:val="0"/>
      <w:autoSpaceDN w:val="0"/>
      <w:adjustRightInd w:val="0"/>
      <w:spacing w:before="360"/>
      <w:jc w:val="center"/>
    </w:pPr>
    <w:rPr>
      <w:b/>
      <w:noProof/>
      <w:szCs w:val="20"/>
      <w:lang w:eastAsia="fr-FR"/>
    </w:rPr>
  </w:style>
  <w:style w:type="paragraph" w:customStyle="1" w:styleId="-LettreAffairesuivieGEDA">
    <w:name w:val="- Lettre:Affaire suivie                GEDA"/>
    <w:rsid w:val="001E547E"/>
    <w:pPr>
      <w:numPr>
        <w:numId w:val="14"/>
      </w:numPr>
      <w:tabs>
        <w:tab w:val="clear" w:pos="2880"/>
        <w:tab w:val="num" w:pos="2160"/>
      </w:tabs>
      <w:spacing w:before="240" w:after="0" w:line="240" w:lineRule="auto"/>
      <w:ind w:left="180" w:right="5652" w:firstLine="180"/>
      <w:jc w:val="center"/>
    </w:pPr>
    <w:rPr>
      <w:rFonts w:ascii="Times New Roman" w:eastAsia="Times New Roman" w:hAnsi="Times New Roman" w:cs="Times New Roman"/>
      <w:i/>
      <w:iCs/>
      <w:noProof/>
      <w:sz w:val="18"/>
      <w:szCs w:val="20"/>
      <w:lang w:eastAsia="fr-FR"/>
    </w:rPr>
  </w:style>
  <w:style w:type="paragraph" w:customStyle="1" w:styleId="alinea">
    <w:name w:val="alinea"/>
    <w:basedOn w:val="Normal"/>
    <w:rsid w:val="00E726B6"/>
    <w:pPr>
      <w:spacing w:before="100" w:beforeAutospacing="1" w:after="100" w:afterAutospacing="1"/>
    </w:pPr>
    <w:rPr>
      <w:lang w:eastAsia="fr-FR"/>
    </w:rPr>
  </w:style>
  <w:style w:type="table" w:styleId="Grilledutableau">
    <w:name w:val="Table Grid"/>
    <w:basedOn w:val="TableauNormal"/>
    <w:uiPriority w:val="59"/>
    <w:rsid w:val="00C16FEC"/>
    <w:pPr>
      <w:spacing w:after="0" w:line="240" w:lineRule="auto"/>
    </w:pPr>
    <w:rPr>
      <w:rFonts w:ascii="Times New Roman" w:hAnsi="Times New Roman" w:cs="Times New Roman"/>
      <w:sz w:val="24"/>
      <w:szCs w:val="24"/>
      <w:u w:color="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240">
      <w:bodyDiv w:val="1"/>
      <w:marLeft w:val="0"/>
      <w:marRight w:val="0"/>
      <w:marTop w:val="0"/>
      <w:marBottom w:val="0"/>
      <w:divBdr>
        <w:top w:val="none" w:sz="0" w:space="0" w:color="auto"/>
        <w:left w:val="none" w:sz="0" w:space="0" w:color="auto"/>
        <w:bottom w:val="none" w:sz="0" w:space="0" w:color="auto"/>
        <w:right w:val="none" w:sz="0" w:space="0" w:color="auto"/>
      </w:divBdr>
    </w:div>
    <w:div w:id="27146237">
      <w:bodyDiv w:val="1"/>
      <w:marLeft w:val="0"/>
      <w:marRight w:val="0"/>
      <w:marTop w:val="0"/>
      <w:marBottom w:val="0"/>
      <w:divBdr>
        <w:top w:val="none" w:sz="0" w:space="0" w:color="auto"/>
        <w:left w:val="none" w:sz="0" w:space="0" w:color="auto"/>
        <w:bottom w:val="none" w:sz="0" w:space="0" w:color="auto"/>
        <w:right w:val="none" w:sz="0" w:space="0" w:color="auto"/>
      </w:divBdr>
    </w:div>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36249696">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76099281">
      <w:bodyDiv w:val="1"/>
      <w:marLeft w:val="0"/>
      <w:marRight w:val="0"/>
      <w:marTop w:val="0"/>
      <w:marBottom w:val="0"/>
      <w:divBdr>
        <w:top w:val="none" w:sz="0" w:space="0" w:color="auto"/>
        <w:left w:val="none" w:sz="0" w:space="0" w:color="auto"/>
        <w:bottom w:val="none" w:sz="0" w:space="0" w:color="auto"/>
        <w:right w:val="none" w:sz="0" w:space="0" w:color="auto"/>
      </w:divBdr>
    </w:div>
    <w:div w:id="122356157">
      <w:bodyDiv w:val="1"/>
      <w:marLeft w:val="0"/>
      <w:marRight w:val="0"/>
      <w:marTop w:val="0"/>
      <w:marBottom w:val="0"/>
      <w:divBdr>
        <w:top w:val="none" w:sz="0" w:space="0" w:color="auto"/>
        <w:left w:val="none" w:sz="0" w:space="0" w:color="auto"/>
        <w:bottom w:val="none" w:sz="0" w:space="0" w:color="auto"/>
        <w:right w:val="none" w:sz="0" w:space="0" w:color="auto"/>
      </w:divBdr>
    </w:div>
    <w:div w:id="123741808">
      <w:bodyDiv w:val="1"/>
      <w:marLeft w:val="0"/>
      <w:marRight w:val="0"/>
      <w:marTop w:val="0"/>
      <w:marBottom w:val="0"/>
      <w:divBdr>
        <w:top w:val="none" w:sz="0" w:space="0" w:color="auto"/>
        <w:left w:val="none" w:sz="0" w:space="0" w:color="auto"/>
        <w:bottom w:val="none" w:sz="0" w:space="0" w:color="auto"/>
        <w:right w:val="none" w:sz="0" w:space="0" w:color="auto"/>
      </w:divBdr>
    </w:div>
    <w:div w:id="138622221">
      <w:bodyDiv w:val="1"/>
      <w:marLeft w:val="0"/>
      <w:marRight w:val="0"/>
      <w:marTop w:val="0"/>
      <w:marBottom w:val="0"/>
      <w:divBdr>
        <w:top w:val="none" w:sz="0" w:space="0" w:color="auto"/>
        <w:left w:val="none" w:sz="0" w:space="0" w:color="auto"/>
        <w:bottom w:val="none" w:sz="0" w:space="0" w:color="auto"/>
        <w:right w:val="none" w:sz="0" w:space="0" w:color="auto"/>
      </w:divBdr>
    </w:div>
    <w:div w:id="139613454">
      <w:bodyDiv w:val="1"/>
      <w:marLeft w:val="0"/>
      <w:marRight w:val="0"/>
      <w:marTop w:val="0"/>
      <w:marBottom w:val="0"/>
      <w:divBdr>
        <w:top w:val="none" w:sz="0" w:space="0" w:color="auto"/>
        <w:left w:val="none" w:sz="0" w:space="0" w:color="auto"/>
        <w:bottom w:val="none" w:sz="0" w:space="0" w:color="auto"/>
        <w:right w:val="none" w:sz="0" w:space="0" w:color="auto"/>
      </w:divBdr>
    </w:div>
    <w:div w:id="153298529">
      <w:bodyDiv w:val="1"/>
      <w:marLeft w:val="0"/>
      <w:marRight w:val="0"/>
      <w:marTop w:val="0"/>
      <w:marBottom w:val="0"/>
      <w:divBdr>
        <w:top w:val="none" w:sz="0" w:space="0" w:color="auto"/>
        <w:left w:val="none" w:sz="0" w:space="0" w:color="auto"/>
        <w:bottom w:val="none" w:sz="0" w:space="0" w:color="auto"/>
        <w:right w:val="none" w:sz="0" w:space="0" w:color="auto"/>
      </w:divBdr>
    </w:div>
    <w:div w:id="156699497">
      <w:bodyDiv w:val="1"/>
      <w:marLeft w:val="0"/>
      <w:marRight w:val="0"/>
      <w:marTop w:val="0"/>
      <w:marBottom w:val="0"/>
      <w:divBdr>
        <w:top w:val="none" w:sz="0" w:space="0" w:color="auto"/>
        <w:left w:val="none" w:sz="0" w:space="0" w:color="auto"/>
        <w:bottom w:val="none" w:sz="0" w:space="0" w:color="auto"/>
        <w:right w:val="none" w:sz="0" w:space="0" w:color="auto"/>
      </w:divBdr>
    </w:div>
    <w:div w:id="158274397">
      <w:bodyDiv w:val="1"/>
      <w:marLeft w:val="0"/>
      <w:marRight w:val="0"/>
      <w:marTop w:val="0"/>
      <w:marBottom w:val="0"/>
      <w:divBdr>
        <w:top w:val="none" w:sz="0" w:space="0" w:color="auto"/>
        <w:left w:val="none" w:sz="0" w:space="0" w:color="auto"/>
        <w:bottom w:val="none" w:sz="0" w:space="0" w:color="auto"/>
        <w:right w:val="none" w:sz="0" w:space="0" w:color="auto"/>
      </w:divBdr>
    </w:div>
    <w:div w:id="178011378">
      <w:bodyDiv w:val="1"/>
      <w:marLeft w:val="0"/>
      <w:marRight w:val="0"/>
      <w:marTop w:val="0"/>
      <w:marBottom w:val="0"/>
      <w:divBdr>
        <w:top w:val="none" w:sz="0" w:space="0" w:color="auto"/>
        <w:left w:val="none" w:sz="0" w:space="0" w:color="auto"/>
        <w:bottom w:val="none" w:sz="0" w:space="0" w:color="auto"/>
        <w:right w:val="none" w:sz="0" w:space="0" w:color="auto"/>
      </w:divBdr>
    </w:div>
    <w:div w:id="198006304">
      <w:bodyDiv w:val="1"/>
      <w:marLeft w:val="0"/>
      <w:marRight w:val="0"/>
      <w:marTop w:val="0"/>
      <w:marBottom w:val="0"/>
      <w:divBdr>
        <w:top w:val="none" w:sz="0" w:space="0" w:color="auto"/>
        <w:left w:val="none" w:sz="0" w:space="0" w:color="auto"/>
        <w:bottom w:val="none" w:sz="0" w:space="0" w:color="auto"/>
        <w:right w:val="none" w:sz="0" w:space="0" w:color="auto"/>
      </w:divBdr>
    </w:div>
    <w:div w:id="214003931">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255872037">
      <w:bodyDiv w:val="1"/>
      <w:marLeft w:val="0"/>
      <w:marRight w:val="0"/>
      <w:marTop w:val="0"/>
      <w:marBottom w:val="0"/>
      <w:divBdr>
        <w:top w:val="none" w:sz="0" w:space="0" w:color="auto"/>
        <w:left w:val="none" w:sz="0" w:space="0" w:color="auto"/>
        <w:bottom w:val="none" w:sz="0" w:space="0" w:color="auto"/>
        <w:right w:val="none" w:sz="0" w:space="0" w:color="auto"/>
      </w:divBdr>
    </w:div>
    <w:div w:id="257493491">
      <w:bodyDiv w:val="1"/>
      <w:marLeft w:val="0"/>
      <w:marRight w:val="0"/>
      <w:marTop w:val="0"/>
      <w:marBottom w:val="0"/>
      <w:divBdr>
        <w:top w:val="none" w:sz="0" w:space="0" w:color="auto"/>
        <w:left w:val="none" w:sz="0" w:space="0" w:color="auto"/>
        <w:bottom w:val="none" w:sz="0" w:space="0" w:color="auto"/>
        <w:right w:val="none" w:sz="0" w:space="0" w:color="auto"/>
      </w:divBdr>
    </w:div>
    <w:div w:id="268662804">
      <w:bodyDiv w:val="1"/>
      <w:marLeft w:val="0"/>
      <w:marRight w:val="0"/>
      <w:marTop w:val="0"/>
      <w:marBottom w:val="0"/>
      <w:divBdr>
        <w:top w:val="none" w:sz="0" w:space="0" w:color="auto"/>
        <w:left w:val="none" w:sz="0" w:space="0" w:color="auto"/>
        <w:bottom w:val="none" w:sz="0" w:space="0" w:color="auto"/>
        <w:right w:val="none" w:sz="0" w:space="0" w:color="auto"/>
      </w:divBdr>
    </w:div>
    <w:div w:id="281035735">
      <w:bodyDiv w:val="1"/>
      <w:marLeft w:val="0"/>
      <w:marRight w:val="0"/>
      <w:marTop w:val="0"/>
      <w:marBottom w:val="0"/>
      <w:divBdr>
        <w:top w:val="none" w:sz="0" w:space="0" w:color="auto"/>
        <w:left w:val="none" w:sz="0" w:space="0" w:color="auto"/>
        <w:bottom w:val="none" w:sz="0" w:space="0" w:color="auto"/>
        <w:right w:val="none" w:sz="0" w:space="0" w:color="auto"/>
      </w:divBdr>
    </w:div>
    <w:div w:id="282543905">
      <w:bodyDiv w:val="1"/>
      <w:marLeft w:val="0"/>
      <w:marRight w:val="0"/>
      <w:marTop w:val="0"/>
      <w:marBottom w:val="0"/>
      <w:divBdr>
        <w:top w:val="none" w:sz="0" w:space="0" w:color="auto"/>
        <w:left w:val="none" w:sz="0" w:space="0" w:color="auto"/>
        <w:bottom w:val="none" w:sz="0" w:space="0" w:color="auto"/>
        <w:right w:val="none" w:sz="0" w:space="0" w:color="auto"/>
      </w:divBdr>
    </w:div>
    <w:div w:id="287274897">
      <w:bodyDiv w:val="1"/>
      <w:marLeft w:val="0"/>
      <w:marRight w:val="0"/>
      <w:marTop w:val="0"/>
      <w:marBottom w:val="0"/>
      <w:divBdr>
        <w:top w:val="none" w:sz="0" w:space="0" w:color="auto"/>
        <w:left w:val="none" w:sz="0" w:space="0" w:color="auto"/>
        <w:bottom w:val="none" w:sz="0" w:space="0" w:color="auto"/>
        <w:right w:val="none" w:sz="0" w:space="0" w:color="auto"/>
      </w:divBdr>
    </w:div>
    <w:div w:id="319699831">
      <w:bodyDiv w:val="1"/>
      <w:marLeft w:val="0"/>
      <w:marRight w:val="0"/>
      <w:marTop w:val="0"/>
      <w:marBottom w:val="0"/>
      <w:divBdr>
        <w:top w:val="none" w:sz="0" w:space="0" w:color="auto"/>
        <w:left w:val="none" w:sz="0" w:space="0" w:color="auto"/>
        <w:bottom w:val="none" w:sz="0" w:space="0" w:color="auto"/>
        <w:right w:val="none" w:sz="0" w:space="0" w:color="auto"/>
      </w:divBdr>
    </w:div>
    <w:div w:id="321468983">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44796363">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25854381">
      <w:bodyDiv w:val="1"/>
      <w:marLeft w:val="0"/>
      <w:marRight w:val="0"/>
      <w:marTop w:val="0"/>
      <w:marBottom w:val="0"/>
      <w:divBdr>
        <w:top w:val="none" w:sz="0" w:space="0" w:color="auto"/>
        <w:left w:val="none" w:sz="0" w:space="0" w:color="auto"/>
        <w:bottom w:val="none" w:sz="0" w:space="0" w:color="auto"/>
        <w:right w:val="none" w:sz="0" w:space="0" w:color="auto"/>
      </w:divBdr>
    </w:div>
    <w:div w:id="432362796">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34440916">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68085270">
      <w:bodyDiv w:val="1"/>
      <w:marLeft w:val="0"/>
      <w:marRight w:val="0"/>
      <w:marTop w:val="0"/>
      <w:marBottom w:val="0"/>
      <w:divBdr>
        <w:top w:val="none" w:sz="0" w:space="0" w:color="auto"/>
        <w:left w:val="none" w:sz="0" w:space="0" w:color="auto"/>
        <w:bottom w:val="none" w:sz="0" w:space="0" w:color="auto"/>
        <w:right w:val="none" w:sz="0" w:space="0" w:color="auto"/>
      </w:divBdr>
    </w:div>
    <w:div w:id="478690919">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495145490">
      <w:bodyDiv w:val="1"/>
      <w:marLeft w:val="0"/>
      <w:marRight w:val="0"/>
      <w:marTop w:val="0"/>
      <w:marBottom w:val="0"/>
      <w:divBdr>
        <w:top w:val="none" w:sz="0" w:space="0" w:color="auto"/>
        <w:left w:val="none" w:sz="0" w:space="0" w:color="auto"/>
        <w:bottom w:val="none" w:sz="0" w:space="0" w:color="auto"/>
        <w:right w:val="none" w:sz="0" w:space="0" w:color="auto"/>
      </w:divBdr>
    </w:div>
    <w:div w:id="516695557">
      <w:bodyDiv w:val="1"/>
      <w:marLeft w:val="0"/>
      <w:marRight w:val="0"/>
      <w:marTop w:val="0"/>
      <w:marBottom w:val="0"/>
      <w:divBdr>
        <w:top w:val="none" w:sz="0" w:space="0" w:color="auto"/>
        <w:left w:val="none" w:sz="0" w:space="0" w:color="auto"/>
        <w:bottom w:val="none" w:sz="0" w:space="0" w:color="auto"/>
        <w:right w:val="none" w:sz="0" w:space="0" w:color="auto"/>
      </w:divBdr>
    </w:div>
    <w:div w:id="536087316">
      <w:bodyDiv w:val="1"/>
      <w:marLeft w:val="0"/>
      <w:marRight w:val="0"/>
      <w:marTop w:val="0"/>
      <w:marBottom w:val="0"/>
      <w:divBdr>
        <w:top w:val="none" w:sz="0" w:space="0" w:color="auto"/>
        <w:left w:val="none" w:sz="0" w:space="0" w:color="auto"/>
        <w:bottom w:val="none" w:sz="0" w:space="0" w:color="auto"/>
        <w:right w:val="none" w:sz="0" w:space="0" w:color="auto"/>
      </w:divBdr>
    </w:div>
    <w:div w:id="538737681">
      <w:bodyDiv w:val="1"/>
      <w:marLeft w:val="0"/>
      <w:marRight w:val="0"/>
      <w:marTop w:val="0"/>
      <w:marBottom w:val="0"/>
      <w:divBdr>
        <w:top w:val="none" w:sz="0" w:space="0" w:color="auto"/>
        <w:left w:val="none" w:sz="0" w:space="0" w:color="auto"/>
        <w:bottom w:val="none" w:sz="0" w:space="0" w:color="auto"/>
        <w:right w:val="none" w:sz="0" w:space="0" w:color="auto"/>
      </w:divBdr>
    </w:div>
    <w:div w:id="541556659">
      <w:bodyDiv w:val="1"/>
      <w:marLeft w:val="0"/>
      <w:marRight w:val="0"/>
      <w:marTop w:val="0"/>
      <w:marBottom w:val="0"/>
      <w:divBdr>
        <w:top w:val="none" w:sz="0" w:space="0" w:color="auto"/>
        <w:left w:val="none" w:sz="0" w:space="0" w:color="auto"/>
        <w:bottom w:val="none" w:sz="0" w:space="0" w:color="auto"/>
        <w:right w:val="none" w:sz="0" w:space="0" w:color="auto"/>
      </w:divBdr>
    </w:div>
    <w:div w:id="549418902">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93318301">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15255438">
      <w:bodyDiv w:val="1"/>
      <w:marLeft w:val="0"/>
      <w:marRight w:val="0"/>
      <w:marTop w:val="0"/>
      <w:marBottom w:val="0"/>
      <w:divBdr>
        <w:top w:val="none" w:sz="0" w:space="0" w:color="auto"/>
        <w:left w:val="none" w:sz="0" w:space="0" w:color="auto"/>
        <w:bottom w:val="none" w:sz="0" w:space="0" w:color="auto"/>
        <w:right w:val="none" w:sz="0" w:space="0" w:color="auto"/>
      </w:divBdr>
    </w:div>
    <w:div w:id="647394167">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86100649">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741412818">
      <w:bodyDiv w:val="1"/>
      <w:marLeft w:val="0"/>
      <w:marRight w:val="0"/>
      <w:marTop w:val="0"/>
      <w:marBottom w:val="0"/>
      <w:divBdr>
        <w:top w:val="none" w:sz="0" w:space="0" w:color="auto"/>
        <w:left w:val="none" w:sz="0" w:space="0" w:color="auto"/>
        <w:bottom w:val="none" w:sz="0" w:space="0" w:color="auto"/>
        <w:right w:val="none" w:sz="0" w:space="0" w:color="auto"/>
      </w:divBdr>
    </w:div>
    <w:div w:id="754861377">
      <w:bodyDiv w:val="1"/>
      <w:marLeft w:val="0"/>
      <w:marRight w:val="0"/>
      <w:marTop w:val="0"/>
      <w:marBottom w:val="0"/>
      <w:divBdr>
        <w:top w:val="none" w:sz="0" w:space="0" w:color="auto"/>
        <w:left w:val="none" w:sz="0" w:space="0" w:color="auto"/>
        <w:bottom w:val="none" w:sz="0" w:space="0" w:color="auto"/>
        <w:right w:val="none" w:sz="0" w:space="0" w:color="auto"/>
      </w:divBdr>
    </w:div>
    <w:div w:id="765417112">
      <w:bodyDiv w:val="1"/>
      <w:marLeft w:val="0"/>
      <w:marRight w:val="0"/>
      <w:marTop w:val="0"/>
      <w:marBottom w:val="0"/>
      <w:divBdr>
        <w:top w:val="none" w:sz="0" w:space="0" w:color="auto"/>
        <w:left w:val="none" w:sz="0" w:space="0" w:color="auto"/>
        <w:bottom w:val="none" w:sz="0" w:space="0" w:color="auto"/>
        <w:right w:val="none" w:sz="0" w:space="0" w:color="auto"/>
      </w:divBdr>
    </w:div>
    <w:div w:id="767652123">
      <w:bodyDiv w:val="1"/>
      <w:marLeft w:val="0"/>
      <w:marRight w:val="0"/>
      <w:marTop w:val="0"/>
      <w:marBottom w:val="0"/>
      <w:divBdr>
        <w:top w:val="none" w:sz="0" w:space="0" w:color="auto"/>
        <w:left w:val="none" w:sz="0" w:space="0" w:color="auto"/>
        <w:bottom w:val="none" w:sz="0" w:space="0" w:color="auto"/>
        <w:right w:val="none" w:sz="0" w:space="0" w:color="auto"/>
      </w:divBdr>
    </w:div>
    <w:div w:id="793329890">
      <w:bodyDiv w:val="1"/>
      <w:marLeft w:val="0"/>
      <w:marRight w:val="0"/>
      <w:marTop w:val="0"/>
      <w:marBottom w:val="0"/>
      <w:divBdr>
        <w:top w:val="none" w:sz="0" w:space="0" w:color="auto"/>
        <w:left w:val="none" w:sz="0" w:space="0" w:color="auto"/>
        <w:bottom w:val="none" w:sz="0" w:space="0" w:color="auto"/>
        <w:right w:val="none" w:sz="0" w:space="0" w:color="auto"/>
      </w:divBdr>
    </w:div>
    <w:div w:id="844170095">
      <w:bodyDiv w:val="1"/>
      <w:marLeft w:val="0"/>
      <w:marRight w:val="0"/>
      <w:marTop w:val="0"/>
      <w:marBottom w:val="0"/>
      <w:divBdr>
        <w:top w:val="none" w:sz="0" w:space="0" w:color="auto"/>
        <w:left w:val="none" w:sz="0" w:space="0" w:color="auto"/>
        <w:bottom w:val="none" w:sz="0" w:space="0" w:color="auto"/>
        <w:right w:val="none" w:sz="0" w:space="0" w:color="auto"/>
      </w:divBdr>
    </w:div>
    <w:div w:id="865944739">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886641880">
      <w:bodyDiv w:val="1"/>
      <w:marLeft w:val="0"/>
      <w:marRight w:val="0"/>
      <w:marTop w:val="0"/>
      <w:marBottom w:val="0"/>
      <w:divBdr>
        <w:top w:val="none" w:sz="0" w:space="0" w:color="auto"/>
        <w:left w:val="none" w:sz="0" w:space="0" w:color="auto"/>
        <w:bottom w:val="none" w:sz="0" w:space="0" w:color="auto"/>
        <w:right w:val="none" w:sz="0" w:space="0" w:color="auto"/>
      </w:divBdr>
    </w:div>
    <w:div w:id="903610673">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995113163">
      <w:bodyDiv w:val="1"/>
      <w:marLeft w:val="0"/>
      <w:marRight w:val="0"/>
      <w:marTop w:val="0"/>
      <w:marBottom w:val="0"/>
      <w:divBdr>
        <w:top w:val="none" w:sz="0" w:space="0" w:color="auto"/>
        <w:left w:val="none" w:sz="0" w:space="0" w:color="auto"/>
        <w:bottom w:val="none" w:sz="0" w:space="0" w:color="auto"/>
        <w:right w:val="none" w:sz="0" w:space="0" w:color="auto"/>
      </w:divBdr>
    </w:div>
    <w:div w:id="1041856012">
      <w:bodyDiv w:val="1"/>
      <w:marLeft w:val="0"/>
      <w:marRight w:val="0"/>
      <w:marTop w:val="0"/>
      <w:marBottom w:val="0"/>
      <w:divBdr>
        <w:top w:val="none" w:sz="0" w:space="0" w:color="auto"/>
        <w:left w:val="none" w:sz="0" w:space="0" w:color="auto"/>
        <w:bottom w:val="none" w:sz="0" w:space="0" w:color="auto"/>
        <w:right w:val="none" w:sz="0" w:space="0" w:color="auto"/>
      </w:divBdr>
    </w:div>
    <w:div w:id="1080101988">
      <w:bodyDiv w:val="1"/>
      <w:marLeft w:val="0"/>
      <w:marRight w:val="0"/>
      <w:marTop w:val="0"/>
      <w:marBottom w:val="0"/>
      <w:divBdr>
        <w:top w:val="none" w:sz="0" w:space="0" w:color="auto"/>
        <w:left w:val="none" w:sz="0" w:space="0" w:color="auto"/>
        <w:bottom w:val="none" w:sz="0" w:space="0" w:color="auto"/>
        <w:right w:val="none" w:sz="0" w:space="0" w:color="auto"/>
      </w:divBdr>
    </w:div>
    <w:div w:id="1084106740">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180393474">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38124984">
      <w:bodyDiv w:val="1"/>
      <w:marLeft w:val="0"/>
      <w:marRight w:val="0"/>
      <w:marTop w:val="0"/>
      <w:marBottom w:val="0"/>
      <w:divBdr>
        <w:top w:val="none" w:sz="0" w:space="0" w:color="auto"/>
        <w:left w:val="none" w:sz="0" w:space="0" w:color="auto"/>
        <w:bottom w:val="none" w:sz="0" w:space="0" w:color="auto"/>
        <w:right w:val="none" w:sz="0" w:space="0" w:color="auto"/>
      </w:divBdr>
    </w:div>
    <w:div w:id="1242250885">
      <w:bodyDiv w:val="1"/>
      <w:marLeft w:val="0"/>
      <w:marRight w:val="0"/>
      <w:marTop w:val="0"/>
      <w:marBottom w:val="0"/>
      <w:divBdr>
        <w:top w:val="none" w:sz="0" w:space="0" w:color="auto"/>
        <w:left w:val="none" w:sz="0" w:space="0" w:color="auto"/>
        <w:bottom w:val="none" w:sz="0" w:space="0" w:color="auto"/>
        <w:right w:val="none" w:sz="0" w:space="0" w:color="auto"/>
      </w:divBdr>
    </w:div>
    <w:div w:id="1269121758">
      <w:bodyDiv w:val="1"/>
      <w:marLeft w:val="0"/>
      <w:marRight w:val="0"/>
      <w:marTop w:val="0"/>
      <w:marBottom w:val="0"/>
      <w:divBdr>
        <w:top w:val="none" w:sz="0" w:space="0" w:color="auto"/>
        <w:left w:val="none" w:sz="0" w:space="0" w:color="auto"/>
        <w:bottom w:val="none" w:sz="0" w:space="0" w:color="auto"/>
        <w:right w:val="none" w:sz="0" w:space="0" w:color="auto"/>
      </w:divBdr>
    </w:div>
    <w:div w:id="1290089651">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56269440">
      <w:bodyDiv w:val="1"/>
      <w:marLeft w:val="0"/>
      <w:marRight w:val="0"/>
      <w:marTop w:val="0"/>
      <w:marBottom w:val="0"/>
      <w:divBdr>
        <w:top w:val="none" w:sz="0" w:space="0" w:color="auto"/>
        <w:left w:val="none" w:sz="0" w:space="0" w:color="auto"/>
        <w:bottom w:val="none" w:sz="0" w:space="0" w:color="auto"/>
        <w:right w:val="none" w:sz="0" w:space="0" w:color="auto"/>
      </w:divBdr>
    </w:div>
    <w:div w:id="1364985160">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83554933">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4276314">
      <w:bodyDiv w:val="1"/>
      <w:marLeft w:val="0"/>
      <w:marRight w:val="0"/>
      <w:marTop w:val="0"/>
      <w:marBottom w:val="0"/>
      <w:divBdr>
        <w:top w:val="none" w:sz="0" w:space="0" w:color="auto"/>
        <w:left w:val="none" w:sz="0" w:space="0" w:color="auto"/>
        <w:bottom w:val="none" w:sz="0" w:space="0" w:color="auto"/>
        <w:right w:val="none" w:sz="0" w:space="0" w:color="auto"/>
      </w:divBdr>
    </w:div>
    <w:div w:id="1415973647">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31315204">
      <w:bodyDiv w:val="1"/>
      <w:marLeft w:val="0"/>
      <w:marRight w:val="0"/>
      <w:marTop w:val="0"/>
      <w:marBottom w:val="0"/>
      <w:divBdr>
        <w:top w:val="none" w:sz="0" w:space="0" w:color="auto"/>
        <w:left w:val="none" w:sz="0" w:space="0" w:color="auto"/>
        <w:bottom w:val="none" w:sz="0" w:space="0" w:color="auto"/>
        <w:right w:val="none" w:sz="0" w:space="0" w:color="auto"/>
      </w:divBdr>
    </w:div>
    <w:div w:id="1433937471">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481264178">
      <w:bodyDiv w:val="1"/>
      <w:marLeft w:val="0"/>
      <w:marRight w:val="0"/>
      <w:marTop w:val="0"/>
      <w:marBottom w:val="0"/>
      <w:divBdr>
        <w:top w:val="none" w:sz="0" w:space="0" w:color="auto"/>
        <w:left w:val="none" w:sz="0" w:space="0" w:color="auto"/>
        <w:bottom w:val="none" w:sz="0" w:space="0" w:color="auto"/>
        <w:right w:val="none" w:sz="0" w:space="0" w:color="auto"/>
      </w:divBdr>
    </w:div>
    <w:div w:id="1532256436">
      <w:bodyDiv w:val="1"/>
      <w:marLeft w:val="0"/>
      <w:marRight w:val="0"/>
      <w:marTop w:val="0"/>
      <w:marBottom w:val="0"/>
      <w:divBdr>
        <w:top w:val="none" w:sz="0" w:space="0" w:color="auto"/>
        <w:left w:val="none" w:sz="0" w:space="0" w:color="auto"/>
        <w:bottom w:val="none" w:sz="0" w:space="0" w:color="auto"/>
        <w:right w:val="none" w:sz="0" w:space="0" w:color="auto"/>
      </w:divBdr>
    </w:div>
    <w:div w:id="1537081444">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59898450">
      <w:bodyDiv w:val="1"/>
      <w:marLeft w:val="0"/>
      <w:marRight w:val="0"/>
      <w:marTop w:val="0"/>
      <w:marBottom w:val="0"/>
      <w:divBdr>
        <w:top w:val="none" w:sz="0" w:space="0" w:color="auto"/>
        <w:left w:val="none" w:sz="0" w:space="0" w:color="auto"/>
        <w:bottom w:val="none" w:sz="0" w:space="0" w:color="auto"/>
        <w:right w:val="none" w:sz="0" w:space="0" w:color="auto"/>
      </w:divBdr>
    </w:div>
    <w:div w:id="1563443793">
      <w:bodyDiv w:val="1"/>
      <w:marLeft w:val="0"/>
      <w:marRight w:val="0"/>
      <w:marTop w:val="0"/>
      <w:marBottom w:val="0"/>
      <w:divBdr>
        <w:top w:val="none" w:sz="0" w:space="0" w:color="auto"/>
        <w:left w:val="none" w:sz="0" w:space="0" w:color="auto"/>
        <w:bottom w:val="none" w:sz="0" w:space="0" w:color="auto"/>
        <w:right w:val="none" w:sz="0" w:space="0" w:color="auto"/>
      </w:divBdr>
    </w:div>
    <w:div w:id="1567915896">
      <w:bodyDiv w:val="1"/>
      <w:marLeft w:val="0"/>
      <w:marRight w:val="0"/>
      <w:marTop w:val="0"/>
      <w:marBottom w:val="0"/>
      <w:divBdr>
        <w:top w:val="none" w:sz="0" w:space="0" w:color="auto"/>
        <w:left w:val="none" w:sz="0" w:space="0" w:color="auto"/>
        <w:bottom w:val="none" w:sz="0" w:space="0" w:color="auto"/>
        <w:right w:val="none" w:sz="0" w:space="0" w:color="auto"/>
      </w:divBdr>
    </w:div>
    <w:div w:id="1580749783">
      <w:bodyDiv w:val="1"/>
      <w:marLeft w:val="0"/>
      <w:marRight w:val="0"/>
      <w:marTop w:val="0"/>
      <w:marBottom w:val="0"/>
      <w:divBdr>
        <w:top w:val="none" w:sz="0" w:space="0" w:color="auto"/>
        <w:left w:val="none" w:sz="0" w:space="0" w:color="auto"/>
        <w:bottom w:val="none" w:sz="0" w:space="0" w:color="auto"/>
        <w:right w:val="none" w:sz="0" w:space="0" w:color="auto"/>
      </w:divBdr>
    </w:div>
    <w:div w:id="1616205794">
      <w:bodyDiv w:val="1"/>
      <w:marLeft w:val="0"/>
      <w:marRight w:val="0"/>
      <w:marTop w:val="0"/>
      <w:marBottom w:val="0"/>
      <w:divBdr>
        <w:top w:val="none" w:sz="0" w:space="0" w:color="auto"/>
        <w:left w:val="none" w:sz="0" w:space="0" w:color="auto"/>
        <w:bottom w:val="none" w:sz="0" w:space="0" w:color="auto"/>
        <w:right w:val="none" w:sz="0" w:space="0" w:color="auto"/>
      </w:divBdr>
    </w:div>
    <w:div w:id="1619482794">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38298949">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670061887">
      <w:bodyDiv w:val="1"/>
      <w:marLeft w:val="0"/>
      <w:marRight w:val="0"/>
      <w:marTop w:val="0"/>
      <w:marBottom w:val="0"/>
      <w:divBdr>
        <w:top w:val="none" w:sz="0" w:space="0" w:color="auto"/>
        <w:left w:val="none" w:sz="0" w:space="0" w:color="auto"/>
        <w:bottom w:val="none" w:sz="0" w:space="0" w:color="auto"/>
        <w:right w:val="none" w:sz="0" w:space="0" w:color="auto"/>
      </w:divBdr>
    </w:div>
    <w:div w:id="1690331189">
      <w:bodyDiv w:val="1"/>
      <w:marLeft w:val="0"/>
      <w:marRight w:val="0"/>
      <w:marTop w:val="0"/>
      <w:marBottom w:val="0"/>
      <w:divBdr>
        <w:top w:val="none" w:sz="0" w:space="0" w:color="auto"/>
        <w:left w:val="none" w:sz="0" w:space="0" w:color="auto"/>
        <w:bottom w:val="none" w:sz="0" w:space="0" w:color="auto"/>
        <w:right w:val="none" w:sz="0" w:space="0" w:color="auto"/>
      </w:divBdr>
    </w:div>
    <w:div w:id="1723358587">
      <w:bodyDiv w:val="1"/>
      <w:marLeft w:val="0"/>
      <w:marRight w:val="0"/>
      <w:marTop w:val="0"/>
      <w:marBottom w:val="0"/>
      <w:divBdr>
        <w:top w:val="none" w:sz="0" w:space="0" w:color="auto"/>
        <w:left w:val="none" w:sz="0" w:space="0" w:color="auto"/>
        <w:bottom w:val="none" w:sz="0" w:space="0" w:color="auto"/>
        <w:right w:val="none" w:sz="0" w:space="0" w:color="auto"/>
      </w:divBdr>
    </w:div>
    <w:div w:id="1726760988">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37587376">
      <w:bodyDiv w:val="1"/>
      <w:marLeft w:val="0"/>
      <w:marRight w:val="0"/>
      <w:marTop w:val="0"/>
      <w:marBottom w:val="0"/>
      <w:divBdr>
        <w:top w:val="none" w:sz="0" w:space="0" w:color="auto"/>
        <w:left w:val="none" w:sz="0" w:space="0" w:color="auto"/>
        <w:bottom w:val="none" w:sz="0" w:space="0" w:color="auto"/>
        <w:right w:val="none" w:sz="0" w:space="0" w:color="auto"/>
      </w:divBdr>
    </w:div>
    <w:div w:id="1752506117">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759331871">
      <w:bodyDiv w:val="1"/>
      <w:marLeft w:val="0"/>
      <w:marRight w:val="0"/>
      <w:marTop w:val="0"/>
      <w:marBottom w:val="0"/>
      <w:divBdr>
        <w:top w:val="none" w:sz="0" w:space="0" w:color="auto"/>
        <w:left w:val="none" w:sz="0" w:space="0" w:color="auto"/>
        <w:bottom w:val="none" w:sz="0" w:space="0" w:color="auto"/>
        <w:right w:val="none" w:sz="0" w:space="0" w:color="auto"/>
      </w:divBdr>
    </w:div>
    <w:div w:id="1772772850">
      <w:bodyDiv w:val="1"/>
      <w:marLeft w:val="0"/>
      <w:marRight w:val="0"/>
      <w:marTop w:val="0"/>
      <w:marBottom w:val="0"/>
      <w:divBdr>
        <w:top w:val="none" w:sz="0" w:space="0" w:color="auto"/>
        <w:left w:val="none" w:sz="0" w:space="0" w:color="auto"/>
        <w:bottom w:val="none" w:sz="0" w:space="0" w:color="auto"/>
        <w:right w:val="none" w:sz="0" w:space="0" w:color="auto"/>
      </w:divBdr>
    </w:div>
    <w:div w:id="1790203177">
      <w:bodyDiv w:val="1"/>
      <w:marLeft w:val="0"/>
      <w:marRight w:val="0"/>
      <w:marTop w:val="0"/>
      <w:marBottom w:val="0"/>
      <w:divBdr>
        <w:top w:val="none" w:sz="0" w:space="0" w:color="auto"/>
        <w:left w:val="none" w:sz="0" w:space="0" w:color="auto"/>
        <w:bottom w:val="none" w:sz="0" w:space="0" w:color="auto"/>
        <w:right w:val="none" w:sz="0" w:space="0" w:color="auto"/>
      </w:divBdr>
    </w:div>
    <w:div w:id="1817187201">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24925955">
      <w:bodyDiv w:val="1"/>
      <w:marLeft w:val="0"/>
      <w:marRight w:val="0"/>
      <w:marTop w:val="0"/>
      <w:marBottom w:val="0"/>
      <w:divBdr>
        <w:top w:val="none" w:sz="0" w:space="0" w:color="auto"/>
        <w:left w:val="none" w:sz="0" w:space="0" w:color="auto"/>
        <w:bottom w:val="none" w:sz="0" w:space="0" w:color="auto"/>
        <w:right w:val="none" w:sz="0" w:space="0" w:color="auto"/>
      </w:divBdr>
    </w:div>
    <w:div w:id="1851530252">
      <w:bodyDiv w:val="1"/>
      <w:marLeft w:val="0"/>
      <w:marRight w:val="0"/>
      <w:marTop w:val="0"/>
      <w:marBottom w:val="0"/>
      <w:divBdr>
        <w:top w:val="none" w:sz="0" w:space="0" w:color="auto"/>
        <w:left w:val="none" w:sz="0" w:space="0" w:color="auto"/>
        <w:bottom w:val="none" w:sz="0" w:space="0" w:color="auto"/>
        <w:right w:val="none" w:sz="0" w:space="0" w:color="auto"/>
      </w:divBdr>
    </w:div>
    <w:div w:id="1857766432">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03370829">
      <w:bodyDiv w:val="1"/>
      <w:marLeft w:val="0"/>
      <w:marRight w:val="0"/>
      <w:marTop w:val="0"/>
      <w:marBottom w:val="0"/>
      <w:divBdr>
        <w:top w:val="none" w:sz="0" w:space="0" w:color="auto"/>
        <w:left w:val="none" w:sz="0" w:space="0" w:color="auto"/>
        <w:bottom w:val="none" w:sz="0" w:space="0" w:color="auto"/>
        <w:right w:val="none" w:sz="0" w:space="0" w:color="auto"/>
      </w:divBdr>
    </w:div>
    <w:div w:id="1913999567">
      <w:bodyDiv w:val="1"/>
      <w:marLeft w:val="0"/>
      <w:marRight w:val="0"/>
      <w:marTop w:val="0"/>
      <w:marBottom w:val="0"/>
      <w:divBdr>
        <w:top w:val="none" w:sz="0" w:space="0" w:color="auto"/>
        <w:left w:val="none" w:sz="0" w:space="0" w:color="auto"/>
        <w:bottom w:val="none" w:sz="0" w:space="0" w:color="auto"/>
        <w:right w:val="none" w:sz="0" w:space="0" w:color="auto"/>
      </w:divBdr>
    </w:div>
    <w:div w:id="1915775507">
      <w:bodyDiv w:val="1"/>
      <w:marLeft w:val="0"/>
      <w:marRight w:val="0"/>
      <w:marTop w:val="0"/>
      <w:marBottom w:val="0"/>
      <w:divBdr>
        <w:top w:val="none" w:sz="0" w:space="0" w:color="auto"/>
        <w:left w:val="none" w:sz="0" w:space="0" w:color="auto"/>
        <w:bottom w:val="none" w:sz="0" w:space="0" w:color="auto"/>
        <w:right w:val="none" w:sz="0" w:space="0" w:color="auto"/>
      </w:divBdr>
    </w:div>
    <w:div w:id="1937790984">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1991596248">
      <w:bodyDiv w:val="1"/>
      <w:marLeft w:val="0"/>
      <w:marRight w:val="0"/>
      <w:marTop w:val="0"/>
      <w:marBottom w:val="0"/>
      <w:divBdr>
        <w:top w:val="none" w:sz="0" w:space="0" w:color="auto"/>
        <w:left w:val="none" w:sz="0" w:space="0" w:color="auto"/>
        <w:bottom w:val="none" w:sz="0" w:space="0" w:color="auto"/>
        <w:right w:val="none" w:sz="0" w:space="0" w:color="auto"/>
      </w:divBdr>
    </w:div>
    <w:div w:id="2001276612">
      <w:bodyDiv w:val="1"/>
      <w:marLeft w:val="0"/>
      <w:marRight w:val="0"/>
      <w:marTop w:val="0"/>
      <w:marBottom w:val="0"/>
      <w:divBdr>
        <w:top w:val="none" w:sz="0" w:space="0" w:color="auto"/>
        <w:left w:val="none" w:sz="0" w:space="0" w:color="auto"/>
        <w:bottom w:val="none" w:sz="0" w:space="0" w:color="auto"/>
        <w:right w:val="none" w:sz="0" w:space="0" w:color="auto"/>
      </w:divBdr>
    </w:div>
    <w:div w:id="2003042773">
      <w:bodyDiv w:val="1"/>
      <w:marLeft w:val="0"/>
      <w:marRight w:val="0"/>
      <w:marTop w:val="0"/>
      <w:marBottom w:val="0"/>
      <w:divBdr>
        <w:top w:val="none" w:sz="0" w:space="0" w:color="auto"/>
        <w:left w:val="none" w:sz="0" w:space="0" w:color="auto"/>
        <w:bottom w:val="none" w:sz="0" w:space="0" w:color="auto"/>
        <w:right w:val="none" w:sz="0" w:space="0" w:color="auto"/>
      </w:divBdr>
    </w:div>
    <w:div w:id="2003269296">
      <w:bodyDiv w:val="1"/>
      <w:marLeft w:val="0"/>
      <w:marRight w:val="0"/>
      <w:marTop w:val="0"/>
      <w:marBottom w:val="0"/>
      <w:divBdr>
        <w:top w:val="none" w:sz="0" w:space="0" w:color="auto"/>
        <w:left w:val="none" w:sz="0" w:space="0" w:color="auto"/>
        <w:bottom w:val="none" w:sz="0" w:space="0" w:color="auto"/>
        <w:right w:val="none" w:sz="0" w:space="0" w:color="auto"/>
      </w:divBdr>
    </w:div>
    <w:div w:id="2018267998">
      <w:bodyDiv w:val="1"/>
      <w:marLeft w:val="0"/>
      <w:marRight w:val="0"/>
      <w:marTop w:val="0"/>
      <w:marBottom w:val="0"/>
      <w:divBdr>
        <w:top w:val="none" w:sz="0" w:space="0" w:color="auto"/>
        <w:left w:val="none" w:sz="0" w:space="0" w:color="auto"/>
        <w:bottom w:val="none" w:sz="0" w:space="0" w:color="auto"/>
        <w:right w:val="none" w:sz="0" w:space="0" w:color="auto"/>
      </w:divBdr>
    </w:div>
    <w:div w:id="2043555743">
      <w:bodyDiv w:val="1"/>
      <w:marLeft w:val="0"/>
      <w:marRight w:val="0"/>
      <w:marTop w:val="0"/>
      <w:marBottom w:val="0"/>
      <w:divBdr>
        <w:top w:val="none" w:sz="0" w:space="0" w:color="auto"/>
        <w:left w:val="none" w:sz="0" w:space="0" w:color="auto"/>
        <w:bottom w:val="none" w:sz="0" w:space="0" w:color="auto"/>
        <w:right w:val="none" w:sz="0" w:space="0" w:color="auto"/>
      </w:divBdr>
    </w:div>
    <w:div w:id="2053460817">
      <w:bodyDiv w:val="1"/>
      <w:marLeft w:val="0"/>
      <w:marRight w:val="0"/>
      <w:marTop w:val="0"/>
      <w:marBottom w:val="0"/>
      <w:divBdr>
        <w:top w:val="none" w:sz="0" w:space="0" w:color="auto"/>
        <w:left w:val="none" w:sz="0" w:space="0" w:color="auto"/>
        <w:bottom w:val="none" w:sz="0" w:space="0" w:color="auto"/>
        <w:right w:val="none" w:sz="0" w:space="0" w:color="auto"/>
      </w:divBdr>
    </w:div>
    <w:div w:id="2063288100">
      <w:bodyDiv w:val="1"/>
      <w:marLeft w:val="0"/>
      <w:marRight w:val="0"/>
      <w:marTop w:val="0"/>
      <w:marBottom w:val="0"/>
      <w:divBdr>
        <w:top w:val="none" w:sz="0" w:space="0" w:color="auto"/>
        <w:left w:val="none" w:sz="0" w:space="0" w:color="auto"/>
        <w:bottom w:val="none" w:sz="0" w:space="0" w:color="auto"/>
        <w:right w:val="none" w:sz="0" w:space="0" w:color="auto"/>
      </w:divBdr>
    </w:div>
    <w:div w:id="2066247172">
      <w:bodyDiv w:val="1"/>
      <w:marLeft w:val="0"/>
      <w:marRight w:val="0"/>
      <w:marTop w:val="0"/>
      <w:marBottom w:val="0"/>
      <w:divBdr>
        <w:top w:val="none" w:sz="0" w:space="0" w:color="auto"/>
        <w:left w:val="none" w:sz="0" w:space="0" w:color="auto"/>
        <w:bottom w:val="none" w:sz="0" w:space="0" w:color="auto"/>
        <w:right w:val="none" w:sz="0" w:space="0" w:color="auto"/>
      </w:divBdr>
    </w:div>
    <w:div w:id="208283073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089647736">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9CBD9-28B8-42DA-847B-B14294C8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4456</Words>
  <Characters>24508</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Katell KP. PERENNOU</dc:creator>
  <cp:lastModifiedBy>Thibault TM. MARAIS</cp:lastModifiedBy>
  <cp:revision>2</cp:revision>
  <cp:lastPrinted>2019-12-03T18:24:00Z</cp:lastPrinted>
  <dcterms:created xsi:type="dcterms:W3CDTF">2020-08-04T01:06:00Z</dcterms:created>
  <dcterms:modified xsi:type="dcterms:W3CDTF">2020-08-04T01:06:00Z</dcterms:modified>
</cp:coreProperties>
</file>